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2C30" w14:textId="5A91ADC4" w:rsidR="00C35899" w:rsidRPr="006728C2" w:rsidRDefault="007069D0" w:rsidP="007069D0">
      <w:pPr>
        <w:rPr>
          <w:rFonts w:ascii="Tahoma" w:hAnsi="Tahoma" w:cs="Tahoma"/>
          <w:b/>
          <w:sz w:val="44"/>
          <w:szCs w:val="44"/>
        </w:rPr>
      </w:pPr>
      <w:r w:rsidRPr="007069D0">
        <w:rPr>
          <w:rFonts w:ascii="Tahoma" w:hAnsi="Tahoma" w:cs="Tahoma"/>
          <w:b/>
          <w:sz w:val="44"/>
          <w:szCs w:val="44"/>
        </w:rPr>
        <w:t xml:space="preserve">Improving </w:t>
      </w:r>
      <w:r w:rsidR="002719C5">
        <w:rPr>
          <w:rFonts w:ascii="Tahoma" w:hAnsi="Tahoma" w:cs="Tahoma"/>
          <w:b/>
          <w:sz w:val="44"/>
          <w:szCs w:val="44"/>
        </w:rPr>
        <w:t>t</w:t>
      </w:r>
      <w:r w:rsidRPr="007069D0">
        <w:rPr>
          <w:rFonts w:ascii="Tahoma" w:hAnsi="Tahoma" w:cs="Tahoma"/>
          <w:b/>
          <w:sz w:val="44"/>
          <w:szCs w:val="44"/>
        </w:rPr>
        <w:t xml:space="preserve">hromboprophylaxis </w:t>
      </w:r>
      <w:r w:rsidR="002719C5">
        <w:rPr>
          <w:rFonts w:ascii="Tahoma" w:hAnsi="Tahoma" w:cs="Tahoma"/>
          <w:b/>
          <w:sz w:val="44"/>
          <w:szCs w:val="44"/>
        </w:rPr>
        <w:t>p</w:t>
      </w:r>
      <w:r w:rsidRPr="007069D0">
        <w:rPr>
          <w:rFonts w:ascii="Tahoma" w:hAnsi="Tahoma" w:cs="Tahoma"/>
          <w:b/>
          <w:sz w:val="44"/>
          <w:szCs w:val="44"/>
        </w:rPr>
        <w:t>ractices</w:t>
      </w:r>
      <w:r w:rsidR="001E1459">
        <w:rPr>
          <w:rFonts w:ascii="Tahoma" w:hAnsi="Tahoma" w:cs="Tahoma"/>
          <w:b/>
          <w:sz w:val="44"/>
          <w:szCs w:val="44"/>
        </w:rPr>
        <w:t xml:space="preserve"> </w:t>
      </w:r>
      <w:r w:rsidRPr="007069D0">
        <w:rPr>
          <w:rFonts w:ascii="Tahoma" w:hAnsi="Tahoma" w:cs="Tahoma"/>
          <w:b/>
          <w:sz w:val="44"/>
          <w:szCs w:val="44"/>
        </w:rPr>
        <w:t xml:space="preserve">in </w:t>
      </w:r>
      <w:r w:rsidR="00582175">
        <w:rPr>
          <w:rFonts w:ascii="Tahoma" w:hAnsi="Tahoma" w:cs="Tahoma"/>
          <w:b/>
          <w:sz w:val="44"/>
          <w:szCs w:val="44"/>
        </w:rPr>
        <w:t>o</w:t>
      </w:r>
      <w:r w:rsidR="00582175" w:rsidRPr="007069D0">
        <w:rPr>
          <w:rFonts w:ascii="Tahoma" w:hAnsi="Tahoma" w:cs="Tahoma"/>
          <w:b/>
          <w:sz w:val="44"/>
          <w:szCs w:val="44"/>
        </w:rPr>
        <w:t>rthopedic</w:t>
      </w:r>
      <w:r w:rsidRPr="007069D0">
        <w:rPr>
          <w:rFonts w:ascii="Tahoma" w:hAnsi="Tahoma" w:cs="Tahoma"/>
          <w:b/>
          <w:sz w:val="44"/>
          <w:szCs w:val="44"/>
        </w:rPr>
        <w:t xml:space="preserve"> </w:t>
      </w:r>
      <w:r w:rsidR="002719C5">
        <w:rPr>
          <w:rFonts w:ascii="Tahoma" w:hAnsi="Tahoma" w:cs="Tahoma"/>
          <w:b/>
          <w:sz w:val="44"/>
          <w:szCs w:val="44"/>
        </w:rPr>
        <w:t>t</w:t>
      </w:r>
      <w:r w:rsidRPr="007069D0">
        <w:rPr>
          <w:rFonts w:ascii="Tahoma" w:hAnsi="Tahoma" w:cs="Tahoma"/>
          <w:b/>
          <w:sz w:val="44"/>
          <w:szCs w:val="44"/>
        </w:rPr>
        <w:t xml:space="preserve">rauma: </w:t>
      </w:r>
      <w:r w:rsidR="002719C5">
        <w:rPr>
          <w:rFonts w:ascii="Tahoma" w:hAnsi="Tahoma" w:cs="Tahoma"/>
          <w:b/>
          <w:sz w:val="44"/>
          <w:szCs w:val="44"/>
        </w:rPr>
        <w:t>a</w:t>
      </w:r>
      <w:r w:rsidRPr="007069D0">
        <w:rPr>
          <w:rFonts w:ascii="Tahoma" w:hAnsi="Tahoma" w:cs="Tahoma"/>
          <w:b/>
          <w:sz w:val="44"/>
          <w:szCs w:val="44"/>
        </w:rPr>
        <w:t xml:space="preserve"> </w:t>
      </w:r>
      <w:r w:rsidR="002719C5">
        <w:rPr>
          <w:rFonts w:ascii="Tahoma" w:hAnsi="Tahoma" w:cs="Tahoma"/>
          <w:b/>
          <w:sz w:val="44"/>
          <w:szCs w:val="44"/>
        </w:rPr>
        <w:t>c</w:t>
      </w:r>
      <w:r>
        <w:rPr>
          <w:rFonts w:ascii="Tahoma" w:hAnsi="Tahoma" w:cs="Tahoma"/>
          <w:b/>
          <w:sz w:val="44"/>
          <w:szCs w:val="44"/>
        </w:rPr>
        <w:t xml:space="preserve">linical </w:t>
      </w:r>
      <w:r w:rsidR="002719C5">
        <w:rPr>
          <w:rFonts w:ascii="Tahoma" w:hAnsi="Tahoma" w:cs="Tahoma"/>
          <w:b/>
          <w:sz w:val="44"/>
          <w:szCs w:val="44"/>
        </w:rPr>
        <w:t>a</w:t>
      </w:r>
      <w:r>
        <w:rPr>
          <w:rFonts w:ascii="Tahoma" w:hAnsi="Tahoma" w:cs="Tahoma"/>
          <w:b/>
          <w:sz w:val="44"/>
          <w:szCs w:val="44"/>
        </w:rPr>
        <w:t xml:space="preserve">udit </w:t>
      </w:r>
      <w:r w:rsidRPr="007069D0">
        <w:rPr>
          <w:rFonts w:ascii="Tahoma" w:hAnsi="Tahoma" w:cs="Tahoma"/>
          <w:b/>
          <w:sz w:val="44"/>
          <w:szCs w:val="44"/>
        </w:rPr>
        <w:t xml:space="preserve">of </w:t>
      </w:r>
      <w:r w:rsidR="002719C5">
        <w:rPr>
          <w:rFonts w:ascii="Tahoma" w:hAnsi="Tahoma" w:cs="Tahoma"/>
          <w:b/>
          <w:sz w:val="44"/>
          <w:szCs w:val="44"/>
        </w:rPr>
        <w:t>p</w:t>
      </w:r>
      <w:r w:rsidRPr="007069D0">
        <w:rPr>
          <w:rFonts w:ascii="Tahoma" w:hAnsi="Tahoma" w:cs="Tahoma"/>
          <w:b/>
          <w:sz w:val="44"/>
          <w:szCs w:val="44"/>
        </w:rPr>
        <w:t xml:space="preserve">reoperative DVT </w:t>
      </w:r>
      <w:r w:rsidR="002719C5">
        <w:rPr>
          <w:rFonts w:ascii="Tahoma" w:hAnsi="Tahoma" w:cs="Tahoma"/>
          <w:b/>
          <w:sz w:val="44"/>
          <w:szCs w:val="44"/>
        </w:rPr>
        <w:t>i</w:t>
      </w:r>
      <w:r w:rsidRPr="007069D0">
        <w:rPr>
          <w:rFonts w:ascii="Tahoma" w:hAnsi="Tahoma" w:cs="Tahoma"/>
          <w:b/>
          <w:sz w:val="44"/>
          <w:szCs w:val="44"/>
        </w:rPr>
        <w:t>ncidence</w:t>
      </w:r>
      <w:r>
        <w:rPr>
          <w:rFonts w:ascii="Tahoma" w:hAnsi="Tahoma" w:cs="Tahoma"/>
          <w:b/>
          <w:sz w:val="44"/>
          <w:szCs w:val="44"/>
        </w:rPr>
        <w:t xml:space="preserve"> at a </w:t>
      </w:r>
      <w:r w:rsidR="002719C5">
        <w:rPr>
          <w:rFonts w:ascii="Tahoma" w:hAnsi="Tahoma" w:cs="Tahoma"/>
          <w:b/>
          <w:sz w:val="44"/>
          <w:szCs w:val="44"/>
        </w:rPr>
        <w:t>t</w:t>
      </w:r>
      <w:r>
        <w:rPr>
          <w:rFonts w:ascii="Tahoma" w:hAnsi="Tahoma" w:cs="Tahoma"/>
          <w:b/>
          <w:sz w:val="44"/>
          <w:szCs w:val="44"/>
        </w:rPr>
        <w:t xml:space="preserve">ertiary </w:t>
      </w:r>
      <w:r w:rsidR="002719C5">
        <w:rPr>
          <w:rFonts w:ascii="Tahoma" w:hAnsi="Tahoma" w:cs="Tahoma"/>
          <w:b/>
          <w:sz w:val="44"/>
          <w:szCs w:val="44"/>
        </w:rPr>
        <w:t>h</w:t>
      </w:r>
      <w:r>
        <w:rPr>
          <w:rFonts w:ascii="Tahoma" w:hAnsi="Tahoma" w:cs="Tahoma"/>
          <w:b/>
          <w:sz w:val="44"/>
          <w:szCs w:val="44"/>
        </w:rPr>
        <w:t>ospital in Egypt</w:t>
      </w:r>
    </w:p>
    <w:p w14:paraId="52052546" w14:textId="77777777" w:rsidR="00D15832" w:rsidRDefault="00D15832" w:rsidP="00CA7530">
      <w:pPr>
        <w:rPr>
          <w:rFonts w:ascii="Tahoma" w:hAnsi="Tahoma" w:cs="Tahoma"/>
          <w:color w:val="000000"/>
        </w:rPr>
      </w:pPr>
    </w:p>
    <w:p w14:paraId="7FC1C777" w14:textId="032F8B71" w:rsidR="00BA1B9D" w:rsidRPr="00114C17" w:rsidRDefault="00BA1B9D" w:rsidP="00CA7530">
      <w:pPr>
        <w:rPr>
          <w:rFonts w:ascii="Tahoma" w:hAnsi="Tahoma" w:cs="Tahoma"/>
          <w:b/>
          <w:bCs/>
          <w:color w:val="000000"/>
        </w:rPr>
      </w:pPr>
      <w:r w:rsidRPr="00114C17">
        <w:rPr>
          <w:rFonts w:ascii="Tahoma" w:hAnsi="Tahoma" w:cs="Tahoma"/>
          <w:b/>
          <w:bCs/>
          <w:color w:val="000000"/>
        </w:rPr>
        <w:t>Authors:</w:t>
      </w:r>
    </w:p>
    <w:p w14:paraId="7BE71B3D" w14:textId="50F91C5C" w:rsidR="00CA7530" w:rsidRPr="00BA1B9D" w:rsidRDefault="00CA7530" w:rsidP="00CA7530">
      <w:pPr>
        <w:rPr>
          <w:rFonts w:ascii="Tahoma" w:hAnsi="Tahoma" w:cs="Tahoma"/>
          <w:color w:val="000000"/>
        </w:rPr>
      </w:pPr>
      <w:r w:rsidRPr="00BA1B9D">
        <w:rPr>
          <w:rFonts w:ascii="Tahoma" w:hAnsi="Tahoma" w:cs="Tahoma"/>
          <w:color w:val="000000"/>
        </w:rPr>
        <w:t xml:space="preserve">Abdelrahman Khaled Shalabi; </w:t>
      </w:r>
      <w:r w:rsidRPr="00BA1B9D">
        <w:rPr>
          <w:rFonts w:ascii="Tahoma" w:hAnsi="Tahoma" w:cs="Tahoma"/>
          <w:i/>
          <w:iCs/>
          <w:color w:val="000000"/>
        </w:rPr>
        <w:t>Department of Orthopedics, Alexandria University Hospital, Alexandria, Egypt</w:t>
      </w:r>
    </w:p>
    <w:p w14:paraId="78293674" w14:textId="4C1BE8BD" w:rsidR="00CA7530" w:rsidRPr="00BA1B9D" w:rsidRDefault="00CA7530" w:rsidP="00CA7530">
      <w:pPr>
        <w:rPr>
          <w:rFonts w:ascii="Tahoma" w:hAnsi="Tahoma" w:cs="Tahoma"/>
          <w:i/>
          <w:iCs/>
          <w:color w:val="000000"/>
        </w:rPr>
      </w:pPr>
      <w:r w:rsidRPr="00BA1B9D">
        <w:rPr>
          <w:rFonts w:ascii="Tahoma" w:hAnsi="Tahoma" w:cs="Tahoma"/>
          <w:color w:val="000000"/>
        </w:rPr>
        <w:t xml:space="preserve">Youssef Adel Ahmed; </w:t>
      </w:r>
      <w:r w:rsidRPr="00BA1B9D">
        <w:rPr>
          <w:rFonts w:ascii="Tahoma" w:hAnsi="Tahoma" w:cs="Tahoma"/>
          <w:i/>
          <w:iCs/>
          <w:color w:val="000000"/>
        </w:rPr>
        <w:t>Department of Orthopedics, Alexandria University Hospital, Alexandria, Egypt</w:t>
      </w:r>
    </w:p>
    <w:p w14:paraId="58E80581" w14:textId="65BC69DB" w:rsidR="00AB443C" w:rsidRPr="00BA1B9D" w:rsidRDefault="00AB443C" w:rsidP="00AB443C">
      <w:pPr>
        <w:rPr>
          <w:rFonts w:ascii="Tahoma" w:hAnsi="Tahoma" w:cs="Tahoma"/>
          <w:color w:val="000000"/>
        </w:rPr>
      </w:pPr>
      <w:r w:rsidRPr="00BA1B9D">
        <w:rPr>
          <w:rFonts w:ascii="Tahoma" w:hAnsi="Tahoma" w:cs="Tahoma"/>
          <w:color w:val="000000"/>
        </w:rPr>
        <w:t xml:space="preserve">Mohamed Osama Taha; </w:t>
      </w:r>
      <w:r w:rsidRPr="00BA1B9D">
        <w:rPr>
          <w:rFonts w:ascii="Tahoma" w:hAnsi="Tahoma" w:cs="Tahoma"/>
          <w:i/>
          <w:iCs/>
          <w:color w:val="000000"/>
        </w:rPr>
        <w:t>Department of Orthopedics, Alexandria University Hospital, Alexandria, Egypt</w:t>
      </w:r>
    </w:p>
    <w:p w14:paraId="277E63E3" w14:textId="0835F68A" w:rsidR="00AB443C" w:rsidRPr="00BA1B9D" w:rsidRDefault="00AB443C" w:rsidP="00AB443C">
      <w:pPr>
        <w:rPr>
          <w:rFonts w:ascii="Tahoma" w:hAnsi="Tahoma" w:cs="Tahoma"/>
          <w:color w:val="000000"/>
        </w:rPr>
      </w:pPr>
      <w:r w:rsidRPr="00BA1B9D">
        <w:rPr>
          <w:rFonts w:ascii="Tahoma" w:hAnsi="Tahoma" w:cs="Tahoma"/>
          <w:color w:val="000000"/>
        </w:rPr>
        <w:t xml:space="preserve">Abdelrahman Yasser Allam; </w:t>
      </w:r>
      <w:r w:rsidRPr="00BA1B9D">
        <w:rPr>
          <w:rFonts w:ascii="Tahoma" w:hAnsi="Tahoma" w:cs="Tahoma"/>
          <w:i/>
          <w:iCs/>
          <w:color w:val="000000"/>
        </w:rPr>
        <w:t>Department of Orthopedics, Alexandria University Hospital, Alexandria, Egypt</w:t>
      </w:r>
    </w:p>
    <w:p w14:paraId="01A8707B" w14:textId="193FC8E7" w:rsidR="00AB443C" w:rsidRPr="00BA1B9D" w:rsidRDefault="00AB443C" w:rsidP="00AB443C">
      <w:pPr>
        <w:rPr>
          <w:rFonts w:ascii="Tahoma" w:hAnsi="Tahoma" w:cs="Tahoma"/>
          <w:color w:val="000000"/>
        </w:rPr>
      </w:pPr>
      <w:r w:rsidRPr="00BA1B9D">
        <w:rPr>
          <w:rFonts w:ascii="Tahoma" w:hAnsi="Tahoma" w:cs="Tahoma"/>
          <w:color w:val="000000"/>
        </w:rPr>
        <w:t xml:space="preserve">Abdelrahman Khaled Kassem; </w:t>
      </w:r>
      <w:r w:rsidRPr="00BA1B9D">
        <w:rPr>
          <w:rFonts w:ascii="Tahoma" w:hAnsi="Tahoma" w:cs="Tahoma"/>
          <w:i/>
          <w:iCs/>
          <w:color w:val="000000"/>
        </w:rPr>
        <w:t>Department of Orthopedics, Alexandria University Hospital, Alexandria, Egypt</w:t>
      </w:r>
    </w:p>
    <w:p w14:paraId="577554E6" w14:textId="3F0B054F" w:rsidR="00AB443C" w:rsidRPr="00BA1B9D" w:rsidRDefault="00AB443C" w:rsidP="00AB443C">
      <w:pPr>
        <w:rPr>
          <w:rFonts w:ascii="Tahoma" w:hAnsi="Tahoma" w:cs="Tahoma"/>
          <w:color w:val="000000"/>
        </w:rPr>
      </w:pPr>
      <w:r w:rsidRPr="00BA1B9D">
        <w:rPr>
          <w:rFonts w:ascii="Tahoma" w:hAnsi="Tahoma" w:cs="Tahoma"/>
          <w:color w:val="000000"/>
        </w:rPr>
        <w:t xml:space="preserve">Yara Mohamed Aboshady; </w:t>
      </w:r>
      <w:r w:rsidRPr="00BA1B9D">
        <w:rPr>
          <w:rFonts w:ascii="Tahoma" w:hAnsi="Tahoma" w:cs="Tahoma"/>
          <w:i/>
          <w:iCs/>
          <w:color w:val="000000"/>
        </w:rPr>
        <w:t>Department of Orthopedics, Alexandria University Hospital, Alexandria, Egypt</w:t>
      </w:r>
    </w:p>
    <w:p w14:paraId="3250B3D6" w14:textId="24D774CD" w:rsidR="00AB443C" w:rsidRPr="00BA1B9D" w:rsidRDefault="00AB443C" w:rsidP="00AB443C">
      <w:pPr>
        <w:rPr>
          <w:rFonts w:ascii="Tahoma" w:hAnsi="Tahoma" w:cs="Tahoma"/>
          <w:color w:val="000000"/>
        </w:rPr>
      </w:pPr>
      <w:r w:rsidRPr="00BA1B9D">
        <w:rPr>
          <w:rFonts w:ascii="Tahoma" w:hAnsi="Tahoma" w:cs="Tahoma"/>
          <w:color w:val="000000"/>
        </w:rPr>
        <w:t xml:space="preserve">Habiba Emad Hussen; </w:t>
      </w:r>
      <w:r w:rsidRPr="00BA1B9D">
        <w:rPr>
          <w:rFonts w:ascii="Tahoma" w:hAnsi="Tahoma" w:cs="Tahoma"/>
          <w:i/>
          <w:iCs/>
          <w:color w:val="000000"/>
        </w:rPr>
        <w:t>Department of Orthopedics, Alexandria University Hospital, Alexandria, Egypt</w:t>
      </w:r>
    </w:p>
    <w:p w14:paraId="10FA8D46" w14:textId="78A8B2C9" w:rsidR="00AB443C" w:rsidRPr="00BA1B9D" w:rsidRDefault="00AB443C" w:rsidP="00AB443C">
      <w:pPr>
        <w:rPr>
          <w:rFonts w:ascii="Tahoma" w:hAnsi="Tahoma" w:cs="Tahoma"/>
          <w:color w:val="000000"/>
        </w:rPr>
      </w:pPr>
      <w:r w:rsidRPr="00BA1B9D">
        <w:rPr>
          <w:rFonts w:ascii="Tahoma" w:hAnsi="Tahoma" w:cs="Tahoma"/>
          <w:color w:val="000000"/>
        </w:rPr>
        <w:t xml:space="preserve">Yasmine Tarek Mahmoud; </w:t>
      </w:r>
      <w:r w:rsidRPr="00BA1B9D">
        <w:rPr>
          <w:rFonts w:ascii="Tahoma" w:hAnsi="Tahoma" w:cs="Tahoma"/>
          <w:i/>
          <w:iCs/>
          <w:color w:val="000000"/>
        </w:rPr>
        <w:t>Department of Orthopedics, Alexandria University Hospital, Alexandria, Egypt</w:t>
      </w:r>
    </w:p>
    <w:p w14:paraId="2309D17A" w14:textId="77777777" w:rsidR="00C35899" w:rsidRPr="00BA1B9D" w:rsidRDefault="00C35899">
      <w:pPr>
        <w:rPr>
          <w:rFonts w:ascii="Tahoma" w:hAnsi="Tahoma" w:cs="Tahoma"/>
          <w:b/>
        </w:rPr>
      </w:pPr>
    </w:p>
    <w:p w14:paraId="178424DC" w14:textId="77777777" w:rsidR="00A14108" w:rsidRPr="00BA1B9D" w:rsidRDefault="00A14108" w:rsidP="00A14108">
      <w:pPr>
        <w:rPr>
          <w:rFonts w:ascii="Tahoma" w:hAnsi="Tahoma" w:cs="Tahoma"/>
          <w:b/>
          <w:bCs/>
          <w:lang w:val="en"/>
        </w:rPr>
      </w:pPr>
      <w:r w:rsidRPr="00BA1B9D">
        <w:rPr>
          <w:rFonts w:ascii="Tahoma" w:hAnsi="Tahoma" w:cs="Tahoma"/>
          <w:b/>
          <w:bCs/>
          <w:lang w:val="en"/>
        </w:rPr>
        <w:t xml:space="preserve">Correspondence </w:t>
      </w:r>
    </w:p>
    <w:p w14:paraId="41D367EA" w14:textId="14E095DB" w:rsidR="00A14108" w:rsidRPr="00BA1B9D" w:rsidRDefault="00A14108" w:rsidP="00A14108">
      <w:pPr>
        <w:rPr>
          <w:rFonts w:ascii="Tahoma" w:hAnsi="Tahoma" w:cs="Tahoma"/>
          <w:lang w:val="en"/>
        </w:rPr>
      </w:pPr>
      <w:r w:rsidRPr="00BA1B9D">
        <w:rPr>
          <w:rFonts w:ascii="Tahoma" w:hAnsi="Tahoma" w:cs="Tahoma"/>
          <w:lang w:val="en"/>
        </w:rPr>
        <w:t>Youssef Adel Ahmed; Mailing Address: 1 Street, Smouha, Alexandria, Egypt; E-mail Address: youssefadelkhalil2015@gmail.com; Telephone Number: +201102579138</w:t>
      </w:r>
    </w:p>
    <w:p w14:paraId="0EA8CF43" w14:textId="77777777" w:rsidR="00EB580C" w:rsidRDefault="00EB580C" w:rsidP="00A14108">
      <w:pPr>
        <w:rPr>
          <w:rFonts w:ascii="Tahoma" w:hAnsi="Tahoma" w:cs="Tahoma"/>
          <w:b/>
        </w:rPr>
      </w:pPr>
    </w:p>
    <w:p w14:paraId="062DEC76" w14:textId="77777777" w:rsidR="00EB580C" w:rsidRDefault="00EB580C" w:rsidP="00A14108">
      <w:pPr>
        <w:rPr>
          <w:rFonts w:ascii="Tahoma" w:hAnsi="Tahoma" w:cs="Tahoma"/>
          <w:b/>
        </w:rPr>
        <w:sectPr w:rsidR="00EB580C" w:rsidSect="00DB5CCF">
          <w:pgSz w:w="12240" w:h="15840"/>
          <w:pgMar w:top="1440" w:right="1440" w:bottom="1440" w:left="1440" w:header="720" w:footer="720" w:gutter="0"/>
          <w:cols w:space="720"/>
          <w:docGrid w:linePitch="360"/>
        </w:sectPr>
      </w:pPr>
    </w:p>
    <w:p w14:paraId="4C7667EF" w14:textId="77777777" w:rsidR="00A14108" w:rsidRDefault="007978CF" w:rsidP="007978CF">
      <w:pPr>
        <w:rPr>
          <w:rFonts w:ascii="Tahoma" w:hAnsi="Tahoma" w:cs="Tahoma"/>
          <w:sz w:val="32"/>
          <w:szCs w:val="32"/>
        </w:rPr>
      </w:pPr>
      <w:r w:rsidRPr="00A14108">
        <w:rPr>
          <w:rFonts w:ascii="Tahoma" w:hAnsi="Tahoma" w:cs="Tahoma"/>
          <w:b/>
          <w:bCs/>
          <w:sz w:val="32"/>
          <w:szCs w:val="32"/>
        </w:rPr>
        <w:lastRenderedPageBreak/>
        <w:t>Word count</w:t>
      </w:r>
      <w:r>
        <w:rPr>
          <w:rFonts w:ascii="Tahoma" w:hAnsi="Tahoma" w:cs="Tahoma"/>
          <w:sz w:val="32"/>
          <w:szCs w:val="32"/>
        </w:rPr>
        <w:t xml:space="preserve"> </w:t>
      </w:r>
    </w:p>
    <w:p w14:paraId="04777546" w14:textId="3D647127" w:rsidR="00A14108" w:rsidRDefault="00A14108" w:rsidP="007978CF">
      <w:pPr>
        <w:rPr>
          <w:rFonts w:ascii="Tahoma" w:hAnsi="Tahoma" w:cs="Tahoma"/>
          <w:sz w:val="32"/>
          <w:szCs w:val="32"/>
        </w:rPr>
      </w:pPr>
      <w:r>
        <w:rPr>
          <w:rFonts w:ascii="Tahoma" w:hAnsi="Tahoma" w:cs="Tahoma"/>
          <w:sz w:val="32"/>
          <w:szCs w:val="32"/>
        </w:rPr>
        <w:t xml:space="preserve">Abstract </w:t>
      </w:r>
      <w:r w:rsidR="002A57DB">
        <w:rPr>
          <w:rFonts w:ascii="Tahoma" w:hAnsi="Tahoma" w:cs="Tahoma"/>
          <w:sz w:val="32"/>
          <w:szCs w:val="32"/>
        </w:rPr>
        <w:t>– 24</w:t>
      </w:r>
      <w:r w:rsidR="00BC6C38">
        <w:rPr>
          <w:rFonts w:ascii="Tahoma" w:hAnsi="Tahoma" w:cs="Tahoma"/>
          <w:sz w:val="32"/>
          <w:szCs w:val="32"/>
        </w:rPr>
        <w:t>8</w:t>
      </w:r>
      <w:r w:rsidR="002A57DB">
        <w:rPr>
          <w:rFonts w:ascii="Tahoma" w:hAnsi="Tahoma" w:cs="Tahoma"/>
          <w:sz w:val="32"/>
          <w:szCs w:val="32"/>
        </w:rPr>
        <w:t xml:space="preserve"> </w:t>
      </w:r>
    </w:p>
    <w:p w14:paraId="58FFDEBE" w14:textId="08C2E996" w:rsidR="00A14108" w:rsidRDefault="00A14108" w:rsidP="007978CF">
      <w:pPr>
        <w:rPr>
          <w:rFonts w:ascii="Tahoma" w:hAnsi="Tahoma" w:cs="Tahoma"/>
          <w:sz w:val="32"/>
          <w:szCs w:val="32"/>
        </w:rPr>
      </w:pPr>
      <w:r>
        <w:rPr>
          <w:rFonts w:ascii="Tahoma" w:hAnsi="Tahoma" w:cs="Tahoma"/>
          <w:sz w:val="32"/>
          <w:szCs w:val="32"/>
        </w:rPr>
        <w:t>Main Text</w:t>
      </w:r>
      <w:r w:rsidR="00EB580C">
        <w:rPr>
          <w:rFonts w:ascii="Tahoma" w:hAnsi="Tahoma" w:cs="Tahoma"/>
          <w:sz w:val="32"/>
          <w:szCs w:val="32"/>
        </w:rPr>
        <w:t xml:space="preserve"> – 3</w:t>
      </w:r>
      <w:r w:rsidR="00BC6C38">
        <w:rPr>
          <w:rFonts w:ascii="Tahoma" w:hAnsi="Tahoma" w:cs="Tahoma"/>
          <w:sz w:val="32"/>
          <w:szCs w:val="32"/>
        </w:rPr>
        <w:t>484</w:t>
      </w:r>
    </w:p>
    <w:p w14:paraId="40D805BB" w14:textId="77777777" w:rsidR="00A14108" w:rsidRDefault="00A14108" w:rsidP="007978CF">
      <w:pPr>
        <w:rPr>
          <w:rFonts w:ascii="Tahoma" w:hAnsi="Tahoma" w:cs="Tahoma"/>
          <w:sz w:val="32"/>
          <w:szCs w:val="32"/>
        </w:rPr>
      </w:pPr>
    </w:p>
    <w:p w14:paraId="7622E56B" w14:textId="2EAEDF0D" w:rsidR="00A14108" w:rsidRDefault="00A14108" w:rsidP="007978CF">
      <w:pPr>
        <w:rPr>
          <w:rFonts w:ascii="Tahoma" w:hAnsi="Tahoma" w:cs="Tahoma"/>
          <w:sz w:val="32"/>
          <w:szCs w:val="32"/>
        </w:rPr>
        <w:sectPr w:rsidR="00A14108" w:rsidSect="00DB5CCF">
          <w:pgSz w:w="12240" w:h="15840"/>
          <w:pgMar w:top="1440" w:right="1440" w:bottom="1440" w:left="1440" w:header="720" w:footer="720" w:gutter="0"/>
          <w:cols w:space="720"/>
          <w:docGrid w:linePitch="360"/>
        </w:sectPr>
      </w:pPr>
    </w:p>
    <w:p w14:paraId="4AB5F220" w14:textId="37722B49" w:rsidR="004527E3" w:rsidRPr="00940545" w:rsidRDefault="00C35899" w:rsidP="00E76CCC">
      <w:pPr>
        <w:spacing w:line="360" w:lineRule="auto"/>
        <w:rPr>
          <w:rFonts w:ascii="Tahoma" w:hAnsi="Tahoma" w:cs="Tahoma"/>
          <w:b/>
          <w:sz w:val="32"/>
          <w:szCs w:val="32"/>
        </w:rPr>
      </w:pPr>
      <w:r w:rsidRPr="00940545">
        <w:rPr>
          <w:rFonts w:ascii="Tahoma" w:hAnsi="Tahoma" w:cs="Tahoma"/>
          <w:b/>
          <w:sz w:val="32"/>
          <w:szCs w:val="32"/>
        </w:rPr>
        <w:lastRenderedPageBreak/>
        <w:t>Abstract</w:t>
      </w:r>
    </w:p>
    <w:p w14:paraId="6474C500" w14:textId="512E7032" w:rsidR="00D8539C" w:rsidRPr="00D8539C" w:rsidRDefault="00190903" w:rsidP="002B45CF">
      <w:pPr>
        <w:spacing w:line="360" w:lineRule="auto"/>
        <w:rPr>
          <w:rFonts w:ascii="Tahoma" w:hAnsi="Tahoma" w:cs="Tahoma"/>
        </w:rPr>
      </w:pPr>
      <w:r>
        <w:rPr>
          <w:rFonts w:ascii="Tahoma" w:hAnsi="Tahoma" w:cs="Tahoma"/>
          <w:b/>
          <w:bCs/>
        </w:rPr>
        <w:t>Background</w:t>
      </w:r>
      <w:r w:rsidR="00D8539C" w:rsidRPr="00D8539C">
        <w:rPr>
          <w:rFonts w:ascii="Tahoma" w:hAnsi="Tahoma" w:cs="Tahoma"/>
          <w:b/>
          <w:bCs/>
        </w:rPr>
        <w:t>:</w:t>
      </w:r>
      <w:r w:rsidR="00D8539C" w:rsidRPr="00D8539C">
        <w:rPr>
          <w:rFonts w:ascii="Tahoma" w:hAnsi="Tahoma" w:cs="Tahoma"/>
        </w:rPr>
        <w:t xml:space="preserve"> Deep vein thrombosis (DVT) is a common and preventable complication of lower limb fractures, with a pooled pre-operative prevalence of 24% reported in the literature. A baseline audit at </w:t>
      </w:r>
      <w:r>
        <w:rPr>
          <w:rFonts w:ascii="Tahoma" w:hAnsi="Tahoma" w:cs="Tahoma"/>
        </w:rPr>
        <w:t>Alexandria University Hospital</w:t>
      </w:r>
      <w:r w:rsidR="0094066E">
        <w:rPr>
          <w:rFonts w:ascii="Tahoma" w:hAnsi="Tahoma" w:cs="Tahoma"/>
        </w:rPr>
        <w:t>, Egypt</w:t>
      </w:r>
      <w:r>
        <w:rPr>
          <w:rFonts w:ascii="Tahoma" w:hAnsi="Tahoma" w:cs="Tahoma"/>
        </w:rPr>
        <w:t xml:space="preserve"> </w:t>
      </w:r>
      <w:r w:rsidR="00D8539C" w:rsidRPr="00D8539C">
        <w:rPr>
          <w:rFonts w:ascii="Tahoma" w:hAnsi="Tahoma" w:cs="Tahoma"/>
        </w:rPr>
        <w:t>identified a 29% pre-operative DVT incidence despite universal pharmacological prophylaxis, prompting targeted intervention and re-audit.</w:t>
      </w:r>
    </w:p>
    <w:p w14:paraId="6EB672A1" w14:textId="428268BC" w:rsidR="00D8539C" w:rsidRPr="00D8539C" w:rsidRDefault="00D8539C" w:rsidP="00D8539C">
      <w:pPr>
        <w:spacing w:line="360" w:lineRule="auto"/>
        <w:rPr>
          <w:rFonts w:ascii="Tahoma" w:hAnsi="Tahoma" w:cs="Tahoma"/>
        </w:rPr>
      </w:pPr>
      <w:r w:rsidRPr="00D8539C">
        <w:rPr>
          <w:rFonts w:ascii="Tahoma" w:hAnsi="Tahoma" w:cs="Tahoma"/>
          <w:b/>
          <w:bCs/>
        </w:rPr>
        <w:t>Methods:</w:t>
      </w:r>
      <w:r w:rsidRPr="00D8539C">
        <w:rPr>
          <w:rFonts w:ascii="Tahoma" w:hAnsi="Tahoma" w:cs="Tahoma"/>
        </w:rPr>
        <w:t xml:space="preserve"> A two-cycle closed-loop clinical audit was conducted between Ju</w:t>
      </w:r>
      <w:r w:rsidR="00322FB4">
        <w:rPr>
          <w:rFonts w:ascii="Tahoma" w:hAnsi="Tahoma" w:cs="Tahoma"/>
        </w:rPr>
        <w:t>ne</w:t>
      </w:r>
      <w:r w:rsidRPr="00D8539C">
        <w:rPr>
          <w:rFonts w:ascii="Tahoma" w:hAnsi="Tahoma" w:cs="Tahoma"/>
        </w:rPr>
        <w:t xml:space="preserve"> and December </w:t>
      </w:r>
      <w:r w:rsidR="00064DBF">
        <w:rPr>
          <w:rFonts w:ascii="Tahoma" w:hAnsi="Tahoma" w:cs="Tahoma"/>
        </w:rPr>
        <w:t xml:space="preserve">of </w:t>
      </w:r>
      <w:r w:rsidRPr="00D8539C">
        <w:rPr>
          <w:rFonts w:ascii="Tahoma" w:hAnsi="Tahoma" w:cs="Tahoma"/>
        </w:rPr>
        <w:t>202</w:t>
      </w:r>
      <w:r w:rsidR="00322FB4">
        <w:rPr>
          <w:rFonts w:ascii="Tahoma" w:hAnsi="Tahoma" w:cs="Tahoma"/>
        </w:rPr>
        <w:t>5</w:t>
      </w:r>
      <w:r w:rsidRPr="00D8539C">
        <w:rPr>
          <w:rFonts w:ascii="Tahoma" w:hAnsi="Tahoma" w:cs="Tahoma"/>
        </w:rPr>
        <w:t xml:space="preserve"> in the orthopaedic department. Cycle 1 (</w:t>
      </w:r>
      <w:r w:rsidR="00322FB4">
        <w:rPr>
          <w:rFonts w:ascii="Tahoma" w:hAnsi="Tahoma" w:cs="Tahoma"/>
        </w:rPr>
        <w:t>June to August</w:t>
      </w:r>
      <w:r w:rsidRPr="00D8539C">
        <w:rPr>
          <w:rFonts w:ascii="Tahoma" w:hAnsi="Tahoma" w:cs="Tahoma"/>
        </w:rPr>
        <w:t>, n=100) established baseline DVT incidence and prophylaxis practice. Following implementation of evidence-based interventions</w:t>
      </w:r>
      <w:r w:rsidR="002B45CF">
        <w:rPr>
          <w:rFonts w:ascii="Tahoma" w:hAnsi="Tahoma" w:cs="Tahoma"/>
        </w:rPr>
        <w:t xml:space="preserve">, </w:t>
      </w:r>
      <w:r w:rsidRPr="00D8539C">
        <w:rPr>
          <w:rFonts w:ascii="Tahoma" w:hAnsi="Tahoma" w:cs="Tahoma"/>
        </w:rPr>
        <w:t xml:space="preserve">including earlier </w:t>
      </w:r>
      <w:r w:rsidR="00896CA8">
        <w:rPr>
          <w:rFonts w:ascii="Tahoma" w:hAnsi="Tahoma" w:cs="Tahoma"/>
        </w:rPr>
        <w:t>low molecular weight heparin (</w:t>
      </w:r>
      <w:r w:rsidRPr="00D8539C">
        <w:rPr>
          <w:rFonts w:ascii="Tahoma" w:hAnsi="Tahoma" w:cs="Tahoma"/>
        </w:rPr>
        <w:t>LMWH</w:t>
      </w:r>
      <w:r w:rsidR="00896CA8">
        <w:rPr>
          <w:rFonts w:ascii="Tahoma" w:hAnsi="Tahoma" w:cs="Tahoma"/>
        </w:rPr>
        <w:t>)</w:t>
      </w:r>
      <w:r w:rsidRPr="00D8539C">
        <w:rPr>
          <w:rFonts w:ascii="Tahoma" w:hAnsi="Tahoma" w:cs="Tahoma"/>
        </w:rPr>
        <w:t xml:space="preserve"> initiation, mechanical prophylaxis, staff education, and risk-factor flagging</w:t>
      </w:r>
      <w:r w:rsidR="002B45CF">
        <w:rPr>
          <w:rFonts w:ascii="Tahoma" w:hAnsi="Tahoma" w:cs="Tahoma"/>
        </w:rPr>
        <w:t>,</w:t>
      </w:r>
      <w:r w:rsidRPr="00D8539C">
        <w:rPr>
          <w:rFonts w:ascii="Tahoma" w:hAnsi="Tahoma" w:cs="Tahoma"/>
        </w:rPr>
        <w:t xml:space="preserve"> Cycle 2 (October</w:t>
      </w:r>
      <w:r w:rsidR="00322FB4">
        <w:rPr>
          <w:rFonts w:ascii="Tahoma" w:hAnsi="Tahoma" w:cs="Tahoma"/>
        </w:rPr>
        <w:t xml:space="preserve"> to </w:t>
      </w:r>
      <w:r w:rsidRPr="00D8539C">
        <w:rPr>
          <w:rFonts w:ascii="Tahoma" w:hAnsi="Tahoma" w:cs="Tahoma"/>
        </w:rPr>
        <w:t xml:space="preserve">December, n=109) re-assessed the same parameters. DVT was confirmed by Doppler ultrasound in all patients. Incidence rates with 95% confidence intervals were calculated and compared using a two-proportion z-test. Demographic and comorbidity differences between cycles were </w:t>
      </w:r>
      <w:r w:rsidR="002B45CF">
        <w:rPr>
          <w:rFonts w:ascii="Tahoma" w:hAnsi="Tahoma" w:cs="Tahoma"/>
        </w:rPr>
        <w:t xml:space="preserve">also </w:t>
      </w:r>
      <w:r w:rsidRPr="00D8539C">
        <w:rPr>
          <w:rFonts w:ascii="Tahoma" w:hAnsi="Tahoma" w:cs="Tahoma"/>
        </w:rPr>
        <w:t>assessed</w:t>
      </w:r>
      <w:r w:rsidR="002B45CF">
        <w:rPr>
          <w:rFonts w:ascii="Tahoma" w:hAnsi="Tahoma" w:cs="Tahoma"/>
        </w:rPr>
        <w:t>.</w:t>
      </w:r>
    </w:p>
    <w:p w14:paraId="68587E53" w14:textId="1E3927AC" w:rsidR="00D8539C" w:rsidRPr="00D8539C" w:rsidRDefault="00D8539C" w:rsidP="00D8539C">
      <w:pPr>
        <w:spacing w:line="360" w:lineRule="auto"/>
        <w:rPr>
          <w:rFonts w:ascii="Tahoma" w:hAnsi="Tahoma" w:cs="Tahoma"/>
        </w:rPr>
      </w:pPr>
      <w:r w:rsidRPr="00D8539C">
        <w:rPr>
          <w:rFonts w:ascii="Tahoma" w:hAnsi="Tahoma" w:cs="Tahoma"/>
          <w:b/>
          <w:bCs/>
        </w:rPr>
        <w:t>Results:</w:t>
      </w:r>
      <w:r w:rsidRPr="00D8539C">
        <w:rPr>
          <w:rFonts w:ascii="Tahoma" w:hAnsi="Tahoma" w:cs="Tahoma"/>
        </w:rPr>
        <w:t xml:space="preserve"> Pre-operative DVT incidence decreased from 29.0% (95% CI 20.1</w:t>
      </w:r>
      <w:r w:rsidR="002B45CF">
        <w:rPr>
          <w:rFonts w:ascii="Tahoma" w:hAnsi="Tahoma" w:cs="Tahoma"/>
        </w:rPr>
        <w:t>-</w:t>
      </w:r>
      <w:r w:rsidRPr="00D8539C">
        <w:rPr>
          <w:rFonts w:ascii="Tahoma" w:hAnsi="Tahoma" w:cs="Tahoma"/>
        </w:rPr>
        <w:t>37.9%) in Cycle 1 to 12.8% (95% CI 6.6</w:t>
      </w:r>
      <w:r w:rsidR="002B45CF">
        <w:rPr>
          <w:rFonts w:ascii="Tahoma" w:hAnsi="Tahoma" w:cs="Tahoma"/>
        </w:rPr>
        <w:t>-</w:t>
      </w:r>
      <w:r w:rsidRPr="00D8539C">
        <w:rPr>
          <w:rFonts w:ascii="Tahoma" w:hAnsi="Tahoma" w:cs="Tahoma"/>
        </w:rPr>
        <w:t xml:space="preserve">19.1%) in Cycle 2 (p=0.003), falling below the 24% </w:t>
      </w:r>
      <w:r w:rsidR="002B45CF">
        <w:rPr>
          <w:rFonts w:ascii="Tahoma" w:hAnsi="Tahoma" w:cs="Tahoma"/>
        </w:rPr>
        <w:t xml:space="preserve">pooled </w:t>
      </w:r>
      <w:r w:rsidRPr="00D8539C">
        <w:rPr>
          <w:rFonts w:ascii="Tahoma" w:hAnsi="Tahoma" w:cs="Tahoma"/>
        </w:rPr>
        <w:t>benchmark. Timely LMWH administration improved from 73% to 100%, correct dosing from 84% to 100%, mechanical prophylaxis use from 0% to 34%, and patient education from 69% to 90.8%. Patient demographics and comorbidity profiles were broadly comparable between cycles.</w:t>
      </w:r>
    </w:p>
    <w:p w14:paraId="63B14314" w14:textId="6C93C229" w:rsidR="00E76CCC" w:rsidRDefault="00D8539C" w:rsidP="00680A25">
      <w:pPr>
        <w:spacing w:line="360" w:lineRule="auto"/>
        <w:rPr>
          <w:rFonts w:ascii="Tahoma" w:hAnsi="Tahoma" w:cs="Tahoma"/>
        </w:rPr>
      </w:pPr>
      <w:r w:rsidRPr="00D8539C">
        <w:rPr>
          <w:rFonts w:ascii="Tahoma" w:hAnsi="Tahoma" w:cs="Tahoma"/>
          <w:b/>
          <w:bCs/>
        </w:rPr>
        <w:t>Conclusion:</w:t>
      </w:r>
      <w:r w:rsidRPr="00D8539C">
        <w:rPr>
          <w:rFonts w:ascii="Tahoma" w:hAnsi="Tahoma" w:cs="Tahoma"/>
        </w:rPr>
        <w:t xml:space="preserve"> A structured, multi-component intervention strategy significantly reduced pre-operative DVT incidence in lower limb fracture patients, bringing institutional rates below international benchmarks. These findings support closed-loop clinical audit as an effective and replicable quality improvement tool in orthopaedic trauma care.</w:t>
      </w:r>
    </w:p>
    <w:p w14:paraId="3B3F4871" w14:textId="2B9C00B3" w:rsidR="00E76CCC" w:rsidRDefault="00E76CCC" w:rsidP="00E76CCC">
      <w:pPr>
        <w:spacing w:line="360" w:lineRule="auto"/>
        <w:rPr>
          <w:rFonts w:ascii="Tahoma" w:hAnsi="Tahoma" w:cs="Tahoma"/>
        </w:rPr>
      </w:pPr>
      <w:r w:rsidRPr="00114741">
        <w:rPr>
          <w:rFonts w:ascii="Tahoma" w:hAnsi="Tahoma" w:cs="Tahoma"/>
          <w:b/>
          <w:bCs/>
        </w:rPr>
        <w:t>Keywords:</w:t>
      </w:r>
      <w:r>
        <w:rPr>
          <w:rFonts w:ascii="Tahoma" w:hAnsi="Tahoma" w:cs="Tahoma"/>
        </w:rPr>
        <w:t xml:space="preserve"> </w:t>
      </w:r>
      <w:r w:rsidR="00114741" w:rsidRPr="00114741">
        <w:rPr>
          <w:rFonts w:ascii="Tahoma" w:hAnsi="Tahoma" w:cs="Tahoma"/>
        </w:rPr>
        <w:t>Orthopedics</w:t>
      </w:r>
      <w:r w:rsidR="00114741">
        <w:rPr>
          <w:rFonts w:ascii="Tahoma" w:hAnsi="Tahoma" w:cs="Tahoma"/>
        </w:rPr>
        <w:t xml:space="preserve">; </w:t>
      </w:r>
      <w:r w:rsidR="00114741" w:rsidRPr="00114741">
        <w:rPr>
          <w:rFonts w:ascii="Tahoma" w:hAnsi="Tahoma" w:cs="Tahoma"/>
        </w:rPr>
        <w:t>Clinical Audit</w:t>
      </w:r>
      <w:r w:rsidR="00114741">
        <w:rPr>
          <w:rFonts w:ascii="Tahoma" w:hAnsi="Tahoma" w:cs="Tahoma"/>
        </w:rPr>
        <w:t xml:space="preserve">; </w:t>
      </w:r>
      <w:r w:rsidR="00114741" w:rsidRPr="00114741">
        <w:rPr>
          <w:rFonts w:ascii="Tahoma" w:hAnsi="Tahoma" w:cs="Tahoma"/>
        </w:rPr>
        <w:t>Venous Thromboembolism</w:t>
      </w:r>
      <w:r w:rsidR="00114741">
        <w:rPr>
          <w:rFonts w:ascii="Tahoma" w:hAnsi="Tahoma" w:cs="Tahoma"/>
        </w:rPr>
        <w:t xml:space="preserve">; </w:t>
      </w:r>
      <w:r w:rsidR="00114741" w:rsidRPr="00114741">
        <w:rPr>
          <w:rFonts w:ascii="Tahoma" w:hAnsi="Tahoma" w:cs="Tahoma"/>
        </w:rPr>
        <w:t>Quality Improvement</w:t>
      </w:r>
      <w:r w:rsidR="00114741">
        <w:rPr>
          <w:rFonts w:ascii="Tahoma" w:hAnsi="Tahoma" w:cs="Tahoma"/>
        </w:rPr>
        <w:t xml:space="preserve">; </w:t>
      </w:r>
      <w:r w:rsidR="00114741" w:rsidRPr="00114741">
        <w:rPr>
          <w:rFonts w:ascii="Tahoma" w:hAnsi="Tahoma" w:cs="Tahoma"/>
        </w:rPr>
        <w:t>Anticoagulants</w:t>
      </w:r>
      <w:r w:rsidR="00232FA9">
        <w:rPr>
          <w:rFonts w:ascii="Tahoma" w:hAnsi="Tahoma" w:cs="Tahoma"/>
        </w:rPr>
        <w:t xml:space="preserve">; </w:t>
      </w:r>
      <w:r w:rsidR="00232FA9" w:rsidRPr="00232FA9">
        <w:rPr>
          <w:rFonts w:ascii="Tahoma" w:hAnsi="Tahoma" w:cs="Tahoma"/>
        </w:rPr>
        <w:t>Guideline Adherence</w:t>
      </w:r>
    </w:p>
    <w:p w14:paraId="57095B2B" w14:textId="77777777" w:rsidR="00E76CCC" w:rsidRDefault="00E76CCC" w:rsidP="00E76CCC">
      <w:pPr>
        <w:spacing w:line="360" w:lineRule="auto"/>
        <w:rPr>
          <w:rFonts w:ascii="Tahoma" w:hAnsi="Tahoma" w:cs="Tahoma"/>
        </w:rPr>
      </w:pPr>
    </w:p>
    <w:p w14:paraId="3FA2DA6C" w14:textId="20790604" w:rsidR="00E76CCC" w:rsidRDefault="00E76CCC" w:rsidP="00E76CCC">
      <w:pPr>
        <w:spacing w:line="360" w:lineRule="auto"/>
        <w:rPr>
          <w:rFonts w:ascii="Tahoma" w:hAnsi="Tahoma" w:cs="Tahoma"/>
        </w:rPr>
        <w:sectPr w:rsidR="00E76CCC" w:rsidSect="00DB5CCF">
          <w:pgSz w:w="12240" w:h="15840"/>
          <w:pgMar w:top="1440" w:right="1440" w:bottom="1440" w:left="1440" w:header="720" w:footer="720" w:gutter="0"/>
          <w:cols w:space="720"/>
          <w:docGrid w:linePitch="360"/>
        </w:sectPr>
      </w:pPr>
    </w:p>
    <w:p w14:paraId="5F5D63A1" w14:textId="77777777" w:rsidR="00D0343C" w:rsidRPr="006728C2" w:rsidRDefault="004527E3">
      <w:pPr>
        <w:rPr>
          <w:rFonts w:ascii="Tahoma" w:hAnsi="Tahoma" w:cs="Tahoma"/>
          <w:b/>
          <w:sz w:val="32"/>
          <w:szCs w:val="32"/>
        </w:rPr>
      </w:pPr>
      <w:r w:rsidRPr="006728C2">
        <w:rPr>
          <w:rFonts w:ascii="Tahoma" w:hAnsi="Tahoma" w:cs="Tahoma"/>
          <w:b/>
          <w:sz w:val="32"/>
          <w:szCs w:val="32"/>
        </w:rPr>
        <w:lastRenderedPageBreak/>
        <w:t>Introduction</w:t>
      </w:r>
    </w:p>
    <w:p w14:paraId="3B4179B7" w14:textId="19A94E6E" w:rsidR="00CF15AB" w:rsidRPr="00CF15AB" w:rsidRDefault="00CF15AB" w:rsidP="00912D39">
      <w:pPr>
        <w:spacing w:line="360" w:lineRule="auto"/>
        <w:rPr>
          <w:rFonts w:ascii="Tahoma" w:hAnsi="Tahoma" w:cs="Tahoma"/>
        </w:rPr>
      </w:pPr>
      <w:r w:rsidRPr="00CF15AB">
        <w:rPr>
          <w:rFonts w:ascii="Tahoma" w:hAnsi="Tahoma" w:cs="Tahoma"/>
        </w:rPr>
        <w:t>Deep vein thrombosis (DVT) is a common and preventable complication of orthopaedic trauma, representing a major global cause of morbidity and mortality</w:t>
      </w:r>
      <w:r w:rsidR="000A2D06">
        <w:rPr>
          <w:rFonts w:ascii="Tahoma" w:hAnsi="Tahoma" w:cs="Tahoma"/>
        </w:rPr>
        <w:t xml:space="preserve"> </w:t>
      </w:r>
      <w:r w:rsidR="00912D39" w:rsidRPr="00912D39">
        <w:rPr>
          <w:rFonts w:ascii="Tahoma" w:hAnsi="Tahoma" w:cs="Tahoma"/>
        </w:rPr>
        <w:t>[1,2]</w:t>
      </w:r>
      <w:r w:rsidRPr="00CF15AB">
        <w:rPr>
          <w:rFonts w:ascii="Tahoma" w:hAnsi="Tahoma" w:cs="Tahoma"/>
        </w:rPr>
        <w:t xml:space="preserve">. It is associated with life-threatening sequelae, most notably pulmonary embolism (PE). DVT risk is particularly elevated following lower limb fractures due to prolonged immobilisation and trauma-induced hypercoagulability </w:t>
      </w:r>
      <w:r w:rsidR="00912D39" w:rsidRPr="00912D39">
        <w:rPr>
          <w:rFonts w:ascii="Tahoma" w:hAnsi="Tahoma" w:cs="Tahoma"/>
        </w:rPr>
        <w:t>[3]</w:t>
      </w:r>
      <w:r w:rsidRPr="00CF15AB">
        <w:rPr>
          <w:rFonts w:ascii="Tahoma" w:hAnsi="Tahoma" w:cs="Tahoma"/>
        </w:rPr>
        <w:t>.</w:t>
      </w:r>
    </w:p>
    <w:p w14:paraId="59E7309A" w14:textId="0451A81E" w:rsidR="00CF15AB" w:rsidRPr="00CF15AB" w:rsidRDefault="00CF15AB" w:rsidP="00912D39">
      <w:pPr>
        <w:spacing w:line="360" w:lineRule="auto"/>
        <w:rPr>
          <w:rFonts w:ascii="Tahoma" w:hAnsi="Tahoma" w:cs="Tahoma"/>
        </w:rPr>
      </w:pPr>
      <w:r w:rsidRPr="00CF15AB">
        <w:rPr>
          <w:rFonts w:ascii="Tahoma" w:hAnsi="Tahoma" w:cs="Tahoma"/>
        </w:rPr>
        <w:t xml:space="preserve">Despite the existence of established international guidelines recommending timely risk assessment and pharmacological and/or mechanical thromboprophylaxis in this patient group </w:t>
      </w:r>
      <w:r w:rsidR="00912D39" w:rsidRPr="00912D39">
        <w:rPr>
          <w:rFonts w:ascii="Tahoma" w:hAnsi="Tahoma" w:cs="Tahoma"/>
        </w:rPr>
        <w:t>[4–7]</w:t>
      </w:r>
      <w:r w:rsidRPr="00CF15AB">
        <w:rPr>
          <w:rFonts w:ascii="Tahoma" w:hAnsi="Tahoma" w:cs="Tahoma"/>
        </w:rPr>
        <w:t xml:space="preserve">, DVT remains common in orthopaedic trauma settings. A 2023 meta-analysis of 18,119 patients </w:t>
      </w:r>
      <w:r w:rsidR="00F54FC8">
        <w:rPr>
          <w:rFonts w:ascii="Tahoma" w:hAnsi="Tahoma" w:cs="Tahoma"/>
        </w:rPr>
        <w:t xml:space="preserve">by Hu et al. </w:t>
      </w:r>
      <w:r w:rsidRPr="00CF15AB">
        <w:rPr>
          <w:rFonts w:ascii="Tahoma" w:hAnsi="Tahoma" w:cs="Tahoma"/>
        </w:rPr>
        <w:t xml:space="preserve">reported a pooled pre-operative DVT prevalence of 24% in lower limb fracture patients </w:t>
      </w:r>
      <w:r w:rsidR="00912D39" w:rsidRPr="00912D39">
        <w:rPr>
          <w:rFonts w:ascii="Tahoma" w:hAnsi="Tahoma" w:cs="Tahoma"/>
        </w:rPr>
        <w:t>[8]</w:t>
      </w:r>
      <w:r w:rsidRPr="00CF15AB">
        <w:rPr>
          <w:rFonts w:ascii="Tahoma" w:hAnsi="Tahoma" w:cs="Tahoma"/>
        </w:rPr>
        <w:t>, highlighting a persistent gap between guideline recommendations and real-world outcomes. Risk factors including obesity, smoking, hypertension, diabetes mellitus, and prior DVT history are well established in the literature as contributors to thrombotic risk</w:t>
      </w:r>
      <w:r w:rsidR="00D2091E">
        <w:rPr>
          <w:rFonts w:ascii="Tahoma" w:hAnsi="Tahoma" w:cs="Tahoma"/>
        </w:rPr>
        <w:t>,</w:t>
      </w:r>
      <w:r w:rsidRPr="00CF15AB">
        <w:rPr>
          <w:rFonts w:ascii="Tahoma" w:hAnsi="Tahoma" w:cs="Tahoma"/>
        </w:rPr>
        <w:t xml:space="preserve"> and their prevalence in older orthopaedic trauma populations makes DVT prevention a particularly important clinical challenge in this setting</w:t>
      </w:r>
      <w:r w:rsidR="00D2091E">
        <w:rPr>
          <w:rFonts w:ascii="Tahoma" w:hAnsi="Tahoma" w:cs="Tahoma"/>
        </w:rPr>
        <w:t xml:space="preserve"> </w:t>
      </w:r>
      <w:r w:rsidR="00912D39" w:rsidRPr="00912D39">
        <w:rPr>
          <w:rFonts w:ascii="Tahoma" w:hAnsi="Tahoma" w:cs="Tahoma"/>
        </w:rPr>
        <w:t>[9–11]</w:t>
      </w:r>
      <w:r w:rsidRPr="00CF15AB">
        <w:rPr>
          <w:rFonts w:ascii="Tahoma" w:hAnsi="Tahoma" w:cs="Tahoma"/>
        </w:rPr>
        <w:t>.</w:t>
      </w:r>
    </w:p>
    <w:p w14:paraId="15407CF5" w14:textId="4E48F15E" w:rsidR="00CF15AB" w:rsidRPr="00CF15AB" w:rsidRDefault="00CF15AB" w:rsidP="00912D39">
      <w:pPr>
        <w:spacing w:line="360" w:lineRule="auto"/>
        <w:rPr>
          <w:rFonts w:ascii="Tahoma" w:hAnsi="Tahoma" w:cs="Tahoma"/>
        </w:rPr>
      </w:pPr>
      <w:r w:rsidRPr="00CF15AB">
        <w:rPr>
          <w:rFonts w:ascii="Tahoma" w:hAnsi="Tahoma" w:cs="Tahoma"/>
        </w:rPr>
        <w:t xml:space="preserve">Clinical audit is a structured quality improvement process through which clinical practice is measured against predetermined standards and, where gaps are identified, targeted changes are implemented and re-evaluated. The National Institute for Health and Care Excellence (NICE) defines clinical audit as "a quality improvement process that seeks to improve patient care and outcomes through systematic review of care against explicit criteria and the implementation of change" </w:t>
      </w:r>
      <w:r w:rsidR="00912D39" w:rsidRPr="00912D39">
        <w:rPr>
          <w:rFonts w:ascii="Tahoma" w:hAnsi="Tahoma" w:cs="Tahoma"/>
        </w:rPr>
        <w:t>[12]</w:t>
      </w:r>
      <w:r w:rsidRPr="00CF15AB">
        <w:rPr>
          <w:rFonts w:ascii="Tahoma" w:hAnsi="Tahoma" w:cs="Tahoma"/>
        </w:rPr>
        <w:t>. Despite its established role as a quality improvement tool, published closed-loop audit data on DVT prevention in orthopaedic trauma</w:t>
      </w:r>
      <w:r w:rsidR="000A2D06">
        <w:rPr>
          <w:rFonts w:ascii="Tahoma" w:hAnsi="Tahoma" w:cs="Tahoma"/>
        </w:rPr>
        <w:t xml:space="preserve">, </w:t>
      </w:r>
      <w:r w:rsidRPr="00CF15AB">
        <w:rPr>
          <w:rFonts w:ascii="Tahoma" w:hAnsi="Tahoma" w:cs="Tahoma"/>
        </w:rPr>
        <w:t>particularly from hospitals in this region</w:t>
      </w:r>
      <w:r w:rsidR="000A2D06">
        <w:rPr>
          <w:rFonts w:ascii="Tahoma" w:hAnsi="Tahoma" w:cs="Tahoma"/>
        </w:rPr>
        <w:t>,</w:t>
      </w:r>
      <w:r w:rsidRPr="00CF15AB">
        <w:rPr>
          <w:rFonts w:ascii="Tahoma" w:hAnsi="Tahoma" w:cs="Tahoma"/>
        </w:rPr>
        <w:t xml:space="preserve"> remain scarce. Understanding whether locally implemented, evidence-based interventions can meaningfully reduce DVT incidence in this setting is therefore of both local and wider relevance.</w:t>
      </w:r>
    </w:p>
    <w:p w14:paraId="559B1A27" w14:textId="7F2C2B81" w:rsidR="008324AF" w:rsidRDefault="00CF15AB" w:rsidP="00912D39">
      <w:pPr>
        <w:spacing w:line="360" w:lineRule="auto"/>
        <w:rPr>
          <w:rFonts w:ascii="Tahoma" w:hAnsi="Tahoma" w:cs="Tahoma"/>
        </w:rPr>
      </w:pPr>
      <w:r w:rsidRPr="00CF15AB">
        <w:rPr>
          <w:rFonts w:ascii="Tahoma" w:hAnsi="Tahoma" w:cs="Tahoma"/>
        </w:rPr>
        <w:t xml:space="preserve">In this context, we conducted a two-cycle closed-loop clinical audit at Alexandria University Hospital. The aim of Cycle 1 was to establish the baseline incidence of pre-operative DVT in patients with lower limb fractures, compare it against the published benchmark of 24% </w:t>
      </w:r>
      <w:r w:rsidR="00912D39" w:rsidRPr="00912D39">
        <w:rPr>
          <w:rFonts w:ascii="Tahoma" w:hAnsi="Tahoma" w:cs="Tahoma"/>
        </w:rPr>
        <w:t>[8]</w:t>
      </w:r>
      <w:r w:rsidRPr="00CF15AB">
        <w:rPr>
          <w:rFonts w:ascii="Tahoma" w:hAnsi="Tahoma" w:cs="Tahoma"/>
        </w:rPr>
        <w:t xml:space="preserve">, and evaluate existing anticoagulant prophylaxis practices in terms of route, timing, dosage, and compliance. Following Cycle 1, a set of evidence-based interventions was designed and </w:t>
      </w:r>
      <w:r w:rsidRPr="00CF15AB">
        <w:rPr>
          <w:rFonts w:ascii="Tahoma" w:hAnsi="Tahoma" w:cs="Tahoma"/>
        </w:rPr>
        <w:lastRenderedPageBreak/>
        <w:t xml:space="preserve">implemented. The aim of Cycle 2 was to re-assess DVT incidence and the same audit standards following these changes. </w:t>
      </w:r>
    </w:p>
    <w:p w14:paraId="734FCEEE" w14:textId="74592696" w:rsidR="00F74E1B" w:rsidRPr="00F74E1B" w:rsidRDefault="00CF15AB" w:rsidP="00433305">
      <w:pPr>
        <w:spacing w:line="360" w:lineRule="auto"/>
        <w:rPr>
          <w:rFonts w:ascii="Tahoma" w:hAnsi="Tahoma" w:cs="Tahoma"/>
        </w:rPr>
      </w:pPr>
      <w:r w:rsidRPr="00CF15AB">
        <w:rPr>
          <w:rFonts w:ascii="Tahoma" w:hAnsi="Tahoma" w:cs="Tahoma"/>
        </w:rPr>
        <w:t>The primary objective was to reduce pre-operative DVT incidence through evidence-based intervention. Secondary objectives included evaluating adherence to prophylaxis protocols, and assessing whether implemented changes led to measurable improvements in practice. This article reports the methods, findings, and implications of both audit cycles.</w:t>
      </w:r>
    </w:p>
    <w:p w14:paraId="7337D9D4" w14:textId="3CDB2865" w:rsidR="009857BE" w:rsidRDefault="009857BE" w:rsidP="00200CB0">
      <w:pPr>
        <w:spacing w:line="360" w:lineRule="auto"/>
        <w:rPr>
          <w:rFonts w:ascii="Tahoma" w:hAnsi="Tahoma" w:cs="Tahoma"/>
        </w:rPr>
      </w:pPr>
    </w:p>
    <w:p w14:paraId="367A6120" w14:textId="77777777" w:rsidR="00570ADB" w:rsidRDefault="00570ADB" w:rsidP="00200CB0">
      <w:pPr>
        <w:spacing w:line="360" w:lineRule="auto"/>
        <w:rPr>
          <w:rFonts w:ascii="Tahoma" w:hAnsi="Tahoma" w:cs="Tahoma"/>
        </w:rPr>
      </w:pPr>
    </w:p>
    <w:p w14:paraId="46DAF00C" w14:textId="5837CF27" w:rsidR="00570ADB" w:rsidRPr="00570ADB" w:rsidRDefault="00570ADB" w:rsidP="00200CB0">
      <w:pPr>
        <w:spacing w:line="360" w:lineRule="auto"/>
        <w:rPr>
          <w:rFonts w:ascii="Tahoma" w:hAnsi="Tahoma" w:cs="Tahoma"/>
        </w:rPr>
        <w:sectPr w:rsidR="00570ADB" w:rsidRPr="00570ADB" w:rsidSect="00DB5CCF">
          <w:pgSz w:w="12240" w:h="15840"/>
          <w:pgMar w:top="1440" w:right="1440" w:bottom="1440" w:left="1440" w:header="720" w:footer="720" w:gutter="0"/>
          <w:cols w:space="720"/>
          <w:docGrid w:linePitch="360"/>
        </w:sectPr>
      </w:pPr>
    </w:p>
    <w:p w14:paraId="1505F486" w14:textId="77777777" w:rsidR="00D0343C" w:rsidRPr="00C35899" w:rsidRDefault="00C35899" w:rsidP="00200CB0">
      <w:pPr>
        <w:rPr>
          <w:rFonts w:ascii="Tahoma" w:hAnsi="Tahoma" w:cs="Tahoma"/>
          <w:b/>
          <w:sz w:val="32"/>
          <w:szCs w:val="32"/>
        </w:rPr>
      </w:pPr>
      <w:r w:rsidRPr="00C35899">
        <w:rPr>
          <w:rFonts w:ascii="Tahoma" w:hAnsi="Tahoma" w:cs="Tahoma"/>
          <w:b/>
          <w:sz w:val="32"/>
          <w:szCs w:val="32"/>
        </w:rPr>
        <w:lastRenderedPageBreak/>
        <w:t>Methods</w:t>
      </w:r>
      <w:r w:rsidR="004527E3" w:rsidRPr="00C35899">
        <w:rPr>
          <w:rFonts w:ascii="Tahoma" w:hAnsi="Tahoma" w:cs="Tahoma"/>
          <w:b/>
          <w:sz w:val="32"/>
          <w:szCs w:val="32"/>
        </w:rPr>
        <w:t xml:space="preserve"> </w:t>
      </w:r>
      <w:r w:rsidR="00D0343C" w:rsidRPr="00C35899">
        <w:rPr>
          <w:rFonts w:ascii="Tahoma" w:hAnsi="Tahoma" w:cs="Tahoma"/>
          <w:b/>
          <w:sz w:val="32"/>
          <w:szCs w:val="32"/>
        </w:rPr>
        <w:t xml:space="preserve"> </w:t>
      </w:r>
    </w:p>
    <w:p w14:paraId="3FAE8F69" w14:textId="19D3B4D8" w:rsidR="00935DDD" w:rsidRDefault="007C66C4" w:rsidP="00200CB0">
      <w:pPr>
        <w:spacing w:line="360" w:lineRule="auto"/>
        <w:rPr>
          <w:rFonts w:ascii="Tahoma" w:hAnsi="Tahoma" w:cs="Tahoma"/>
        </w:rPr>
      </w:pPr>
      <w:r w:rsidRPr="00554B24">
        <w:rPr>
          <w:rFonts w:ascii="Tahoma" w:hAnsi="Tahoma" w:cs="Tahoma"/>
          <w:b/>
          <w:bCs/>
        </w:rPr>
        <w:t>Study Design</w:t>
      </w:r>
      <w:r w:rsidR="009251EB" w:rsidRPr="00554B24">
        <w:rPr>
          <w:rFonts w:ascii="Tahoma" w:hAnsi="Tahoma" w:cs="Tahoma"/>
          <w:b/>
          <w:bCs/>
        </w:rPr>
        <w:t xml:space="preserve">: </w:t>
      </w:r>
      <w:r w:rsidR="004271C5" w:rsidRPr="004271C5">
        <w:rPr>
          <w:rFonts w:ascii="Tahoma" w:hAnsi="Tahoma" w:cs="Tahoma"/>
        </w:rPr>
        <w:t xml:space="preserve">This was a two-cycle prospective clinical audit conducted between </w:t>
      </w:r>
      <w:r w:rsidR="00935DDD">
        <w:rPr>
          <w:rFonts w:ascii="Tahoma" w:hAnsi="Tahoma" w:cs="Tahoma"/>
        </w:rPr>
        <w:t>June</w:t>
      </w:r>
      <w:r w:rsidR="004271C5" w:rsidRPr="004271C5">
        <w:rPr>
          <w:rFonts w:ascii="Tahoma" w:hAnsi="Tahoma" w:cs="Tahoma"/>
        </w:rPr>
        <w:t xml:space="preserve"> and December 202</w:t>
      </w:r>
      <w:r w:rsidR="00935DDD">
        <w:rPr>
          <w:rFonts w:ascii="Tahoma" w:hAnsi="Tahoma" w:cs="Tahoma"/>
        </w:rPr>
        <w:t>5</w:t>
      </w:r>
      <w:r w:rsidR="004271C5" w:rsidRPr="004271C5">
        <w:rPr>
          <w:rFonts w:ascii="Tahoma" w:hAnsi="Tahoma" w:cs="Tahoma"/>
        </w:rPr>
        <w:t xml:space="preserve"> in the orthopaedic department at Alexandria Main University Hospital. Cycle 1 (J</w:t>
      </w:r>
      <w:r w:rsidR="00935DDD">
        <w:rPr>
          <w:rFonts w:ascii="Tahoma" w:hAnsi="Tahoma" w:cs="Tahoma"/>
        </w:rPr>
        <w:t>une to August</w:t>
      </w:r>
      <w:r w:rsidR="004271C5" w:rsidRPr="004271C5">
        <w:rPr>
          <w:rFonts w:ascii="Tahoma" w:hAnsi="Tahoma" w:cs="Tahoma"/>
        </w:rPr>
        <w:t xml:space="preserve"> 202</w:t>
      </w:r>
      <w:r w:rsidR="00935DDD">
        <w:rPr>
          <w:rFonts w:ascii="Tahoma" w:hAnsi="Tahoma" w:cs="Tahoma"/>
        </w:rPr>
        <w:t>5</w:t>
      </w:r>
      <w:r w:rsidR="004271C5" w:rsidRPr="004271C5">
        <w:rPr>
          <w:rFonts w:ascii="Tahoma" w:hAnsi="Tahoma" w:cs="Tahoma"/>
        </w:rPr>
        <w:t>) constituted the baseline observational audit, and Cycle 2 (October</w:t>
      </w:r>
      <w:r w:rsidR="00935DDD">
        <w:rPr>
          <w:rFonts w:ascii="Tahoma" w:hAnsi="Tahoma" w:cs="Tahoma"/>
        </w:rPr>
        <w:t xml:space="preserve"> to </w:t>
      </w:r>
      <w:r w:rsidR="004271C5" w:rsidRPr="004271C5">
        <w:rPr>
          <w:rFonts w:ascii="Tahoma" w:hAnsi="Tahoma" w:cs="Tahoma"/>
        </w:rPr>
        <w:t>December 202</w:t>
      </w:r>
      <w:r w:rsidR="00935DDD">
        <w:rPr>
          <w:rFonts w:ascii="Tahoma" w:hAnsi="Tahoma" w:cs="Tahoma"/>
        </w:rPr>
        <w:t>5</w:t>
      </w:r>
      <w:r w:rsidR="004271C5" w:rsidRPr="004271C5">
        <w:rPr>
          <w:rFonts w:ascii="Tahoma" w:hAnsi="Tahoma" w:cs="Tahoma"/>
        </w:rPr>
        <w:t xml:space="preserve">) served as the re-audit following the implementation of targeted interventions, thereby completing the audit loop. Both cycles employed identical inclusion and exclusion criteria, the same data collection instruments, and the same DVT screening protocol to ensure comparability across cycles. Ward staffing, patient flow pathways, and the clinical educators involved in staff training remained stable throughout both cycles, minimising the risk of confounding from organisational change. </w:t>
      </w:r>
    </w:p>
    <w:p w14:paraId="3C568B78" w14:textId="00236721" w:rsidR="004271C5" w:rsidRPr="004271C5" w:rsidRDefault="004271C5" w:rsidP="00200CB0">
      <w:pPr>
        <w:spacing w:line="360" w:lineRule="auto"/>
        <w:rPr>
          <w:rFonts w:ascii="Tahoma" w:hAnsi="Tahoma" w:cs="Tahoma"/>
        </w:rPr>
      </w:pPr>
      <w:r w:rsidRPr="004271C5">
        <w:rPr>
          <w:rFonts w:ascii="Tahoma" w:hAnsi="Tahoma" w:cs="Tahoma"/>
        </w:rPr>
        <w:t>The risk of inter-cycle contamination was minimised by ensuring sequential enrolment with a clear demarcation point</w:t>
      </w:r>
      <w:r w:rsidR="00935DDD">
        <w:rPr>
          <w:rFonts w:ascii="Tahoma" w:hAnsi="Tahoma" w:cs="Tahoma"/>
        </w:rPr>
        <w:t>,</w:t>
      </w:r>
      <w:r w:rsidRPr="004271C5">
        <w:rPr>
          <w:rFonts w:ascii="Tahoma" w:hAnsi="Tahoma" w:cs="Tahoma"/>
        </w:rPr>
        <w:t xml:space="preserve"> Cycle 1 concluded in </w:t>
      </w:r>
      <w:r w:rsidR="00935DDD">
        <w:rPr>
          <w:rFonts w:ascii="Tahoma" w:hAnsi="Tahoma" w:cs="Tahoma"/>
        </w:rPr>
        <w:t>August</w:t>
      </w:r>
      <w:r w:rsidRPr="004271C5">
        <w:rPr>
          <w:rFonts w:ascii="Tahoma" w:hAnsi="Tahoma" w:cs="Tahoma"/>
        </w:rPr>
        <w:t xml:space="preserve"> </w:t>
      </w:r>
      <w:r w:rsidR="00EB414E" w:rsidRPr="004271C5">
        <w:rPr>
          <w:rFonts w:ascii="Tahoma" w:hAnsi="Tahoma" w:cs="Tahoma"/>
        </w:rPr>
        <w:t>202</w:t>
      </w:r>
      <w:r w:rsidR="00EB414E">
        <w:rPr>
          <w:rFonts w:ascii="Tahoma" w:hAnsi="Tahoma" w:cs="Tahoma"/>
        </w:rPr>
        <w:t>5,</w:t>
      </w:r>
      <w:r w:rsidRPr="004271C5">
        <w:rPr>
          <w:rFonts w:ascii="Tahoma" w:hAnsi="Tahoma" w:cs="Tahoma"/>
        </w:rPr>
        <w:t xml:space="preserve"> and all interventions were implemented before Cycle 2 commenced in October 202</w:t>
      </w:r>
      <w:r w:rsidR="00935DDD">
        <w:rPr>
          <w:rFonts w:ascii="Tahoma" w:hAnsi="Tahoma" w:cs="Tahoma"/>
        </w:rPr>
        <w:t>5,</w:t>
      </w:r>
      <w:r w:rsidRPr="004271C5">
        <w:rPr>
          <w:rFonts w:ascii="Tahoma" w:hAnsi="Tahoma" w:cs="Tahoma"/>
        </w:rPr>
        <w:t xml:space="preserve"> meaning no patient was enrolled in both cycles simultaneously. To the best of the audit team's knowledge, no major departmental restructuring, changes in senior medical personnel, formulary changes, or hospital-wide </w:t>
      </w:r>
      <w:r w:rsidR="00935DDD">
        <w:rPr>
          <w:rFonts w:ascii="Tahoma" w:hAnsi="Tahoma" w:cs="Tahoma"/>
        </w:rPr>
        <w:t>venous thromboembolism (</w:t>
      </w:r>
      <w:r w:rsidRPr="004271C5">
        <w:rPr>
          <w:rFonts w:ascii="Tahoma" w:hAnsi="Tahoma" w:cs="Tahoma"/>
        </w:rPr>
        <w:t>VTE</w:t>
      </w:r>
      <w:r w:rsidR="00935DDD">
        <w:rPr>
          <w:rFonts w:ascii="Tahoma" w:hAnsi="Tahoma" w:cs="Tahoma"/>
        </w:rPr>
        <w:t>)</w:t>
      </w:r>
      <w:r w:rsidRPr="004271C5">
        <w:rPr>
          <w:rFonts w:ascii="Tahoma" w:hAnsi="Tahoma" w:cs="Tahoma"/>
        </w:rPr>
        <w:t xml:space="preserve"> policy updates occurred during the audit period that could have independently influenced DVT rates.</w:t>
      </w:r>
    </w:p>
    <w:p w14:paraId="57D05CDE" w14:textId="55D6F44D" w:rsidR="007C66C4" w:rsidRPr="004271C5" w:rsidRDefault="004271C5" w:rsidP="00200CB0">
      <w:pPr>
        <w:spacing w:line="360" w:lineRule="auto"/>
        <w:rPr>
          <w:rFonts w:ascii="Tahoma" w:hAnsi="Tahoma" w:cs="Tahoma"/>
        </w:rPr>
      </w:pPr>
      <w:r w:rsidRPr="004271C5">
        <w:rPr>
          <w:rFonts w:ascii="Tahoma" w:hAnsi="Tahoma" w:cs="Tahoma"/>
        </w:rPr>
        <w:t xml:space="preserve">This audit was conducted as a quality improvement project aimed at improving local clinical practice. </w:t>
      </w:r>
      <w:r w:rsidR="00AB443C">
        <w:rPr>
          <w:rFonts w:ascii="Tahoma" w:hAnsi="Tahoma" w:cs="Tahoma"/>
        </w:rPr>
        <w:t>F</w:t>
      </w:r>
      <w:r w:rsidRPr="004271C5">
        <w:rPr>
          <w:rFonts w:ascii="Tahoma" w:hAnsi="Tahoma" w:cs="Tahoma"/>
        </w:rPr>
        <w:t>indings are intended to inform practice at the study institution, though they may have relevance to similar orthopaedic trauma settings.</w:t>
      </w:r>
    </w:p>
    <w:p w14:paraId="4042B347" w14:textId="3CE87B29" w:rsidR="007C66C4" w:rsidRPr="00554B24" w:rsidRDefault="007C66C4" w:rsidP="00200CB0">
      <w:pPr>
        <w:spacing w:line="360" w:lineRule="auto"/>
        <w:rPr>
          <w:rFonts w:ascii="Tahoma" w:hAnsi="Tahoma" w:cs="Tahoma"/>
        </w:rPr>
      </w:pPr>
      <w:r w:rsidRPr="00554B24">
        <w:rPr>
          <w:rFonts w:ascii="Tahoma" w:hAnsi="Tahoma" w:cs="Tahoma"/>
          <w:b/>
          <w:bCs/>
        </w:rPr>
        <w:t>Inclusion criteria:</w:t>
      </w:r>
      <w:r w:rsidRPr="00554B24">
        <w:rPr>
          <w:rFonts w:ascii="Tahoma" w:hAnsi="Tahoma" w:cs="Tahoma"/>
        </w:rPr>
        <w:t xml:space="preserve"> P</w:t>
      </w:r>
      <w:r w:rsidR="004271C5" w:rsidRPr="004271C5">
        <w:rPr>
          <w:rFonts w:ascii="Tahoma" w:hAnsi="Tahoma" w:cs="Tahoma"/>
        </w:rPr>
        <w:t>atients aged ≥</w:t>
      </w:r>
      <w:r w:rsidR="00F23A30">
        <w:rPr>
          <w:rFonts w:ascii="Tahoma" w:hAnsi="Tahoma" w:cs="Tahoma"/>
        </w:rPr>
        <w:t>1</w:t>
      </w:r>
      <w:r w:rsidR="0046216A">
        <w:rPr>
          <w:rFonts w:ascii="Tahoma" w:hAnsi="Tahoma" w:cs="Tahoma"/>
        </w:rPr>
        <w:t>6</w:t>
      </w:r>
      <w:r w:rsidR="004271C5" w:rsidRPr="004271C5">
        <w:rPr>
          <w:rFonts w:ascii="Tahoma" w:hAnsi="Tahoma" w:cs="Tahoma"/>
        </w:rPr>
        <w:t xml:space="preserve"> years admitted with lower limb fractures</w:t>
      </w:r>
      <w:r w:rsidR="00381AAB">
        <w:rPr>
          <w:rFonts w:ascii="Tahoma" w:hAnsi="Tahoma" w:cs="Tahoma"/>
        </w:rPr>
        <w:t>,</w:t>
      </w:r>
      <w:r w:rsidR="004271C5" w:rsidRPr="004271C5">
        <w:rPr>
          <w:rFonts w:ascii="Tahoma" w:hAnsi="Tahoma" w:cs="Tahoma"/>
        </w:rPr>
        <w:t xml:space="preserve"> including fractures of the hip, femur, tibia</w:t>
      </w:r>
      <w:r w:rsidR="00381AAB">
        <w:rPr>
          <w:rFonts w:ascii="Tahoma" w:hAnsi="Tahoma" w:cs="Tahoma"/>
        </w:rPr>
        <w:t xml:space="preserve">, </w:t>
      </w:r>
      <w:r w:rsidR="004271C5" w:rsidRPr="004271C5">
        <w:rPr>
          <w:rFonts w:ascii="Tahoma" w:hAnsi="Tahoma" w:cs="Tahoma"/>
        </w:rPr>
        <w:t xml:space="preserve">fibula, ankle, and foot </w:t>
      </w:r>
      <w:r w:rsidR="00325B08">
        <w:rPr>
          <w:rFonts w:ascii="Tahoma" w:hAnsi="Tahoma" w:cs="Tahoma"/>
        </w:rPr>
        <w:t xml:space="preserve">(fractures </w:t>
      </w:r>
      <w:r w:rsidR="004271C5" w:rsidRPr="004271C5">
        <w:rPr>
          <w:rFonts w:ascii="Tahoma" w:hAnsi="Tahoma" w:cs="Tahoma"/>
        </w:rPr>
        <w:t xml:space="preserve">requiring </w:t>
      </w:r>
      <w:r w:rsidR="00325B08">
        <w:rPr>
          <w:rFonts w:ascii="Tahoma" w:hAnsi="Tahoma" w:cs="Tahoma"/>
        </w:rPr>
        <w:t>immobilization)</w:t>
      </w:r>
      <w:r w:rsidR="004271C5" w:rsidRPr="004271C5">
        <w:rPr>
          <w:rFonts w:ascii="Tahoma" w:hAnsi="Tahoma" w:cs="Tahoma"/>
        </w:rPr>
        <w:t>.</w:t>
      </w:r>
    </w:p>
    <w:p w14:paraId="2E25D382" w14:textId="3889FB81" w:rsidR="007C66C4" w:rsidRPr="00554B24" w:rsidRDefault="007C66C4" w:rsidP="00200CB0">
      <w:pPr>
        <w:spacing w:line="360" w:lineRule="auto"/>
        <w:rPr>
          <w:rFonts w:ascii="Tahoma" w:hAnsi="Tahoma" w:cs="Tahoma"/>
        </w:rPr>
      </w:pPr>
      <w:r w:rsidRPr="00554B24">
        <w:rPr>
          <w:rFonts w:ascii="Tahoma" w:hAnsi="Tahoma" w:cs="Tahoma"/>
          <w:b/>
          <w:bCs/>
        </w:rPr>
        <w:t>Exclusion criteria:</w:t>
      </w:r>
      <w:r w:rsidRPr="00554B24">
        <w:rPr>
          <w:rFonts w:ascii="Tahoma" w:hAnsi="Tahoma" w:cs="Tahoma"/>
        </w:rPr>
        <w:t xml:space="preserve"> </w:t>
      </w:r>
      <w:r w:rsidR="004271C5" w:rsidRPr="004271C5">
        <w:rPr>
          <w:rFonts w:ascii="Tahoma" w:hAnsi="Tahoma" w:cs="Tahoma"/>
        </w:rPr>
        <w:t>Patients with non-lower limb fractures, or isolated lower limb injuries not requiring immobilisation, were excluded to ensure a comparable risk cohort.</w:t>
      </w:r>
    </w:p>
    <w:p w14:paraId="2494572F" w14:textId="0D79383B" w:rsidR="007C66C4" w:rsidRPr="004271C5" w:rsidRDefault="007C66C4" w:rsidP="00912D39">
      <w:pPr>
        <w:spacing w:line="360" w:lineRule="auto"/>
        <w:rPr>
          <w:rFonts w:ascii="Tahoma" w:hAnsi="Tahoma" w:cs="Tahoma"/>
        </w:rPr>
      </w:pPr>
      <w:r w:rsidRPr="00554B24">
        <w:rPr>
          <w:rFonts w:ascii="Tahoma" w:hAnsi="Tahoma" w:cs="Tahoma"/>
          <w:b/>
          <w:bCs/>
        </w:rPr>
        <w:t>Audit Standards</w:t>
      </w:r>
      <w:r w:rsidR="002D041F" w:rsidRPr="00554B24">
        <w:rPr>
          <w:rFonts w:ascii="Tahoma" w:hAnsi="Tahoma" w:cs="Tahoma"/>
          <w:b/>
          <w:bCs/>
        </w:rPr>
        <w:t xml:space="preserve">: </w:t>
      </w:r>
      <w:r w:rsidR="004271C5" w:rsidRPr="004271C5">
        <w:rPr>
          <w:rFonts w:ascii="Tahoma" w:hAnsi="Tahoma" w:cs="Tahoma"/>
        </w:rPr>
        <w:t xml:space="preserve">The audit criteria were benchmarked against two key sets of established guidelines: the National Institute for Health and Care Excellence (NICE) guidelines on venous thromboembolism in over 16s </w:t>
      </w:r>
      <w:r w:rsidR="00912D39" w:rsidRPr="00912D39">
        <w:rPr>
          <w:rFonts w:ascii="Tahoma" w:hAnsi="Tahoma" w:cs="Tahoma"/>
        </w:rPr>
        <w:t>[4]</w:t>
      </w:r>
      <w:r w:rsidR="004271C5" w:rsidRPr="004271C5">
        <w:rPr>
          <w:rFonts w:ascii="Tahoma" w:hAnsi="Tahoma" w:cs="Tahoma"/>
        </w:rPr>
        <w:t xml:space="preserve"> and the American College of Chest Physicians (ACCP) guidelines on antithrombotic therapy in orthopaedic surgery </w:t>
      </w:r>
      <w:r w:rsidR="00912D39" w:rsidRPr="00912D39">
        <w:rPr>
          <w:rFonts w:ascii="Tahoma" w:hAnsi="Tahoma" w:cs="Tahoma"/>
        </w:rPr>
        <w:t>[7]</w:t>
      </w:r>
      <w:r w:rsidR="004271C5" w:rsidRPr="004271C5">
        <w:rPr>
          <w:rFonts w:ascii="Tahoma" w:hAnsi="Tahoma" w:cs="Tahoma"/>
        </w:rPr>
        <w:t xml:space="preserve">. Both recommend prompt, structured VTE risk assessment on admission and the timely initiation of pharmacological and/or </w:t>
      </w:r>
      <w:r w:rsidR="004271C5" w:rsidRPr="004271C5">
        <w:rPr>
          <w:rFonts w:ascii="Tahoma" w:hAnsi="Tahoma" w:cs="Tahoma"/>
        </w:rPr>
        <w:lastRenderedPageBreak/>
        <w:t xml:space="preserve">mechanical prophylaxis in patients with lower limb fractures requiring immobilisation. The reference standard for acceptable DVT incidence was drawn from a 2023 meta-analysis (n=18,119) reporting a 24% prevalence of DVT in pre-operative lower limb fracture patients </w:t>
      </w:r>
      <w:r w:rsidR="00912D39" w:rsidRPr="00912D39">
        <w:rPr>
          <w:rFonts w:ascii="Tahoma" w:hAnsi="Tahoma" w:cs="Tahoma"/>
        </w:rPr>
        <w:t>[8]</w:t>
      </w:r>
      <w:r w:rsidR="004271C5" w:rsidRPr="004271C5">
        <w:rPr>
          <w:rFonts w:ascii="Tahoma" w:hAnsi="Tahoma" w:cs="Tahoma"/>
        </w:rPr>
        <w:t>, which served as the performance benchmark for both cycles.</w:t>
      </w:r>
    </w:p>
    <w:p w14:paraId="69E159C6" w14:textId="0646BAB3" w:rsidR="007C66C4" w:rsidRPr="0020547C" w:rsidRDefault="007C66C4" w:rsidP="00200CB0">
      <w:pPr>
        <w:spacing w:line="360" w:lineRule="auto"/>
        <w:rPr>
          <w:rFonts w:ascii="Tahoma" w:hAnsi="Tahoma" w:cs="Tahoma"/>
        </w:rPr>
      </w:pPr>
      <w:r w:rsidRPr="00554B24">
        <w:rPr>
          <w:rFonts w:ascii="Tahoma" w:hAnsi="Tahoma" w:cs="Tahoma"/>
          <w:b/>
          <w:bCs/>
        </w:rPr>
        <w:t>Outcome and Process Measures</w:t>
      </w:r>
      <w:r w:rsidR="002D041F" w:rsidRPr="00554B24">
        <w:rPr>
          <w:rFonts w:ascii="Tahoma" w:hAnsi="Tahoma" w:cs="Tahoma"/>
          <w:b/>
          <w:bCs/>
        </w:rPr>
        <w:t xml:space="preserve">: </w:t>
      </w:r>
      <w:r w:rsidR="0020547C" w:rsidRPr="0020547C">
        <w:rPr>
          <w:rFonts w:ascii="Tahoma" w:hAnsi="Tahoma" w:cs="Tahoma"/>
        </w:rPr>
        <w:t xml:space="preserve">The audit distinguished between a single outcome measure and a set of process measures. The outcome measure was the incidence of confirmed pre-operative DVT, diagnosed by Doppler ultrasound. The process measures, reflecting adherence to prophylaxis protocols and clinical standards, were: 1) correct completion of VTE risk assessment on admission; 2) administration of </w:t>
      </w:r>
      <w:r w:rsidR="00896CA8">
        <w:rPr>
          <w:rFonts w:ascii="Tahoma" w:hAnsi="Tahoma" w:cs="Tahoma"/>
        </w:rPr>
        <w:t>low molecular weight heparin (</w:t>
      </w:r>
      <w:r w:rsidR="0020547C" w:rsidRPr="0020547C">
        <w:rPr>
          <w:rFonts w:ascii="Tahoma" w:hAnsi="Tahoma" w:cs="Tahoma"/>
        </w:rPr>
        <w:t>LMWH</w:t>
      </w:r>
      <w:r w:rsidR="00896CA8">
        <w:rPr>
          <w:rFonts w:ascii="Tahoma" w:hAnsi="Tahoma" w:cs="Tahoma"/>
        </w:rPr>
        <w:t>)</w:t>
      </w:r>
      <w:r w:rsidR="0020547C" w:rsidRPr="0020547C">
        <w:rPr>
          <w:rFonts w:ascii="Tahoma" w:hAnsi="Tahoma" w:cs="Tahoma"/>
        </w:rPr>
        <w:t xml:space="preserve"> prophylaxis within the recommended timeframe of 12–24 hours; 3) use of the correct route of administration for pharmacological prophylaxis; 4) administration of the correct prophylactic dose based on the individual risk assessment; 5) initiation of mechanical prophylaxis where indicated; and 6) provision of patient education regarding DVT prevention and its early signs and symptoms</w:t>
      </w:r>
      <w:r w:rsidR="0020547C">
        <w:rPr>
          <w:rFonts w:ascii="Tahoma" w:hAnsi="Tahoma" w:cs="Tahoma"/>
        </w:rPr>
        <w:t xml:space="preserve">; 7) screening for DVT pre-operatively using doppler ultrasound. </w:t>
      </w:r>
      <w:r w:rsidR="0020547C" w:rsidRPr="0020547C">
        <w:rPr>
          <w:rFonts w:ascii="Tahoma" w:hAnsi="Tahoma" w:cs="Tahoma"/>
        </w:rPr>
        <w:t>These criteria formed the basis of the data collection tool used across both cycles.</w:t>
      </w:r>
    </w:p>
    <w:p w14:paraId="3E2E6EF6" w14:textId="5D7D2477" w:rsidR="007C66C4" w:rsidRPr="003212A3" w:rsidRDefault="007C66C4" w:rsidP="00912D39">
      <w:pPr>
        <w:spacing w:line="360" w:lineRule="auto"/>
        <w:rPr>
          <w:rFonts w:ascii="Tahoma" w:hAnsi="Tahoma" w:cs="Tahoma"/>
        </w:rPr>
      </w:pPr>
      <w:r w:rsidRPr="00554B24">
        <w:rPr>
          <w:rFonts w:ascii="Tahoma" w:hAnsi="Tahoma" w:cs="Tahoma"/>
          <w:b/>
          <w:bCs/>
        </w:rPr>
        <w:t>Data Collection</w:t>
      </w:r>
      <w:r w:rsidR="00F74E1B" w:rsidRPr="00554B24">
        <w:rPr>
          <w:rFonts w:ascii="Tahoma" w:hAnsi="Tahoma" w:cs="Tahoma"/>
          <w:b/>
          <w:bCs/>
        </w:rPr>
        <w:t>:</w:t>
      </w:r>
      <w:r w:rsidR="003212A3">
        <w:rPr>
          <w:rFonts w:ascii="Tahoma" w:hAnsi="Tahoma" w:cs="Tahoma"/>
        </w:rPr>
        <w:t xml:space="preserve"> </w:t>
      </w:r>
      <w:r w:rsidR="003212A3" w:rsidRPr="003212A3">
        <w:rPr>
          <w:rFonts w:ascii="Tahoma" w:hAnsi="Tahoma" w:cs="Tahoma"/>
        </w:rPr>
        <w:t>Data were collected prospectively across both audit cycles using a structured checklist, which captured patient demographics, comorbidities, fracture characteristics, prophylaxis details, and DVT outcomes. The checklist assessed eight criteria: whether risk assessment was correctly completed on admission; whether LMWH prophylaxis was administered within the recommended timeframe; whether the correct route of administration was used; whether the correct prophylactic dose was given based on the individual risk assessment; whether mechanical prophylaxis was initiated where indicated; whether the patient received education on DVT prevention and its early signs and symptoms; whether DVT was confirmed by Doppler ultrasound; and the resulting pre-operative DVT incidence. The same checklist was applied in both cycles to allow direct comparison. The checklist was developed by the audit team based on criteria recommended in NICE</w:t>
      </w:r>
      <w:r w:rsidR="00FF0062">
        <w:rPr>
          <w:rFonts w:ascii="Tahoma" w:hAnsi="Tahoma" w:cs="Tahoma"/>
        </w:rPr>
        <w:t xml:space="preserve"> guidelines</w:t>
      </w:r>
      <w:r w:rsidR="009932F9">
        <w:rPr>
          <w:rFonts w:ascii="Tahoma" w:hAnsi="Tahoma" w:cs="Tahoma"/>
        </w:rPr>
        <w:t xml:space="preserve"> </w:t>
      </w:r>
      <w:r w:rsidR="00912D39" w:rsidRPr="00912D39">
        <w:rPr>
          <w:rFonts w:ascii="Tahoma" w:hAnsi="Tahoma" w:cs="Tahoma"/>
        </w:rPr>
        <w:t>[4]</w:t>
      </w:r>
      <w:r w:rsidR="003212A3" w:rsidRPr="003212A3">
        <w:rPr>
          <w:rFonts w:ascii="Tahoma" w:hAnsi="Tahoma" w:cs="Tahoma"/>
        </w:rPr>
        <w:t xml:space="preserve"> and ACCP guidelines </w:t>
      </w:r>
      <w:r w:rsidR="00912D39" w:rsidRPr="00912D39">
        <w:rPr>
          <w:rFonts w:ascii="Tahoma" w:hAnsi="Tahoma" w:cs="Tahoma"/>
        </w:rPr>
        <w:t>[7]</w:t>
      </w:r>
      <w:r w:rsidR="00FF0062">
        <w:rPr>
          <w:rFonts w:ascii="Tahoma" w:hAnsi="Tahoma" w:cs="Tahoma"/>
        </w:rPr>
        <w:t xml:space="preserve"> </w:t>
      </w:r>
      <w:r w:rsidR="003212A3" w:rsidRPr="003212A3">
        <w:rPr>
          <w:rFonts w:ascii="Tahoma" w:hAnsi="Tahoma" w:cs="Tahoma"/>
        </w:rPr>
        <w:t>and was reviewed by senior orthopaedic staff for face and content validity prior to use.</w:t>
      </w:r>
      <w:r w:rsidR="00A874D1">
        <w:rPr>
          <w:rFonts w:ascii="Tahoma" w:hAnsi="Tahoma" w:cs="Tahoma"/>
        </w:rPr>
        <w:t xml:space="preserve"> </w:t>
      </w:r>
      <w:r w:rsidR="003212A3" w:rsidRPr="003212A3">
        <w:rPr>
          <w:rFonts w:ascii="Tahoma" w:hAnsi="Tahoma" w:cs="Tahoma"/>
        </w:rPr>
        <w:t>DVT screening was performed using Doppler ultrasound in all eligible patients pre-operatively, or when clinically indicated, ensuring a consistent and objective DVT detection method across both cycles.</w:t>
      </w:r>
    </w:p>
    <w:p w14:paraId="02010EDD" w14:textId="7AABF9D6" w:rsidR="00D6536C" w:rsidRPr="003212A3" w:rsidRDefault="007C66C4" w:rsidP="00200CB0">
      <w:pPr>
        <w:spacing w:line="360" w:lineRule="auto"/>
        <w:rPr>
          <w:rFonts w:ascii="Tahoma" w:hAnsi="Tahoma" w:cs="Tahoma"/>
        </w:rPr>
      </w:pPr>
      <w:r w:rsidRPr="00554B24">
        <w:rPr>
          <w:rFonts w:ascii="Tahoma" w:hAnsi="Tahoma" w:cs="Tahoma"/>
          <w:b/>
          <w:bCs/>
        </w:rPr>
        <w:lastRenderedPageBreak/>
        <w:t>Interventions (Between Cycle 1 and Cycle 2)</w:t>
      </w:r>
      <w:r w:rsidR="00D6536C" w:rsidRPr="00554B24">
        <w:rPr>
          <w:rFonts w:ascii="Tahoma" w:hAnsi="Tahoma" w:cs="Tahoma"/>
          <w:b/>
          <w:bCs/>
        </w:rPr>
        <w:t xml:space="preserve">: </w:t>
      </w:r>
      <w:r w:rsidR="003212A3" w:rsidRPr="003212A3">
        <w:rPr>
          <w:rFonts w:ascii="Tahoma" w:hAnsi="Tahoma" w:cs="Tahoma"/>
        </w:rPr>
        <w:t>Following Cycle 1 findings, a set of evidence-based interventions was introduced and embedded into routine ward practice over a continuous one-month period prior to commencing Cycle 2. These included: 1) accelerated surgical scheduling, whereby fracture fixation cases were prioritised to reduce pre-operative bed days and limit the duration of immobilisation-related DVT risk; 2) standardisation of pharmacological prophylaxis, with enoxaparin 40 mg subcutaneously initiated within 12–24 hours of injury or admission, alongside introduction of graduated compression stockings as mechanical prophylaxis for high-risk patients or those experiencing surgical delays; 3) targeted staff education for orthopaedic teams on DVT risk stratification, with an emphasis on full compliance with prophylaxis protocols and early mobilisation strategies, including ankle pump exercises where clinically feasible; and 4) risk-factor flagging, whereby patients with obesity, a prior history of DVT, or other high-risk features were identified on admission for consideration of dose-adjusted prophylaxis. These interventions were implemented in addition to the existing practice of universal pharmacological prophylaxis.</w:t>
      </w:r>
    </w:p>
    <w:p w14:paraId="6694DA2B" w14:textId="6BAA1B29" w:rsidR="007C66C4" w:rsidRDefault="007C66C4" w:rsidP="00912D39">
      <w:pPr>
        <w:spacing w:line="360" w:lineRule="auto"/>
        <w:rPr>
          <w:rFonts w:ascii="Tahoma" w:hAnsi="Tahoma" w:cs="Tahoma"/>
        </w:rPr>
      </w:pPr>
      <w:r w:rsidRPr="00554B24">
        <w:rPr>
          <w:rFonts w:ascii="Tahoma" w:hAnsi="Tahoma" w:cs="Tahoma"/>
          <w:b/>
          <w:bCs/>
        </w:rPr>
        <w:t>Data Analysis</w:t>
      </w:r>
      <w:r w:rsidR="00F273C3" w:rsidRPr="00554B24">
        <w:rPr>
          <w:rFonts w:ascii="Tahoma" w:hAnsi="Tahoma" w:cs="Tahoma"/>
          <w:b/>
          <w:bCs/>
        </w:rPr>
        <w:t>:</w:t>
      </w:r>
      <w:r w:rsidR="003212A3" w:rsidRPr="003212A3">
        <w:t xml:space="preserve"> </w:t>
      </w:r>
      <w:r w:rsidR="003212A3" w:rsidRPr="003212A3">
        <w:rPr>
          <w:rFonts w:ascii="Tahoma" w:hAnsi="Tahoma" w:cs="Tahoma"/>
        </w:rPr>
        <w:t>Statistical analysis was performed using R</w:t>
      </w:r>
      <w:r w:rsidR="004B6CCE">
        <w:rPr>
          <w:rFonts w:ascii="Tahoma" w:hAnsi="Tahoma" w:cs="Tahoma"/>
        </w:rPr>
        <w:t xml:space="preserve"> (</w:t>
      </w:r>
      <w:r w:rsidR="004B6CCE" w:rsidRPr="004B6CCE">
        <w:rPr>
          <w:rFonts w:ascii="Tahoma" w:hAnsi="Tahoma" w:cs="Tahoma"/>
        </w:rPr>
        <w:t>version 4.5.2</w:t>
      </w:r>
      <w:r w:rsidR="004B6CCE">
        <w:rPr>
          <w:rFonts w:ascii="Tahoma" w:hAnsi="Tahoma" w:cs="Tahoma"/>
        </w:rPr>
        <w:t>)</w:t>
      </w:r>
      <w:r w:rsidR="00C8202C">
        <w:rPr>
          <w:rFonts w:ascii="Tahoma" w:hAnsi="Tahoma" w:cs="Tahoma"/>
        </w:rPr>
        <w:t xml:space="preserve"> </w:t>
      </w:r>
      <w:r w:rsidR="00912D39" w:rsidRPr="00912D39">
        <w:rPr>
          <w:rFonts w:ascii="Tahoma" w:hAnsi="Tahoma" w:cs="Tahoma"/>
        </w:rPr>
        <w:t>[13]</w:t>
      </w:r>
      <w:r w:rsidR="003212A3" w:rsidRPr="003212A3">
        <w:rPr>
          <w:rFonts w:ascii="Tahoma" w:hAnsi="Tahoma" w:cs="Tahoma"/>
        </w:rPr>
        <w:t xml:space="preserve">. Descriptive statistics were used to summarise patient demographics and clinical characteristics. DVT incidence rates were calculated with 95% confidence intervals (CI) using the Wald method for both cycles to allow comparison between cycles. Cycle 1 and Cycle 2 DVT rates were formally compared using a two-proportion z-test. Demographic and comorbidity characteristics were compared between cycles using the Welch two-sample t-test for age, Pearson's chi-squared test for categorical variables with adequate expected cell counts, and Fisher's exact test for categorical variables where any expected cell count fell below five. </w:t>
      </w:r>
      <w:r w:rsidR="00F17A2A" w:rsidRPr="00F17A2A">
        <w:rPr>
          <w:rFonts w:ascii="Tahoma" w:hAnsi="Tahoma" w:cs="Tahoma"/>
        </w:rPr>
        <w:t xml:space="preserve">The distribution of fracture sites between cycles was compared using Fisher's exact test with simulated p-values, given small expected cell counts in several fracture categories. </w:t>
      </w:r>
      <w:r w:rsidR="003212A3" w:rsidRPr="003212A3">
        <w:rPr>
          <w:rFonts w:ascii="Tahoma" w:hAnsi="Tahoma" w:cs="Tahoma"/>
        </w:rPr>
        <w:t>The association between fracture site and DVT incidence was assessed using Fisher's exact test with simulated p-values, given small expected cell counts across fracture categories. A p-value of &lt;0.05 was considered statistically significant throughout.</w:t>
      </w:r>
    </w:p>
    <w:p w14:paraId="6EEF5F4A" w14:textId="0DCD71B1" w:rsidR="00E84221" w:rsidRPr="00E84221" w:rsidRDefault="00E84221" w:rsidP="00E84221">
      <w:pPr>
        <w:spacing w:line="360" w:lineRule="auto"/>
        <w:rPr>
          <w:rFonts w:ascii="Tahoma" w:hAnsi="Tahoma" w:cs="Tahoma"/>
        </w:rPr>
      </w:pPr>
      <w:r w:rsidRPr="00E84221">
        <w:rPr>
          <w:rFonts w:ascii="Tahoma" w:hAnsi="Tahoma" w:cs="Tahoma"/>
        </w:rPr>
        <w:t xml:space="preserve">No formal a priori power calculation was performed, as is standard for clinical audit studies where sample size is determined by the patient population presenting within the audit period rather than by a pre-specified effect size. A post-hoc power calculation for the primary two-proportion comparison indicated that with 100 and 109 patients per cycle respectively, the </w:t>
      </w:r>
      <w:r w:rsidRPr="00E84221">
        <w:rPr>
          <w:rFonts w:ascii="Tahoma" w:hAnsi="Tahoma" w:cs="Tahoma"/>
        </w:rPr>
        <w:lastRenderedPageBreak/>
        <w:t>study achieved 80.9% power to detect the observed difference in DVT incidence (29.0% vs 12.8%) at a significance level of α=0.05 (two-sided). Statistical power was sufficient for the primary two-proportion comparison but limited for subgroup analyses involving individual risk factors, given the small number of DVT events in Cycle 2 (n=14).</w:t>
      </w:r>
    </w:p>
    <w:p w14:paraId="019012D5" w14:textId="403290F2" w:rsidR="00A628AD" w:rsidRPr="00554B24" w:rsidRDefault="007C66C4" w:rsidP="00200CB0">
      <w:pPr>
        <w:spacing w:line="360" w:lineRule="auto"/>
        <w:rPr>
          <w:rFonts w:ascii="Tahoma" w:hAnsi="Tahoma" w:cs="Tahoma"/>
          <w:b/>
          <w:bCs/>
        </w:rPr>
        <w:sectPr w:rsidR="00A628AD" w:rsidRPr="00554B24" w:rsidSect="00DB5CCF">
          <w:pgSz w:w="12240" w:h="15840"/>
          <w:pgMar w:top="1440" w:right="1440" w:bottom="1440" w:left="1440" w:header="720" w:footer="720" w:gutter="0"/>
          <w:cols w:space="720"/>
          <w:docGrid w:linePitch="360"/>
        </w:sectPr>
      </w:pPr>
      <w:r w:rsidRPr="00554B24">
        <w:rPr>
          <w:rFonts w:ascii="Tahoma" w:hAnsi="Tahoma" w:cs="Tahoma"/>
          <w:b/>
          <w:bCs/>
        </w:rPr>
        <w:t>Ethical Considerations</w:t>
      </w:r>
      <w:r w:rsidR="005923DC" w:rsidRPr="00554B24">
        <w:rPr>
          <w:rFonts w:ascii="Tahoma" w:hAnsi="Tahoma" w:cs="Tahoma"/>
          <w:b/>
          <w:bCs/>
        </w:rPr>
        <w:t xml:space="preserve">: </w:t>
      </w:r>
      <w:r w:rsidR="003212A3" w:rsidRPr="003212A3">
        <w:rPr>
          <w:rFonts w:ascii="Tahoma" w:hAnsi="Tahoma" w:cs="Tahoma"/>
        </w:rPr>
        <w:t>As this project constitutes a clinical audit and quality improvement initiative rather than primary research involving human subjects, formal ethical committee review was not required and was waived in accordance with local institutional policy. No experimental interventions were performed; all care delivered was consistent with standard clinical practice. Patient data were fully anonymised prior to analysis, and the project was conducted in compliance with applicable data protection regulations.</w:t>
      </w:r>
    </w:p>
    <w:p w14:paraId="5700A6AC" w14:textId="77777777" w:rsidR="00D0343C" w:rsidRPr="00C35899" w:rsidRDefault="00D0343C" w:rsidP="00200CB0">
      <w:pPr>
        <w:rPr>
          <w:rFonts w:ascii="Tahoma" w:hAnsi="Tahoma" w:cs="Tahoma"/>
          <w:b/>
          <w:sz w:val="32"/>
          <w:szCs w:val="32"/>
        </w:rPr>
      </w:pPr>
      <w:r w:rsidRPr="00C35899">
        <w:rPr>
          <w:rFonts w:ascii="Tahoma" w:hAnsi="Tahoma" w:cs="Tahoma"/>
          <w:b/>
          <w:sz w:val="32"/>
          <w:szCs w:val="32"/>
        </w:rPr>
        <w:lastRenderedPageBreak/>
        <w:t>R</w:t>
      </w:r>
      <w:r w:rsidR="00C35899" w:rsidRPr="00C35899">
        <w:rPr>
          <w:rFonts w:ascii="Tahoma" w:hAnsi="Tahoma" w:cs="Tahoma"/>
          <w:b/>
          <w:sz w:val="32"/>
          <w:szCs w:val="32"/>
        </w:rPr>
        <w:t>esults</w:t>
      </w:r>
      <w:r w:rsidR="004527E3" w:rsidRPr="00C35899">
        <w:rPr>
          <w:rFonts w:ascii="Tahoma" w:hAnsi="Tahoma" w:cs="Tahoma"/>
          <w:b/>
          <w:sz w:val="32"/>
          <w:szCs w:val="32"/>
        </w:rPr>
        <w:t xml:space="preserve"> </w:t>
      </w:r>
      <w:r w:rsidRPr="00C35899">
        <w:rPr>
          <w:rFonts w:ascii="Tahoma" w:hAnsi="Tahoma" w:cs="Tahoma"/>
          <w:b/>
          <w:sz w:val="32"/>
          <w:szCs w:val="32"/>
        </w:rPr>
        <w:t xml:space="preserve"> </w:t>
      </w:r>
    </w:p>
    <w:p w14:paraId="7CC37244" w14:textId="6A1C0C67" w:rsidR="00AA1F7E" w:rsidRPr="00FC5301" w:rsidRDefault="00FC5301" w:rsidP="008459B8">
      <w:pPr>
        <w:spacing w:line="360" w:lineRule="auto"/>
        <w:rPr>
          <w:rFonts w:ascii="Tahoma" w:hAnsi="Tahoma" w:cs="Tahoma"/>
          <w:b/>
          <w:bCs/>
        </w:rPr>
      </w:pPr>
      <w:r w:rsidRPr="00FC5301">
        <w:rPr>
          <w:rFonts w:ascii="Tahoma" w:hAnsi="Tahoma" w:cs="Tahoma"/>
          <w:b/>
          <w:bCs/>
        </w:rPr>
        <w:t>Overview of Audit Criteria Outcomes</w:t>
      </w:r>
      <w:r>
        <w:rPr>
          <w:rFonts w:ascii="Tahoma" w:hAnsi="Tahoma" w:cs="Tahoma"/>
          <w:b/>
          <w:bCs/>
        </w:rPr>
        <w:t xml:space="preserve">: </w:t>
      </w:r>
      <w:r w:rsidRPr="00FC5301">
        <w:rPr>
          <w:rFonts w:ascii="Tahoma" w:hAnsi="Tahoma" w:cs="Tahoma"/>
        </w:rPr>
        <w:t xml:space="preserve">Cycle 2 demonstrated improvements across all modifiable process measures compared to Cycle 1 (Table </w:t>
      </w:r>
      <w:r w:rsidR="000B461E">
        <w:rPr>
          <w:rFonts w:ascii="Tahoma" w:hAnsi="Tahoma" w:cs="Tahoma"/>
        </w:rPr>
        <w:t>1</w:t>
      </w:r>
      <w:r w:rsidRPr="00FC5301">
        <w:rPr>
          <w:rFonts w:ascii="Tahoma" w:hAnsi="Tahoma" w:cs="Tahoma"/>
        </w:rPr>
        <w:t xml:space="preserve">). </w:t>
      </w:r>
      <w:r w:rsidR="00AA62EA">
        <w:rPr>
          <w:rFonts w:ascii="Tahoma" w:hAnsi="Tahoma" w:cs="Tahoma"/>
        </w:rPr>
        <w:t>In addition,</w:t>
      </w:r>
      <w:r w:rsidRPr="00FC5301">
        <w:rPr>
          <w:rFonts w:ascii="Tahoma" w:hAnsi="Tahoma" w:cs="Tahoma"/>
        </w:rPr>
        <w:t xml:space="preserve"> the incidence of confirmed pre-operative DVT fell from 29.0% in Cycle 1 to 12.8% in Cycle 2, an absolute reduction of 16.2 percentage points (p=0.003). Timely LMWH administration and correct prophylactic dosing both reached 100% compliance in Cycle 2, and mechanical prophylaxis</w:t>
      </w:r>
      <w:r w:rsidR="00AA62EA">
        <w:rPr>
          <w:rFonts w:ascii="Tahoma" w:hAnsi="Tahoma" w:cs="Tahoma"/>
        </w:rPr>
        <w:t>,</w:t>
      </w:r>
      <w:r w:rsidRPr="00FC5301">
        <w:rPr>
          <w:rFonts w:ascii="Tahoma" w:hAnsi="Tahoma" w:cs="Tahoma"/>
        </w:rPr>
        <w:t xml:space="preserve"> entirely absent in Cycle 1</w:t>
      </w:r>
      <w:r w:rsidR="00AA62EA">
        <w:rPr>
          <w:rFonts w:ascii="Tahoma" w:hAnsi="Tahoma" w:cs="Tahoma"/>
        </w:rPr>
        <w:t>,</w:t>
      </w:r>
      <w:r w:rsidRPr="00FC5301">
        <w:rPr>
          <w:rFonts w:ascii="Tahoma" w:hAnsi="Tahoma" w:cs="Tahoma"/>
        </w:rPr>
        <w:t xml:space="preserve"> was initiated in 34% of patients. </w:t>
      </w:r>
      <w:r w:rsidR="008459B8" w:rsidRPr="008459B8">
        <w:rPr>
          <w:rFonts w:ascii="Tahoma" w:hAnsi="Tahoma" w:cs="Tahoma"/>
        </w:rPr>
        <w:t xml:space="preserve">Patient education provision improved from 69.0% in Cycle 1 to 90.8% in Cycle 2. </w:t>
      </w:r>
      <w:r w:rsidRPr="00FC5301">
        <w:rPr>
          <w:rFonts w:ascii="Tahoma" w:hAnsi="Tahoma" w:cs="Tahoma"/>
        </w:rPr>
        <w:t>Criteria already at 100% in Cycle 1 (risk assessment completion, correct route of administration, and Doppler screening) were maintained.</w:t>
      </w:r>
    </w:p>
    <w:p w14:paraId="7A547BAE" w14:textId="147586FD" w:rsidR="00AA1F7E" w:rsidRPr="00AB6A0A" w:rsidRDefault="00AA1F7E" w:rsidP="00200CB0">
      <w:pPr>
        <w:spacing w:line="360" w:lineRule="auto"/>
        <w:rPr>
          <w:rFonts w:ascii="Tahoma" w:hAnsi="Tahoma" w:cs="Tahoma"/>
        </w:rPr>
      </w:pPr>
      <w:r w:rsidRPr="00AB6A0A">
        <w:rPr>
          <w:rFonts w:ascii="Tahoma" w:hAnsi="Tahoma" w:cs="Tahoma"/>
          <w:b/>
          <w:bCs/>
        </w:rPr>
        <w:t>Patient Demographics and Risk Profile</w:t>
      </w:r>
      <w:r w:rsidR="00AB6A0A">
        <w:rPr>
          <w:rFonts w:ascii="Tahoma" w:hAnsi="Tahoma" w:cs="Tahoma"/>
          <w:b/>
          <w:bCs/>
        </w:rPr>
        <w:t>:</w:t>
      </w:r>
      <w:r w:rsidR="001D430C">
        <w:rPr>
          <w:rFonts w:ascii="Tahoma" w:hAnsi="Tahoma" w:cs="Tahoma"/>
        </w:rPr>
        <w:t xml:space="preserve"> </w:t>
      </w:r>
      <w:r w:rsidR="001D430C" w:rsidRPr="001D430C">
        <w:rPr>
          <w:rFonts w:ascii="Tahoma" w:hAnsi="Tahoma" w:cs="Tahoma"/>
        </w:rPr>
        <w:t xml:space="preserve">Cycle 2 enrolled 109 patients compared to 100 in Cycle 1; full demographic and comorbidity data are presented in Table </w:t>
      </w:r>
      <w:r w:rsidR="000B461E">
        <w:rPr>
          <w:rFonts w:ascii="Tahoma" w:hAnsi="Tahoma" w:cs="Tahoma"/>
        </w:rPr>
        <w:t>2</w:t>
      </w:r>
      <w:r w:rsidR="001D430C" w:rsidRPr="001D430C">
        <w:rPr>
          <w:rFonts w:ascii="Tahoma" w:hAnsi="Tahoma" w:cs="Tahoma"/>
        </w:rPr>
        <w:t>. The two cohorts were broadly comparable. The only statistically significant demographic differences were a modestly lower mean age in Cycle 2 (49.6 vs 54.8 years, p=0.042) and a higher smoking prevalence (51.4% vs 36.0%, p=0.036). All other comorbidities</w:t>
      </w:r>
      <w:r w:rsidR="000B461E">
        <w:rPr>
          <w:rFonts w:ascii="Tahoma" w:hAnsi="Tahoma" w:cs="Tahoma"/>
        </w:rPr>
        <w:t>,</w:t>
      </w:r>
      <w:r w:rsidR="001D430C" w:rsidRPr="001D430C">
        <w:rPr>
          <w:rFonts w:ascii="Tahoma" w:hAnsi="Tahoma" w:cs="Tahoma"/>
        </w:rPr>
        <w:t xml:space="preserve"> including diabetes mellitus, hypertension, coronary heart disease, and high BMI</w:t>
      </w:r>
      <w:r w:rsidR="00C2690F">
        <w:rPr>
          <w:rFonts w:ascii="Tahoma" w:hAnsi="Tahoma" w:cs="Tahoma"/>
        </w:rPr>
        <w:t xml:space="preserve"> (</w:t>
      </w:r>
      <w:r w:rsidR="00C2690F" w:rsidRPr="00C2690F">
        <w:rPr>
          <w:rFonts w:ascii="Tahoma" w:eastAsia="Arial" w:hAnsi="Tahoma" w:cs="Tahoma"/>
          <w:bCs/>
          <w:color w:val="000000"/>
        </w:rPr>
        <w:t>≥</w:t>
      </w:r>
      <w:r w:rsidR="00C2690F">
        <w:rPr>
          <w:rFonts w:ascii="Tahoma" w:eastAsia="Arial" w:hAnsi="Tahoma" w:cs="Tahoma"/>
          <w:bCs/>
          <w:color w:val="000000"/>
        </w:rPr>
        <w:t>25)</w:t>
      </w:r>
      <w:r w:rsidR="000B461E">
        <w:rPr>
          <w:rFonts w:ascii="Tahoma" w:hAnsi="Tahoma" w:cs="Tahoma"/>
        </w:rPr>
        <w:t>,</w:t>
      </w:r>
      <w:r w:rsidR="001D430C" w:rsidRPr="001D430C">
        <w:rPr>
          <w:rFonts w:ascii="Tahoma" w:hAnsi="Tahoma" w:cs="Tahoma"/>
        </w:rPr>
        <w:t xml:space="preserve"> were comparable between cycles (all p&gt;0.05).</w:t>
      </w:r>
      <w:r w:rsidR="00655D8F">
        <w:rPr>
          <w:rFonts w:ascii="Tahoma" w:hAnsi="Tahoma" w:cs="Tahoma"/>
        </w:rPr>
        <w:t>fishe</w:t>
      </w:r>
    </w:p>
    <w:p w14:paraId="6760EDA0" w14:textId="33969DAF" w:rsidR="00AA1F7E" w:rsidRPr="009976FC" w:rsidRDefault="00AA1F7E" w:rsidP="009976FC">
      <w:pPr>
        <w:spacing w:line="360" w:lineRule="auto"/>
        <w:rPr>
          <w:rFonts w:ascii="Tahoma" w:hAnsi="Tahoma" w:cs="Tahoma"/>
        </w:rPr>
      </w:pPr>
      <w:r w:rsidRPr="00AB6A0A">
        <w:rPr>
          <w:rFonts w:ascii="Tahoma" w:hAnsi="Tahoma" w:cs="Tahoma"/>
          <w:b/>
          <w:bCs/>
        </w:rPr>
        <w:t>Fracture Characteristics</w:t>
      </w:r>
      <w:r w:rsidR="00AB6A0A">
        <w:rPr>
          <w:rFonts w:ascii="Tahoma" w:hAnsi="Tahoma" w:cs="Tahoma"/>
          <w:b/>
          <w:bCs/>
        </w:rPr>
        <w:t xml:space="preserve">: </w:t>
      </w:r>
      <w:r w:rsidR="009976FC" w:rsidRPr="009976FC">
        <w:rPr>
          <w:rFonts w:ascii="Tahoma" w:hAnsi="Tahoma" w:cs="Tahoma"/>
        </w:rPr>
        <w:t xml:space="preserve">The distribution of fracture sites across both cycles is presented in Table </w:t>
      </w:r>
      <w:r w:rsidR="009976FC">
        <w:rPr>
          <w:rFonts w:ascii="Tahoma" w:hAnsi="Tahoma" w:cs="Tahoma"/>
        </w:rPr>
        <w:t>3</w:t>
      </w:r>
      <w:r w:rsidR="009976FC" w:rsidRPr="009976FC">
        <w:rPr>
          <w:rFonts w:ascii="Tahoma" w:hAnsi="Tahoma" w:cs="Tahoma"/>
        </w:rPr>
        <w:t>. The overall case mix was not significantly different between cycles (p=0.192), supporting the comparability of the two cohorts. In both cycles, hip and leg fractures were the most frequently represented groups, together accounting for over half of all cases. Despite variation in observed DVT rates across fracture sites</w:t>
      </w:r>
      <w:r w:rsidR="009976FC">
        <w:rPr>
          <w:rFonts w:ascii="Tahoma" w:hAnsi="Tahoma" w:cs="Tahoma"/>
        </w:rPr>
        <w:t xml:space="preserve">, </w:t>
      </w:r>
      <w:r w:rsidR="009976FC" w:rsidRPr="009976FC">
        <w:rPr>
          <w:rFonts w:ascii="Tahoma" w:hAnsi="Tahoma" w:cs="Tahoma"/>
        </w:rPr>
        <w:t>with thigh and leg fractures showing the highest rates in both cycles</w:t>
      </w:r>
      <w:r w:rsidR="009976FC">
        <w:rPr>
          <w:rFonts w:ascii="Tahoma" w:hAnsi="Tahoma" w:cs="Tahoma"/>
        </w:rPr>
        <w:t xml:space="preserve">, </w:t>
      </w:r>
      <w:r w:rsidR="009976FC" w:rsidRPr="009976FC">
        <w:rPr>
          <w:rFonts w:ascii="Tahoma" w:hAnsi="Tahoma" w:cs="Tahoma"/>
        </w:rPr>
        <w:t>fracture site was not a statistically significant predictor of DVT in either cycle (Fisher's exact: Cycle 1 p=0.162, Cycle 2 p=0.102).</w:t>
      </w:r>
    </w:p>
    <w:p w14:paraId="3DC85EED" w14:textId="2495AD22" w:rsidR="00AA1F7E" w:rsidRPr="001D430C" w:rsidRDefault="00AA1F7E" w:rsidP="00200CB0">
      <w:pPr>
        <w:spacing w:line="360" w:lineRule="auto"/>
        <w:rPr>
          <w:rFonts w:ascii="Tahoma" w:hAnsi="Tahoma" w:cs="Tahoma"/>
        </w:rPr>
      </w:pPr>
      <w:r w:rsidRPr="00AB6A0A">
        <w:rPr>
          <w:rFonts w:ascii="Tahoma" w:hAnsi="Tahoma" w:cs="Tahoma"/>
          <w:b/>
          <w:bCs/>
        </w:rPr>
        <w:t>Thromboprophylaxis:</w:t>
      </w:r>
      <w:r w:rsidR="001D430C">
        <w:rPr>
          <w:rFonts w:ascii="Tahoma" w:hAnsi="Tahoma" w:cs="Tahoma"/>
          <w:b/>
          <w:bCs/>
        </w:rPr>
        <w:t xml:space="preserve"> </w:t>
      </w:r>
      <w:r w:rsidR="001D430C" w:rsidRPr="001D430C">
        <w:rPr>
          <w:rFonts w:ascii="Tahoma" w:hAnsi="Tahoma" w:cs="Tahoma"/>
        </w:rPr>
        <w:t>Pharmacological prophylaxis with subcutaneous enoxaparin 40 mg once daily was administered to 100% of eligible patients in both cycles, with no missed doses in Cycle 2. The principal change between cycles was timing: enoxaparin was initiated within 12–24 hours in 100% of Cycle 2 patients, compared with 73% in Cycle 1. Mechanical prophylaxis was used in 34% of Cycle 2 patients compared with 0% in Cycle 1. No major bleeding complications or haematomas were observed pre-operatively in Cycle 2.</w:t>
      </w:r>
    </w:p>
    <w:p w14:paraId="6FA0A209" w14:textId="253CA715" w:rsidR="00FE4460" w:rsidRPr="00FE4460" w:rsidRDefault="00AA1F7E" w:rsidP="00912D39">
      <w:pPr>
        <w:spacing w:line="360" w:lineRule="auto"/>
        <w:rPr>
          <w:rFonts w:ascii="Tahoma" w:hAnsi="Tahoma" w:cs="Tahoma"/>
        </w:rPr>
      </w:pPr>
      <w:r w:rsidRPr="00AB6A0A">
        <w:rPr>
          <w:rFonts w:ascii="Tahoma" w:hAnsi="Tahoma" w:cs="Tahoma"/>
          <w:b/>
          <w:bCs/>
        </w:rPr>
        <w:lastRenderedPageBreak/>
        <w:t>DVT Incidence:</w:t>
      </w:r>
      <w:r w:rsidR="00FE4460">
        <w:rPr>
          <w:rFonts w:ascii="Tahoma" w:hAnsi="Tahoma" w:cs="Tahoma"/>
        </w:rPr>
        <w:t xml:space="preserve"> </w:t>
      </w:r>
      <w:r w:rsidR="00FE4460" w:rsidRPr="00FE4460">
        <w:rPr>
          <w:rFonts w:ascii="Tahoma" w:hAnsi="Tahoma" w:cs="Tahoma"/>
        </w:rPr>
        <w:t xml:space="preserve">In Cycle 2, 14 of 109 patients (12.8%) were diagnosed with pre-operative DVT by Doppler ultrasound, compared with 29 of 100 patients (29.0%) in Cycle 1. This represents an absolute reduction of 16.2 percentage points and a relative reduction of approximately 56%. The difference was statistically significant (two-proportion z-test: p=0.003). The 95% CI for the Cycle 2 DVT rate was 6.6% to 19.1%, which does not overlap with the Cycle 1 CI of 20.1% to 37.9%, confirming a meaningful reduction unlikely to be due to chance (Figure </w:t>
      </w:r>
      <w:r w:rsidR="000B461E">
        <w:rPr>
          <w:rFonts w:ascii="Tahoma" w:hAnsi="Tahoma" w:cs="Tahoma"/>
        </w:rPr>
        <w:t>1</w:t>
      </w:r>
      <w:r w:rsidR="00FE4460" w:rsidRPr="00FE4460">
        <w:rPr>
          <w:rFonts w:ascii="Tahoma" w:hAnsi="Tahoma" w:cs="Tahoma"/>
        </w:rPr>
        <w:t xml:space="preserve">). The Cycle 2 rate of 12.8% also compares favourably with the 24% pooled prevalence reported in the meta-analysis </w:t>
      </w:r>
      <w:r w:rsidR="003626C0">
        <w:rPr>
          <w:rFonts w:ascii="Tahoma" w:hAnsi="Tahoma" w:cs="Tahoma"/>
        </w:rPr>
        <w:t xml:space="preserve">Hu et al. </w:t>
      </w:r>
      <w:r w:rsidR="00FE4460" w:rsidRPr="00FE4460">
        <w:rPr>
          <w:rFonts w:ascii="Tahoma" w:hAnsi="Tahoma" w:cs="Tahoma"/>
        </w:rPr>
        <w:t xml:space="preserve">used as the audit benchmark </w:t>
      </w:r>
      <w:r w:rsidR="00912D39" w:rsidRPr="00912D39">
        <w:rPr>
          <w:rFonts w:ascii="Tahoma" w:hAnsi="Tahoma" w:cs="Tahoma"/>
        </w:rPr>
        <w:t>[8]</w:t>
      </w:r>
      <w:r w:rsidR="00FE4460" w:rsidRPr="00FE4460">
        <w:rPr>
          <w:rFonts w:ascii="Tahoma" w:hAnsi="Tahoma" w:cs="Tahoma"/>
        </w:rPr>
        <w:t>, indicating that the institution's DVT incidence now falls below the published reference standard.</w:t>
      </w:r>
    </w:p>
    <w:p w14:paraId="3BA30995" w14:textId="77777777" w:rsidR="0055358F" w:rsidRDefault="0055358F" w:rsidP="00200CB0">
      <w:pPr>
        <w:spacing w:line="360" w:lineRule="auto"/>
        <w:rPr>
          <w:rFonts w:ascii="Tahoma" w:hAnsi="Tahoma" w:cs="Tahoma"/>
        </w:rPr>
        <w:sectPr w:rsidR="0055358F" w:rsidSect="00DB5CCF">
          <w:pgSz w:w="12240" w:h="15840"/>
          <w:pgMar w:top="1440" w:right="1440" w:bottom="1440" w:left="1440" w:header="720" w:footer="720" w:gutter="0"/>
          <w:cols w:space="720"/>
          <w:docGrid w:linePitch="360"/>
        </w:sectPr>
      </w:pPr>
    </w:p>
    <w:p w14:paraId="3DE615F3" w14:textId="77777777" w:rsidR="00D0343C" w:rsidRPr="00940545" w:rsidRDefault="00D0343C" w:rsidP="00200CB0">
      <w:pPr>
        <w:rPr>
          <w:rFonts w:ascii="Tahoma" w:hAnsi="Tahoma" w:cs="Tahoma"/>
          <w:b/>
          <w:sz w:val="32"/>
          <w:szCs w:val="32"/>
        </w:rPr>
      </w:pPr>
      <w:r w:rsidRPr="00940545">
        <w:rPr>
          <w:rFonts w:ascii="Tahoma" w:hAnsi="Tahoma" w:cs="Tahoma"/>
          <w:b/>
          <w:sz w:val="32"/>
          <w:szCs w:val="32"/>
        </w:rPr>
        <w:lastRenderedPageBreak/>
        <w:t>Discussion</w:t>
      </w:r>
      <w:r w:rsidR="004527E3" w:rsidRPr="00940545">
        <w:rPr>
          <w:rFonts w:ascii="Tahoma" w:hAnsi="Tahoma" w:cs="Tahoma"/>
          <w:b/>
          <w:sz w:val="32"/>
          <w:szCs w:val="32"/>
        </w:rPr>
        <w:t xml:space="preserve"> </w:t>
      </w:r>
      <w:r w:rsidRPr="00940545">
        <w:rPr>
          <w:rFonts w:ascii="Tahoma" w:hAnsi="Tahoma" w:cs="Tahoma"/>
          <w:b/>
          <w:sz w:val="32"/>
          <w:szCs w:val="32"/>
        </w:rPr>
        <w:t xml:space="preserve"> </w:t>
      </w:r>
    </w:p>
    <w:p w14:paraId="473B5B60" w14:textId="5D3F0F25" w:rsidR="005D7AA9" w:rsidRDefault="007B0363" w:rsidP="00912D39">
      <w:pPr>
        <w:spacing w:line="360" w:lineRule="auto"/>
        <w:rPr>
          <w:rFonts w:ascii="Tahoma" w:hAnsi="Tahoma" w:cs="Tahoma"/>
          <w:b/>
          <w:bCs/>
        </w:rPr>
      </w:pPr>
      <w:r w:rsidRPr="005D7AA9">
        <w:rPr>
          <w:rFonts w:ascii="Tahoma" w:hAnsi="Tahoma" w:cs="Tahoma"/>
          <w:b/>
          <w:bCs/>
        </w:rPr>
        <w:t>Principal Findings</w:t>
      </w:r>
      <w:r w:rsidR="005D7AA9" w:rsidRPr="005D7AA9">
        <w:rPr>
          <w:rFonts w:ascii="Tahoma" w:hAnsi="Tahoma" w:cs="Tahoma"/>
          <w:b/>
          <w:bCs/>
        </w:rPr>
        <w:t>:</w:t>
      </w:r>
      <w:r w:rsidR="0055358F" w:rsidRPr="0055358F">
        <w:t xml:space="preserve"> </w:t>
      </w:r>
      <w:r w:rsidR="00AB70A4" w:rsidRPr="00AB70A4">
        <w:rPr>
          <w:rFonts w:ascii="Tahoma" w:hAnsi="Tahoma" w:cs="Tahoma"/>
        </w:rPr>
        <w:t xml:space="preserve">This closed-loop audit demonstrates that a structured, multi-component intervention strategy was effective in significantly reducing pre-operative DVT incidence, bringing our institution's rate from above to below the pooled prevalence reported by Hu et al. </w:t>
      </w:r>
      <w:r w:rsidR="00912D39" w:rsidRPr="00912D39">
        <w:rPr>
          <w:rFonts w:ascii="Tahoma" w:hAnsi="Tahoma" w:cs="Tahoma"/>
        </w:rPr>
        <w:t>[8]</w:t>
      </w:r>
      <w:r w:rsidR="00AB70A4" w:rsidRPr="00AB70A4">
        <w:rPr>
          <w:rFonts w:ascii="Tahoma" w:hAnsi="Tahoma" w:cs="Tahoma"/>
        </w:rPr>
        <w:t>. The magnitude of reduction</w:t>
      </w:r>
      <w:r w:rsidR="00AB70A4">
        <w:rPr>
          <w:rFonts w:ascii="Tahoma" w:hAnsi="Tahoma" w:cs="Tahoma"/>
        </w:rPr>
        <w:t>,</w:t>
      </w:r>
      <w:r w:rsidR="00AB70A4" w:rsidRPr="00AB70A4">
        <w:rPr>
          <w:rFonts w:ascii="Tahoma" w:hAnsi="Tahoma" w:cs="Tahoma"/>
        </w:rPr>
        <w:t xml:space="preserve"> representing a relative decrease of approximately 56% is clinically meaningful and supports the interpretation that the implemented changes had a substantive impact on patient outcomes rather than reflecting random variation. Importantly, the two cohorts were broadly comparable in baseline risk profile, and if anything Cycle 2 carried a higher prothrombotic burden in terms of smoking prevalence, making the observed improvement more rather than less remarkable. The modest age difference between cycles, while statistically significant, is unlikely to explain a reduction of this magnitude in isolation and does not undermine the attribution of improvement to the implemented interventions.</w:t>
      </w:r>
    </w:p>
    <w:p w14:paraId="411DC7C6" w14:textId="72D6615E" w:rsidR="00E766CA" w:rsidRDefault="00E766CA" w:rsidP="00200CB0">
      <w:pPr>
        <w:spacing w:line="360" w:lineRule="auto"/>
        <w:rPr>
          <w:rFonts w:ascii="Tahoma" w:hAnsi="Tahoma" w:cs="Tahoma"/>
        </w:rPr>
      </w:pPr>
      <w:r w:rsidRPr="00E766CA">
        <w:rPr>
          <w:rFonts w:ascii="Tahoma" w:hAnsi="Tahoma" w:cs="Tahoma"/>
          <w:b/>
          <w:bCs/>
        </w:rPr>
        <w:t>Strengths and Weaknesses</w:t>
      </w:r>
      <w:r>
        <w:rPr>
          <w:rFonts w:ascii="Tahoma" w:hAnsi="Tahoma" w:cs="Tahoma"/>
          <w:b/>
          <w:bCs/>
        </w:rPr>
        <w:t xml:space="preserve">: </w:t>
      </w:r>
      <w:r w:rsidRPr="00E766CA">
        <w:rPr>
          <w:rFonts w:ascii="Tahoma" w:hAnsi="Tahoma" w:cs="Tahoma"/>
        </w:rPr>
        <w:t>The use of routine Doppler ultrasound screening in all patients across both cycles rather than symptom-triggered diagnosis allowed consistent detection of both symptomatic and asymptomatic DVT, which is a meaningful strength in terms of outcome ascertainment. Consistent methodology, identical inclusion criteria, the same data collection instrument, and a stable clinical environment across both cycles strengthen the internal validity of the observed improvement and reduce the likelihood that differences in measurement explain the result. The closed-loop design</w:t>
      </w:r>
      <w:r>
        <w:rPr>
          <w:rFonts w:ascii="Tahoma" w:hAnsi="Tahoma" w:cs="Tahoma"/>
        </w:rPr>
        <w:t xml:space="preserve">, </w:t>
      </w:r>
      <w:r w:rsidRPr="00E766CA">
        <w:rPr>
          <w:rFonts w:ascii="Tahoma" w:hAnsi="Tahoma" w:cs="Tahoma"/>
        </w:rPr>
        <w:t>measuring, intervening, and re-measuring</w:t>
      </w:r>
      <w:r>
        <w:rPr>
          <w:rFonts w:ascii="Tahoma" w:hAnsi="Tahoma" w:cs="Tahoma"/>
        </w:rPr>
        <w:t>,</w:t>
      </w:r>
      <w:r w:rsidRPr="00E766CA">
        <w:rPr>
          <w:rFonts w:ascii="Tahoma" w:hAnsi="Tahoma" w:cs="Tahoma"/>
        </w:rPr>
        <w:t xml:space="preserve"> is the appropriate methodological framework for a quality improvement question of this kind.</w:t>
      </w:r>
    </w:p>
    <w:p w14:paraId="713DC6E6" w14:textId="4A450701" w:rsidR="00F971D7" w:rsidRPr="00F971D7" w:rsidRDefault="00F971D7" w:rsidP="00C50FBA">
      <w:pPr>
        <w:spacing w:line="360" w:lineRule="auto"/>
        <w:rPr>
          <w:rFonts w:ascii="Tahoma" w:hAnsi="Tahoma" w:cs="Tahoma"/>
        </w:rPr>
      </w:pPr>
      <w:r>
        <w:rPr>
          <w:rFonts w:ascii="Tahoma" w:hAnsi="Tahoma" w:cs="Tahoma"/>
        </w:rPr>
        <w:t>However, a</w:t>
      </w:r>
      <w:r w:rsidRPr="00F971D7">
        <w:rPr>
          <w:rFonts w:ascii="Tahoma" w:hAnsi="Tahoma" w:cs="Tahoma"/>
        </w:rPr>
        <w:t xml:space="preserve"> further consideration in comparing our findings to the published </w:t>
      </w:r>
      <w:r w:rsidR="00C50FBA">
        <w:rPr>
          <w:rFonts w:ascii="Tahoma" w:hAnsi="Tahoma" w:cs="Tahoma"/>
        </w:rPr>
        <w:t>pooled result</w:t>
      </w:r>
      <w:r w:rsidRPr="00F971D7">
        <w:rPr>
          <w:rFonts w:ascii="Tahoma" w:hAnsi="Tahoma" w:cs="Tahoma"/>
        </w:rPr>
        <w:t xml:space="preserve"> is diagnostic methodology. Several methods exist for DVT diagnosis, including venography, duplex ultrasound, and colour Doppler ultrasound, each with differing sensitivity and specificity</w:t>
      </w:r>
      <w:r w:rsidR="00C50FBA">
        <w:rPr>
          <w:rFonts w:ascii="Tahoma" w:hAnsi="Tahoma" w:cs="Tahoma"/>
        </w:rPr>
        <w:t xml:space="preserve"> </w:t>
      </w:r>
      <w:r w:rsidR="00C50FBA" w:rsidRPr="00C50FBA">
        <w:rPr>
          <w:rFonts w:ascii="Tahoma" w:hAnsi="Tahoma" w:cs="Tahoma"/>
        </w:rPr>
        <w:t>[14]</w:t>
      </w:r>
      <w:r w:rsidRPr="00F971D7">
        <w:rPr>
          <w:rFonts w:ascii="Tahoma" w:hAnsi="Tahoma" w:cs="Tahoma"/>
        </w:rPr>
        <w:t>. The pooled prevalence reported by Hu et al. [8] was derived from studies using a mixture of these diagnostic modalities, whereas our audit used colour Doppler ultrasound exclusively across both cycles.</w:t>
      </w:r>
      <w:r>
        <w:rPr>
          <w:rFonts w:ascii="Tahoma" w:hAnsi="Tahoma" w:cs="Tahoma"/>
        </w:rPr>
        <w:t xml:space="preserve"> This </w:t>
      </w:r>
      <w:r w:rsidRPr="00F971D7">
        <w:rPr>
          <w:rFonts w:ascii="Tahoma" w:hAnsi="Tahoma" w:cs="Tahoma"/>
        </w:rPr>
        <w:t xml:space="preserve">introduces some uncertainty when comparing our absolute incidence figures directly against the pooled </w:t>
      </w:r>
      <w:r w:rsidR="00C50FBA">
        <w:rPr>
          <w:rFonts w:ascii="Tahoma" w:hAnsi="Tahoma" w:cs="Tahoma"/>
        </w:rPr>
        <w:t>prevalence</w:t>
      </w:r>
      <w:r w:rsidRPr="00F971D7">
        <w:rPr>
          <w:rFonts w:ascii="Tahoma" w:hAnsi="Tahoma" w:cs="Tahoma"/>
        </w:rPr>
        <w:t xml:space="preserve">. This should be borne in mind when interpreting the comparison between our institutional rate and the pooled </w:t>
      </w:r>
      <w:r>
        <w:rPr>
          <w:rFonts w:ascii="Tahoma" w:hAnsi="Tahoma" w:cs="Tahoma"/>
        </w:rPr>
        <w:t>figure from meta-analysis</w:t>
      </w:r>
      <w:r w:rsidRPr="00F971D7">
        <w:rPr>
          <w:rFonts w:ascii="Tahoma" w:hAnsi="Tahoma" w:cs="Tahoma"/>
        </w:rPr>
        <w:t>.</w:t>
      </w:r>
    </w:p>
    <w:p w14:paraId="1EA23A75" w14:textId="6811B128" w:rsidR="0055358F" w:rsidRPr="0055358F" w:rsidRDefault="001E5ECD" w:rsidP="00200CB0">
      <w:pPr>
        <w:spacing w:line="360" w:lineRule="auto"/>
        <w:rPr>
          <w:rFonts w:ascii="Tahoma" w:hAnsi="Tahoma" w:cs="Tahoma"/>
        </w:rPr>
      </w:pPr>
      <w:r>
        <w:rPr>
          <w:rFonts w:ascii="Tahoma" w:hAnsi="Tahoma" w:cs="Tahoma"/>
        </w:rPr>
        <w:t xml:space="preserve">In addition, the </w:t>
      </w:r>
      <w:r w:rsidR="00E766CA" w:rsidRPr="00E766CA">
        <w:rPr>
          <w:rFonts w:ascii="Tahoma" w:hAnsi="Tahoma" w:cs="Tahoma"/>
        </w:rPr>
        <w:t>sample size</w:t>
      </w:r>
      <w:r>
        <w:rPr>
          <w:rFonts w:ascii="Tahoma" w:hAnsi="Tahoma" w:cs="Tahoma"/>
        </w:rPr>
        <w:t xml:space="preserve"> is a potential weakness of the quality improvement project</w:t>
      </w:r>
      <w:r w:rsidR="00E766CA" w:rsidRPr="00E766CA">
        <w:rPr>
          <w:rFonts w:ascii="Tahoma" w:hAnsi="Tahoma" w:cs="Tahoma"/>
        </w:rPr>
        <w:t>. With 14 DVT events in Cycle 2, statistical power was limited to detecting large associations; moderate-</w:t>
      </w:r>
      <w:r w:rsidR="00E766CA" w:rsidRPr="00E766CA">
        <w:rPr>
          <w:rFonts w:ascii="Tahoma" w:hAnsi="Tahoma" w:cs="Tahoma"/>
        </w:rPr>
        <w:lastRenderedPageBreak/>
        <w:t xml:space="preserve">strength risk factor associations may have gone undetected, and non-significant findings should be interpreted as inconclusive rather than definitive. </w:t>
      </w:r>
      <w:r>
        <w:rPr>
          <w:rFonts w:ascii="Tahoma" w:hAnsi="Tahoma" w:cs="Tahoma"/>
        </w:rPr>
        <w:t>Furthermore</w:t>
      </w:r>
      <w:r w:rsidR="0014752C">
        <w:rPr>
          <w:rFonts w:ascii="Tahoma" w:hAnsi="Tahoma" w:cs="Tahoma"/>
        </w:rPr>
        <w:t>, t</w:t>
      </w:r>
      <w:r w:rsidR="00E766CA" w:rsidRPr="00E766CA">
        <w:rPr>
          <w:rFonts w:ascii="Tahoma" w:hAnsi="Tahoma" w:cs="Tahoma"/>
        </w:rPr>
        <w:t>he audit was conducted at a single centre, limiting generalisability.</w:t>
      </w:r>
    </w:p>
    <w:p w14:paraId="795E6EBF" w14:textId="4AA04BD1" w:rsidR="0055358F" w:rsidRDefault="00C90A06" w:rsidP="0036194C">
      <w:pPr>
        <w:spacing w:line="360" w:lineRule="auto"/>
        <w:rPr>
          <w:rFonts w:ascii="Tahoma" w:hAnsi="Tahoma" w:cs="Tahoma"/>
        </w:rPr>
      </w:pPr>
      <w:r w:rsidRPr="00C90A06">
        <w:rPr>
          <w:rFonts w:ascii="Tahoma" w:hAnsi="Tahoma" w:cs="Tahoma"/>
          <w:b/>
          <w:bCs/>
        </w:rPr>
        <w:t>Strengths and Weaknesses in Relation to Other Studies</w:t>
      </w:r>
      <w:r>
        <w:rPr>
          <w:rFonts w:ascii="Tahoma" w:hAnsi="Tahoma" w:cs="Tahoma"/>
          <w:b/>
          <w:bCs/>
        </w:rPr>
        <w:t>:</w:t>
      </w:r>
      <w:r w:rsidR="0008767D">
        <w:rPr>
          <w:rFonts w:ascii="Tahoma" w:hAnsi="Tahoma" w:cs="Tahoma"/>
          <w:b/>
          <w:bCs/>
        </w:rPr>
        <w:t xml:space="preserve"> </w:t>
      </w:r>
      <w:r w:rsidRPr="00C90A06">
        <w:rPr>
          <w:rFonts w:ascii="Tahoma" w:hAnsi="Tahoma" w:cs="Tahoma"/>
        </w:rPr>
        <w:t>Published closed-loop audit evidence specifically addressing DVT prevention in orthopaedic trauma in this region is scarce, limiting direct comparisons with similar settings.</w:t>
      </w:r>
    </w:p>
    <w:p w14:paraId="09561EE0" w14:textId="01F9A234" w:rsidR="000C08B2" w:rsidRPr="000C08B2" w:rsidRDefault="004712FD" w:rsidP="00912D39">
      <w:pPr>
        <w:spacing w:line="360" w:lineRule="auto"/>
        <w:rPr>
          <w:rFonts w:ascii="Tahoma" w:hAnsi="Tahoma" w:cs="Tahoma"/>
        </w:rPr>
      </w:pPr>
      <w:r w:rsidRPr="004712FD">
        <w:rPr>
          <w:rFonts w:ascii="Tahoma" w:hAnsi="Tahoma" w:cs="Tahoma"/>
          <w:b/>
          <w:bCs/>
        </w:rPr>
        <w:t>Discussion of Important Differences in Results</w:t>
      </w:r>
      <w:r>
        <w:rPr>
          <w:rFonts w:ascii="Tahoma" w:hAnsi="Tahoma" w:cs="Tahoma"/>
          <w:b/>
          <w:bCs/>
        </w:rPr>
        <w:t>:</w:t>
      </w:r>
      <w:r w:rsidRPr="000C08B2">
        <w:rPr>
          <w:rFonts w:ascii="Tahoma" w:hAnsi="Tahoma" w:cs="Tahoma"/>
        </w:rPr>
        <w:t xml:space="preserve"> </w:t>
      </w:r>
      <w:r w:rsidR="000C08B2" w:rsidRPr="000C08B2">
        <w:rPr>
          <w:rFonts w:ascii="Tahoma" w:hAnsi="Tahoma" w:cs="Tahoma"/>
        </w:rPr>
        <w:t xml:space="preserve">The most substantial process-level change between cycles was the introduction of mechanical prophylaxis, which had been entirely absent from the standard of care in Cycle 1. Its addition as a routine adjunct for high-risk and surgically delayed patients represents a categorical rather than incremental shift in practice, and combined pharmacological and mechanical prophylaxis is supported by NICE and ACCP guidelines as the preferred approach for high-risk orthopaedic trauma patients </w:t>
      </w:r>
      <w:r w:rsidR="00912D39" w:rsidRPr="00912D39">
        <w:rPr>
          <w:rFonts w:ascii="Tahoma" w:hAnsi="Tahoma" w:cs="Tahoma"/>
        </w:rPr>
        <w:t>[4,7]</w:t>
      </w:r>
      <w:r w:rsidR="000C08B2" w:rsidRPr="000C08B2">
        <w:rPr>
          <w:rFonts w:ascii="Tahoma" w:hAnsi="Tahoma" w:cs="Tahoma"/>
        </w:rPr>
        <w:t>. Although its independent contribution could not be isolated, its introduction alongside other interventions likely contributed meaningfully to the overall reduction in DVT incidence.</w:t>
      </w:r>
    </w:p>
    <w:p w14:paraId="47EB25C1" w14:textId="4E9DB39A" w:rsidR="000C08B2" w:rsidRPr="000C08B2" w:rsidRDefault="000C08B2" w:rsidP="00C50FBA">
      <w:pPr>
        <w:spacing w:line="360" w:lineRule="auto"/>
        <w:rPr>
          <w:rFonts w:ascii="Tahoma" w:hAnsi="Tahoma" w:cs="Tahoma"/>
        </w:rPr>
      </w:pPr>
      <w:r w:rsidRPr="000C08B2">
        <w:rPr>
          <w:rFonts w:ascii="Tahoma" w:hAnsi="Tahoma" w:cs="Tahoma"/>
        </w:rPr>
        <w:t>The improvement in timely LMWH administration from partial to full compliance is arguably the most clinically direct change between cycles. The importance of this lies not in the compliance figure itself but in what prior non-compliance represented</w:t>
      </w:r>
      <w:r w:rsidR="00217311">
        <w:rPr>
          <w:rFonts w:ascii="Tahoma" w:hAnsi="Tahoma" w:cs="Tahoma"/>
        </w:rPr>
        <w:t>,</w:t>
      </w:r>
      <w:r w:rsidRPr="000C08B2">
        <w:rPr>
          <w:rFonts w:ascii="Tahoma" w:hAnsi="Tahoma" w:cs="Tahoma"/>
        </w:rPr>
        <w:t xml:space="preserve"> patients whose first prophylactic dose was delayed beyond 24 hours of admission, during which the immobilisation-related prothrombotic state was entirely unmitigated. Trauma literature consistently supports initiation of LMWH within 24 hours of injury as a critical window for DVT prevention </w:t>
      </w:r>
      <w:r w:rsidR="00C50FBA" w:rsidRPr="00C50FBA">
        <w:rPr>
          <w:rFonts w:ascii="Tahoma" w:hAnsi="Tahoma" w:cs="Tahoma"/>
        </w:rPr>
        <w:t>[15]</w:t>
      </w:r>
      <w:r w:rsidRPr="000C08B2">
        <w:rPr>
          <w:rFonts w:ascii="Tahoma" w:hAnsi="Tahoma" w:cs="Tahoma"/>
        </w:rPr>
        <w:t>, and eliminating this gap in Cycle 2 substantially reduced the period of unprotected thrombotic risk.</w:t>
      </w:r>
    </w:p>
    <w:p w14:paraId="231447AA" w14:textId="29F062DA" w:rsidR="000C08B2" w:rsidRPr="000C08B2" w:rsidRDefault="000C08B2" w:rsidP="000C08B2">
      <w:pPr>
        <w:spacing w:line="360" w:lineRule="auto"/>
        <w:rPr>
          <w:rFonts w:ascii="Tahoma" w:hAnsi="Tahoma" w:cs="Tahoma"/>
        </w:rPr>
      </w:pPr>
      <w:r w:rsidRPr="000C08B2">
        <w:rPr>
          <w:rFonts w:ascii="Tahoma" w:hAnsi="Tahoma" w:cs="Tahoma"/>
        </w:rPr>
        <w:t>The elimination of dosing errors between cycles addresses a category of failure with direct clinical consequences in both directions</w:t>
      </w:r>
      <w:r w:rsidR="00217311">
        <w:rPr>
          <w:rFonts w:ascii="Tahoma" w:hAnsi="Tahoma" w:cs="Tahoma"/>
        </w:rPr>
        <w:t>,</w:t>
      </w:r>
      <w:r w:rsidRPr="000C08B2">
        <w:rPr>
          <w:rFonts w:ascii="Tahoma" w:hAnsi="Tahoma" w:cs="Tahoma"/>
        </w:rPr>
        <w:t xml:space="preserve"> underdosing provides inadequate protection while overdosing increases bleeding risk. That a meaningful proportion of Cycle 1 patients received an incorrect dose despite universal prophylaxis being stated policy underscores the importance of structured education and protocol reinforcement, both of which were formally introduced between cycles.</w:t>
      </w:r>
    </w:p>
    <w:p w14:paraId="5C0E0379" w14:textId="6F8D718C" w:rsidR="000C08B2" w:rsidRPr="000C08B2" w:rsidRDefault="000C08B2" w:rsidP="00F5527C">
      <w:pPr>
        <w:spacing w:line="360" w:lineRule="auto"/>
        <w:rPr>
          <w:rFonts w:ascii="Tahoma" w:hAnsi="Tahoma" w:cs="Tahoma"/>
        </w:rPr>
      </w:pPr>
      <w:r w:rsidRPr="000C08B2">
        <w:rPr>
          <w:rFonts w:ascii="Tahoma" w:hAnsi="Tahoma" w:cs="Tahoma"/>
        </w:rPr>
        <w:t xml:space="preserve">Patient education provision improved substantially between cycles, representing an important but often underappreciated process measure. Patient awareness of DVT risk, early signs and symptoms, and the importance of early mobilisation contributes to earlier self-reporting and </w:t>
      </w:r>
      <w:r w:rsidRPr="000C08B2">
        <w:rPr>
          <w:rFonts w:ascii="Tahoma" w:hAnsi="Tahoma" w:cs="Tahoma"/>
        </w:rPr>
        <w:lastRenderedPageBreak/>
        <w:t>may support adherence to post-discharge prophylaxis</w:t>
      </w:r>
      <w:r w:rsidR="00217311">
        <w:rPr>
          <w:rFonts w:ascii="Tahoma" w:hAnsi="Tahoma" w:cs="Tahoma"/>
        </w:rPr>
        <w:t>,</w:t>
      </w:r>
      <w:r w:rsidRPr="000C08B2">
        <w:rPr>
          <w:rFonts w:ascii="Tahoma" w:hAnsi="Tahoma" w:cs="Tahoma"/>
        </w:rPr>
        <w:t xml:space="preserve"> outcomes that extend beyond the pre-operative window assessed in this audit</w:t>
      </w:r>
      <w:r>
        <w:rPr>
          <w:rFonts w:ascii="Tahoma" w:hAnsi="Tahoma" w:cs="Tahoma"/>
        </w:rPr>
        <w:t xml:space="preserve"> </w:t>
      </w:r>
      <w:r w:rsidR="00C50FBA" w:rsidRPr="00C50FBA">
        <w:rPr>
          <w:rFonts w:ascii="Tahoma" w:hAnsi="Tahoma" w:cs="Tahoma"/>
        </w:rPr>
        <w:t>[16–18]</w:t>
      </w:r>
      <w:r w:rsidRPr="000C08B2">
        <w:rPr>
          <w:rFonts w:ascii="Tahoma" w:hAnsi="Tahoma" w:cs="Tahoma"/>
        </w:rPr>
        <w:t>. The residual non-compliance in Cycle 2 likely reflects logistical constraints inherent to the acute admission setting and represents a target for further improvement in future cycles.</w:t>
      </w:r>
    </w:p>
    <w:p w14:paraId="1D39DBEA" w14:textId="5A24BCD0" w:rsidR="004712FD" w:rsidRPr="000C08B2" w:rsidRDefault="000C08B2" w:rsidP="000C08B2">
      <w:pPr>
        <w:spacing w:line="360" w:lineRule="auto"/>
        <w:rPr>
          <w:rFonts w:ascii="Tahoma" w:hAnsi="Tahoma" w:cs="Tahoma"/>
        </w:rPr>
      </w:pPr>
      <w:r w:rsidRPr="000C08B2">
        <w:rPr>
          <w:rFonts w:ascii="Tahoma" w:hAnsi="Tahoma" w:cs="Tahoma"/>
        </w:rPr>
        <w:t>Taken together, the pattern of process measure improvement is coherent: the interventions addressed timing, dose accuracy, adjunct protection, and patient engagement simultaneously. The improvements observed across all modifiable criteria are consistent with the hypothesis that their combined effect</w:t>
      </w:r>
      <w:r w:rsidR="00943461">
        <w:rPr>
          <w:rFonts w:ascii="Tahoma" w:hAnsi="Tahoma" w:cs="Tahoma"/>
        </w:rPr>
        <w:t xml:space="preserve">, </w:t>
      </w:r>
      <w:r w:rsidRPr="000C08B2">
        <w:rPr>
          <w:rFonts w:ascii="Tahoma" w:hAnsi="Tahoma" w:cs="Tahoma"/>
        </w:rPr>
        <w:t>rather than any single change</w:t>
      </w:r>
      <w:r w:rsidR="00943461">
        <w:rPr>
          <w:rFonts w:ascii="Tahoma" w:hAnsi="Tahoma" w:cs="Tahoma"/>
        </w:rPr>
        <w:t>,</w:t>
      </w:r>
      <w:r w:rsidRPr="000C08B2">
        <w:rPr>
          <w:rFonts w:ascii="Tahoma" w:hAnsi="Tahoma" w:cs="Tahoma"/>
        </w:rPr>
        <w:t xml:space="preserve"> drove the reduction in DVT incidence.</w:t>
      </w:r>
    </w:p>
    <w:p w14:paraId="34AD493B" w14:textId="061FDE86" w:rsidR="004712FD" w:rsidRPr="00161FCF" w:rsidRDefault="004712FD" w:rsidP="00CE7F74">
      <w:pPr>
        <w:spacing w:line="360" w:lineRule="auto"/>
        <w:rPr>
          <w:rFonts w:ascii="Tahoma" w:hAnsi="Tahoma" w:cs="Tahoma"/>
        </w:rPr>
      </w:pPr>
      <w:r w:rsidRPr="004712FD">
        <w:rPr>
          <w:rFonts w:ascii="Tahoma" w:hAnsi="Tahoma" w:cs="Tahoma"/>
          <w:b/>
          <w:bCs/>
        </w:rPr>
        <w:t>Meaning of the Study</w:t>
      </w:r>
      <w:r>
        <w:rPr>
          <w:rFonts w:ascii="Tahoma" w:hAnsi="Tahoma" w:cs="Tahoma"/>
          <w:b/>
          <w:bCs/>
        </w:rPr>
        <w:t xml:space="preserve">: </w:t>
      </w:r>
      <w:r w:rsidR="00161FCF" w:rsidRPr="00161FCF">
        <w:rPr>
          <w:rFonts w:ascii="Tahoma" w:hAnsi="Tahoma" w:cs="Tahoma"/>
        </w:rPr>
        <w:t>This audit demonstrates that a locally designed, multi-component DVT prevention bundle</w:t>
      </w:r>
      <w:r w:rsidR="00D10A82">
        <w:rPr>
          <w:rFonts w:ascii="Tahoma" w:hAnsi="Tahoma" w:cs="Tahoma"/>
        </w:rPr>
        <w:t>,</w:t>
      </w:r>
      <w:r w:rsidR="00161FCF" w:rsidRPr="00161FCF">
        <w:rPr>
          <w:rFonts w:ascii="Tahoma" w:hAnsi="Tahoma" w:cs="Tahoma"/>
        </w:rPr>
        <w:t xml:space="preserve"> requiring no novel pharmacological agents or substantial additional resources</w:t>
      </w:r>
      <w:r w:rsidR="00D10A82">
        <w:rPr>
          <w:rFonts w:ascii="Tahoma" w:hAnsi="Tahoma" w:cs="Tahoma"/>
        </w:rPr>
        <w:t>,</w:t>
      </w:r>
      <w:r w:rsidR="00161FCF" w:rsidRPr="00161FCF">
        <w:rPr>
          <w:rFonts w:ascii="Tahoma" w:hAnsi="Tahoma" w:cs="Tahoma"/>
        </w:rPr>
        <w:t xml:space="preserve"> can reduce pre-operative DVT incidence </w:t>
      </w:r>
      <w:r w:rsidR="00CE7F74">
        <w:rPr>
          <w:rFonts w:ascii="Tahoma" w:hAnsi="Tahoma" w:cs="Tahoma"/>
        </w:rPr>
        <w:t xml:space="preserve">significantly </w:t>
      </w:r>
      <w:r w:rsidR="00161FCF" w:rsidRPr="00161FCF">
        <w:rPr>
          <w:rFonts w:ascii="Tahoma" w:hAnsi="Tahoma" w:cs="Tahoma"/>
        </w:rPr>
        <w:t>within a single audit cycle at a regional university hospital. The finding that coordinated improvements in prophylaxis timing, dose accuracy, mechanical protection, and patient education can collectively drive a clinically meaningful reduction in DVT occurrence has practical implications for similar resource-constrained orthopaedic trauma settings where access to specialist research infrastructure is limited. It also reinforces the value of closed-loop clinical audit as a quality improvement mechanism: the act of systematically measuring practice, identifying gaps, and feeding back findings generated actionable insight that translated into measurable improvement in patient outcomes. This model is replicable, low-cost, and does not depend on conditions specific to this institution.</w:t>
      </w:r>
    </w:p>
    <w:p w14:paraId="03F08197" w14:textId="2F54873B" w:rsidR="0055358F" w:rsidRPr="004712FD" w:rsidRDefault="004712FD" w:rsidP="00C50FBA">
      <w:pPr>
        <w:spacing w:line="360" w:lineRule="auto"/>
        <w:rPr>
          <w:rFonts w:ascii="Tahoma" w:hAnsi="Tahoma" w:cs="Tahoma"/>
          <w:b/>
          <w:bCs/>
        </w:rPr>
      </w:pPr>
      <w:r w:rsidRPr="004712FD">
        <w:rPr>
          <w:rFonts w:ascii="Tahoma" w:hAnsi="Tahoma" w:cs="Tahoma"/>
          <w:b/>
          <w:bCs/>
        </w:rPr>
        <w:t>Unanswered Questions and Future Research</w:t>
      </w:r>
      <w:r>
        <w:rPr>
          <w:rFonts w:ascii="Tahoma" w:hAnsi="Tahoma" w:cs="Tahoma"/>
          <w:b/>
          <w:bCs/>
        </w:rPr>
        <w:t xml:space="preserve">: </w:t>
      </w:r>
      <w:r w:rsidRPr="004712FD">
        <w:rPr>
          <w:rFonts w:ascii="Tahoma" w:hAnsi="Tahoma" w:cs="Tahoma"/>
        </w:rPr>
        <w:t>Several important questions remain unanswered. First, whether the gains observed in Cycle 2 are sustained over time requires a Cycle 3 audit, planned within 6–12 months, with a target of sustaining pre-operative DVT incidence below 10%. Second, the audit focused exclusively on the pre-operative period</w:t>
      </w:r>
      <w:r w:rsidR="00027D50">
        <w:rPr>
          <w:rFonts w:ascii="Tahoma" w:hAnsi="Tahoma" w:cs="Tahoma"/>
        </w:rPr>
        <w:t>,</w:t>
      </w:r>
      <w:r w:rsidRPr="004712FD">
        <w:rPr>
          <w:rFonts w:ascii="Tahoma" w:hAnsi="Tahoma" w:cs="Tahoma"/>
        </w:rPr>
        <w:t xml:space="preserve"> postoperative and post-discharge DVT and PE outcomes were not assessed and represent a critical gap, since the overall thrombotic burden includes both pre- and post-operative events. </w:t>
      </w:r>
      <w:r w:rsidR="007A67ED" w:rsidRPr="007A67ED">
        <w:rPr>
          <w:rFonts w:ascii="Tahoma" w:hAnsi="Tahoma" w:cs="Tahoma"/>
        </w:rPr>
        <w:t>Third, the precise relationship between time to surgery and DVT incidence was not formally quantified at the individual patient level in this audit. Delayed surgical fixation is a recognised contributor to prolonged immobilisation and venous stasis,</w:t>
      </w:r>
      <w:r w:rsidR="00FB2762">
        <w:rPr>
          <w:rFonts w:ascii="Tahoma" w:hAnsi="Tahoma" w:cs="Tahoma"/>
        </w:rPr>
        <w:t xml:space="preserve"> </w:t>
      </w:r>
      <w:r w:rsidR="007A67ED" w:rsidRPr="007A67ED">
        <w:rPr>
          <w:rFonts w:ascii="Tahoma" w:hAnsi="Tahoma" w:cs="Tahoma"/>
        </w:rPr>
        <w:t>and has been associated with increased DVT risk in orthopaedic trauma populations</w:t>
      </w:r>
      <w:r w:rsidR="00FB2762">
        <w:rPr>
          <w:rFonts w:ascii="Tahoma" w:hAnsi="Tahoma" w:cs="Tahoma"/>
        </w:rPr>
        <w:t xml:space="preserve"> </w:t>
      </w:r>
      <w:r w:rsidR="00C50FBA" w:rsidRPr="00C50FBA">
        <w:rPr>
          <w:rFonts w:ascii="Tahoma" w:hAnsi="Tahoma" w:cs="Tahoma"/>
        </w:rPr>
        <w:t>[19,20]</w:t>
      </w:r>
      <w:r w:rsidR="007A67ED" w:rsidRPr="007A67ED">
        <w:rPr>
          <w:rFonts w:ascii="Tahoma" w:hAnsi="Tahoma" w:cs="Tahoma"/>
        </w:rPr>
        <w:t xml:space="preserve">. Future audit cycles should systematically record time from admission to surgery for each patient and formally analyse its </w:t>
      </w:r>
      <w:r w:rsidR="007A67ED" w:rsidRPr="007A67ED">
        <w:rPr>
          <w:rFonts w:ascii="Tahoma" w:hAnsi="Tahoma" w:cs="Tahoma"/>
        </w:rPr>
        <w:lastRenderedPageBreak/>
        <w:t>association with DVT occurrence, to determine whether further reductions in surgical delay represent a high-yield target for continued improvement</w:t>
      </w:r>
      <w:r w:rsidRPr="004712FD">
        <w:rPr>
          <w:rFonts w:ascii="Tahoma" w:hAnsi="Tahoma" w:cs="Tahoma"/>
        </w:rPr>
        <w:t>. Finally, a multicentre audit across similar regional hospitals would provide the statistical power needed to characterise risk factor associations that this single-centre study could not reliably detect.</w:t>
      </w:r>
    </w:p>
    <w:p w14:paraId="3FEBE965" w14:textId="731ABA99" w:rsidR="00B22AB9" w:rsidRPr="00B22AB9" w:rsidRDefault="0055358F" w:rsidP="00B22AB9">
      <w:pPr>
        <w:spacing w:line="360" w:lineRule="auto"/>
        <w:rPr>
          <w:rFonts w:ascii="Tahoma" w:hAnsi="Tahoma" w:cs="Tahoma"/>
        </w:rPr>
      </w:pPr>
      <w:r w:rsidRPr="0055358F">
        <w:rPr>
          <w:rFonts w:ascii="Tahoma" w:hAnsi="Tahoma" w:cs="Tahoma"/>
          <w:b/>
          <w:bCs/>
        </w:rPr>
        <w:t>Limitations:</w:t>
      </w:r>
      <w:r>
        <w:rPr>
          <w:rFonts w:ascii="Tahoma" w:hAnsi="Tahoma" w:cs="Tahoma"/>
        </w:rPr>
        <w:t xml:space="preserve"> </w:t>
      </w:r>
      <w:r w:rsidR="00B22AB9" w:rsidRPr="00B22AB9">
        <w:rPr>
          <w:rFonts w:ascii="Tahoma" w:hAnsi="Tahoma" w:cs="Tahoma"/>
        </w:rPr>
        <w:t>Several limitations should be acknowledged. This was a single-centre audit with a modest sample size, and findings should be interpreted with caution before being generalised to other orthopaedic trauma settings with different patient demographics, resources, or baseline practices. The small number of DVT events</w:t>
      </w:r>
      <w:r w:rsidR="0037462B">
        <w:rPr>
          <w:rFonts w:ascii="Tahoma" w:hAnsi="Tahoma" w:cs="Tahoma"/>
        </w:rPr>
        <w:t>,</w:t>
      </w:r>
      <w:r w:rsidR="00B22AB9" w:rsidRPr="00B22AB9">
        <w:rPr>
          <w:rFonts w:ascii="Tahoma" w:hAnsi="Tahoma" w:cs="Tahoma"/>
        </w:rPr>
        <w:t xml:space="preserve"> particularly in Cycle 2</w:t>
      </w:r>
      <w:r w:rsidR="0037462B">
        <w:rPr>
          <w:rFonts w:ascii="Tahoma" w:hAnsi="Tahoma" w:cs="Tahoma"/>
        </w:rPr>
        <w:t>,</w:t>
      </w:r>
      <w:r w:rsidR="00B22AB9" w:rsidRPr="00B22AB9">
        <w:rPr>
          <w:rFonts w:ascii="Tahoma" w:hAnsi="Tahoma" w:cs="Tahoma"/>
        </w:rPr>
        <w:t xml:space="preserve"> limited statistical power to detect moderate-strength risk factor associations; non-significant findings, including the non-significant fracture site results, should therefore be interpreted as inconclusive rather than as evidence of no effect. The small patient numbers within individual fracture site categories</w:t>
      </w:r>
      <w:r w:rsidR="00217311">
        <w:rPr>
          <w:rFonts w:ascii="Tahoma" w:hAnsi="Tahoma" w:cs="Tahoma"/>
        </w:rPr>
        <w:t xml:space="preserve">, </w:t>
      </w:r>
      <w:r w:rsidR="00B22AB9" w:rsidRPr="00B22AB9">
        <w:rPr>
          <w:rFonts w:ascii="Tahoma" w:hAnsi="Tahoma" w:cs="Tahoma"/>
        </w:rPr>
        <w:t xml:space="preserve"> particularly foot and heel</w:t>
      </w:r>
      <w:r w:rsidR="0037462B">
        <w:rPr>
          <w:rFonts w:ascii="Tahoma" w:hAnsi="Tahoma" w:cs="Tahoma"/>
        </w:rPr>
        <w:t xml:space="preserve">, </w:t>
      </w:r>
      <w:r w:rsidR="00B22AB9" w:rsidRPr="00B22AB9">
        <w:rPr>
          <w:rFonts w:ascii="Tahoma" w:hAnsi="Tahoma" w:cs="Tahoma"/>
        </w:rPr>
        <w:t>further limit the reliability of site-specific DVT rate estimates. Finally, postoperative and post-discharge VTE outcomes and bleeding complications were not systematically captured, meaning the full risk-benefit profile of the enhanced prophylaxis protocol remains incompletely characterised.</w:t>
      </w:r>
    </w:p>
    <w:p w14:paraId="6673E59B" w14:textId="58659970" w:rsidR="00CB1219" w:rsidRDefault="00CB1219" w:rsidP="00B22AB9">
      <w:pPr>
        <w:spacing w:line="360" w:lineRule="auto"/>
        <w:rPr>
          <w:rFonts w:ascii="Tahoma" w:hAnsi="Tahoma" w:cs="Tahoma"/>
        </w:rPr>
      </w:pPr>
    </w:p>
    <w:p w14:paraId="6253FBC8" w14:textId="21946E58" w:rsidR="0055358F" w:rsidRPr="0055358F" w:rsidRDefault="0055358F" w:rsidP="00200CB0">
      <w:pPr>
        <w:spacing w:line="360" w:lineRule="auto"/>
        <w:rPr>
          <w:rFonts w:ascii="Tahoma" w:hAnsi="Tahoma" w:cs="Tahoma"/>
        </w:rPr>
        <w:sectPr w:rsidR="0055358F" w:rsidRPr="0055358F" w:rsidSect="00DB5CCF">
          <w:pgSz w:w="12240" w:h="15840"/>
          <w:pgMar w:top="1440" w:right="1440" w:bottom="1440" w:left="1440" w:header="720" w:footer="720" w:gutter="0"/>
          <w:cols w:space="720"/>
          <w:docGrid w:linePitch="360"/>
        </w:sectPr>
      </w:pPr>
    </w:p>
    <w:p w14:paraId="013428EA" w14:textId="77777777" w:rsidR="000D1A7E" w:rsidRPr="006728C2" w:rsidRDefault="00D0343C" w:rsidP="00200CB0">
      <w:pPr>
        <w:rPr>
          <w:rFonts w:ascii="Tahoma" w:hAnsi="Tahoma" w:cs="Tahoma"/>
          <w:b/>
          <w:sz w:val="32"/>
          <w:szCs w:val="32"/>
        </w:rPr>
      </w:pPr>
      <w:r w:rsidRPr="006728C2">
        <w:rPr>
          <w:rFonts w:ascii="Tahoma" w:hAnsi="Tahoma" w:cs="Tahoma"/>
          <w:b/>
          <w:sz w:val="32"/>
          <w:szCs w:val="32"/>
        </w:rPr>
        <w:lastRenderedPageBreak/>
        <w:t>Conclusion</w:t>
      </w:r>
    </w:p>
    <w:p w14:paraId="5071FBC7" w14:textId="7836C71D" w:rsidR="00A628AD" w:rsidRPr="005D7AA9" w:rsidRDefault="00F45C0B" w:rsidP="00FF0062">
      <w:pPr>
        <w:spacing w:line="360" w:lineRule="auto"/>
        <w:rPr>
          <w:rFonts w:ascii="Tahoma" w:hAnsi="Tahoma" w:cs="Tahoma"/>
        </w:rPr>
        <w:sectPr w:rsidR="00A628AD" w:rsidRPr="005D7AA9" w:rsidSect="00DB5CCF">
          <w:pgSz w:w="12240" w:h="15840"/>
          <w:pgMar w:top="1440" w:right="1440" w:bottom="1440" w:left="1440" w:header="720" w:footer="720" w:gutter="0"/>
          <w:cols w:space="720"/>
          <w:docGrid w:linePitch="360"/>
        </w:sectPr>
      </w:pPr>
      <w:r w:rsidRPr="005D7AA9">
        <w:rPr>
          <w:rFonts w:ascii="Tahoma" w:hAnsi="Tahoma" w:cs="Tahoma"/>
        </w:rPr>
        <w:t>This closed-loop audit demonstrates that a focused, evidence-based intervention strategy</w:t>
      </w:r>
      <w:r w:rsidR="008A494F">
        <w:rPr>
          <w:rFonts w:ascii="Tahoma" w:hAnsi="Tahoma" w:cs="Tahoma"/>
        </w:rPr>
        <w:t>,</w:t>
      </w:r>
      <w:r w:rsidRPr="005D7AA9">
        <w:rPr>
          <w:rFonts w:ascii="Tahoma" w:hAnsi="Tahoma" w:cs="Tahoma"/>
        </w:rPr>
        <w:t xml:space="preserve"> encompassing earlier anticoagulation, expedited surgical scheduling, mechanical prophylaxis, and staff education</w:t>
      </w:r>
      <w:r w:rsidR="008A494F">
        <w:rPr>
          <w:rFonts w:ascii="Tahoma" w:hAnsi="Tahoma" w:cs="Tahoma"/>
        </w:rPr>
        <w:t>,</w:t>
      </w:r>
      <w:r w:rsidRPr="005D7AA9">
        <w:rPr>
          <w:rFonts w:ascii="Tahoma" w:hAnsi="Tahoma" w:cs="Tahoma"/>
        </w:rPr>
        <w:t xml:space="preserve"> was associated with a substantial and statistically significant reduction in pre-operative DVT incidence, from 29% to 12.8%, bringing our institution's rate below the published benchmark of 24% and into closer alignment with NICE</w:t>
      </w:r>
      <w:r w:rsidR="0008767D">
        <w:rPr>
          <w:rFonts w:ascii="Tahoma" w:hAnsi="Tahoma" w:cs="Tahoma"/>
        </w:rPr>
        <w:t xml:space="preserve"> and </w:t>
      </w:r>
      <w:r w:rsidRPr="005D7AA9">
        <w:rPr>
          <w:rFonts w:ascii="Tahoma" w:hAnsi="Tahoma" w:cs="Tahoma"/>
        </w:rPr>
        <w:t>ACCP guidelines. As baseline patient characteristics were comparable across cycles, this improvement is best attributed to changes in care processes rather than differences in patient risk profile; however, DVT was not eliminated</w:t>
      </w:r>
      <w:r w:rsidR="008A494F">
        <w:rPr>
          <w:rFonts w:ascii="Tahoma" w:hAnsi="Tahoma" w:cs="Tahoma"/>
        </w:rPr>
        <w:t xml:space="preserve"> entirely</w:t>
      </w:r>
      <w:r w:rsidRPr="005D7AA9">
        <w:rPr>
          <w:rFonts w:ascii="Tahoma" w:hAnsi="Tahoma" w:cs="Tahoma"/>
        </w:rPr>
        <w:t>. These findings reinforce the value of the audit cycle as a quality improvement tool, and a Cycle 3 audit is planned to assess whether these gains are sustained and to extend evaluation to postoperative outcomes.</w:t>
      </w:r>
      <w:r w:rsidR="00A628AD" w:rsidRPr="005D7AA9">
        <w:rPr>
          <w:rFonts w:ascii="Tahoma" w:hAnsi="Tahoma" w:cs="Tahoma"/>
        </w:rPr>
        <w:t xml:space="preserve"> </w:t>
      </w:r>
    </w:p>
    <w:p w14:paraId="55F8B411" w14:textId="15490BDB" w:rsidR="005A59DF" w:rsidRPr="005A59DF" w:rsidRDefault="005A59DF" w:rsidP="005A59DF">
      <w:pPr>
        <w:rPr>
          <w:rFonts w:ascii="Tahoma" w:hAnsi="Tahoma" w:cs="Tahoma"/>
          <w:sz w:val="24"/>
          <w:szCs w:val="24"/>
        </w:rPr>
      </w:pPr>
      <w:r>
        <w:rPr>
          <w:rFonts w:ascii="Tahoma" w:hAnsi="Tahoma" w:cs="Tahoma"/>
          <w:b/>
          <w:sz w:val="32"/>
          <w:szCs w:val="32"/>
        </w:rPr>
        <w:lastRenderedPageBreak/>
        <w:t>What is already know on this topic</w:t>
      </w:r>
      <w:r w:rsidR="00471253">
        <w:rPr>
          <w:rFonts w:ascii="Tahoma" w:hAnsi="Tahoma" w:cs="Tahoma"/>
          <w:b/>
          <w:sz w:val="32"/>
          <w:szCs w:val="32"/>
        </w:rPr>
        <w:t xml:space="preserve"> </w:t>
      </w:r>
    </w:p>
    <w:p w14:paraId="0D926BB7" w14:textId="77777777" w:rsidR="002565B9" w:rsidRPr="002565B9" w:rsidRDefault="002565B9" w:rsidP="002565B9">
      <w:pPr>
        <w:numPr>
          <w:ilvl w:val="0"/>
          <w:numId w:val="4"/>
        </w:numPr>
        <w:rPr>
          <w:rFonts w:ascii="Tahoma" w:hAnsi="Tahoma" w:cs="Tahoma"/>
          <w:sz w:val="24"/>
          <w:szCs w:val="24"/>
        </w:rPr>
      </w:pPr>
      <w:r w:rsidRPr="002565B9">
        <w:rPr>
          <w:rFonts w:ascii="Tahoma" w:hAnsi="Tahoma" w:cs="Tahoma"/>
          <w:sz w:val="24"/>
          <w:szCs w:val="24"/>
        </w:rPr>
        <w:t>DVT is a common, preventable complication of lower limb fractures, driven by immobilisation and trauma-induced hypercoagulability.</w:t>
      </w:r>
    </w:p>
    <w:p w14:paraId="453B0A0C" w14:textId="77777777" w:rsidR="002565B9" w:rsidRPr="002565B9" w:rsidRDefault="002565B9" w:rsidP="002565B9">
      <w:pPr>
        <w:numPr>
          <w:ilvl w:val="0"/>
          <w:numId w:val="4"/>
        </w:numPr>
        <w:rPr>
          <w:rFonts w:ascii="Tahoma" w:hAnsi="Tahoma" w:cs="Tahoma"/>
          <w:sz w:val="24"/>
          <w:szCs w:val="24"/>
        </w:rPr>
      </w:pPr>
      <w:r w:rsidRPr="002565B9">
        <w:rPr>
          <w:rFonts w:ascii="Tahoma" w:hAnsi="Tahoma" w:cs="Tahoma"/>
          <w:sz w:val="24"/>
          <w:szCs w:val="24"/>
        </w:rPr>
        <w:t>Pooled prevalence of pre-operative DVT in lower limb fracture patients is around 24%, despite existing prophylaxis guidelines.</w:t>
      </w:r>
    </w:p>
    <w:p w14:paraId="01E1D40F" w14:textId="20F2417E" w:rsidR="002565B9" w:rsidRPr="000712E7" w:rsidRDefault="002565B9" w:rsidP="000712E7">
      <w:pPr>
        <w:numPr>
          <w:ilvl w:val="0"/>
          <w:numId w:val="4"/>
        </w:numPr>
        <w:rPr>
          <w:rFonts w:ascii="Tahoma" w:hAnsi="Tahoma" w:cs="Tahoma"/>
          <w:sz w:val="24"/>
          <w:szCs w:val="24"/>
        </w:rPr>
      </w:pPr>
      <w:r w:rsidRPr="002565B9">
        <w:rPr>
          <w:rFonts w:ascii="Tahoma" w:hAnsi="Tahoma" w:cs="Tahoma"/>
          <w:sz w:val="24"/>
          <w:szCs w:val="24"/>
        </w:rPr>
        <w:t>NICE</w:t>
      </w:r>
      <w:r w:rsidR="0008767D">
        <w:rPr>
          <w:rFonts w:ascii="Tahoma" w:hAnsi="Tahoma" w:cs="Tahoma"/>
          <w:sz w:val="24"/>
          <w:szCs w:val="24"/>
        </w:rPr>
        <w:t xml:space="preserve"> and </w:t>
      </w:r>
      <w:r w:rsidRPr="002565B9">
        <w:rPr>
          <w:rFonts w:ascii="Tahoma" w:hAnsi="Tahoma" w:cs="Tahoma"/>
          <w:sz w:val="24"/>
          <w:szCs w:val="24"/>
        </w:rPr>
        <w:t>ACCP guidelines recommend universal risk assessment and early thromboprophylaxis, ideally within 24 hours of injury.</w:t>
      </w:r>
    </w:p>
    <w:p w14:paraId="6DD17A3B" w14:textId="77777777" w:rsidR="000712E7" w:rsidRDefault="000712E7">
      <w:pPr>
        <w:rPr>
          <w:rFonts w:ascii="Tahoma" w:hAnsi="Tahoma" w:cs="Tahoma"/>
          <w:sz w:val="24"/>
          <w:szCs w:val="24"/>
        </w:rPr>
      </w:pPr>
    </w:p>
    <w:p w14:paraId="613FDA8B" w14:textId="50F655DE" w:rsidR="005A59DF" w:rsidRPr="005A59DF" w:rsidRDefault="005A59DF">
      <w:pPr>
        <w:rPr>
          <w:rFonts w:ascii="Tahoma" w:hAnsi="Tahoma" w:cs="Tahoma"/>
          <w:sz w:val="24"/>
          <w:szCs w:val="24"/>
        </w:rPr>
      </w:pPr>
      <w:r>
        <w:rPr>
          <w:rFonts w:ascii="Tahoma" w:hAnsi="Tahoma" w:cs="Tahoma"/>
          <w:b/>
          <w:sz w:val="32"/>
          <w:szCs w:val="32"/>
        </w:rPr>
        <w:t>What this study adds</w:t>
      </w:r>
      <w:r w:rsidR="00471253">
        <w:rPr>
          <w:rFonts w:ascii="Tahoma" w:hAnsi="Tahoma" w:cs="Tahoma"/>
          <w:b/>
          <w:sz w:val="32"/>
          <w:szCs w:val="32"/>
        </w:rPr>
        <w:t xml:space="preserve"> </w:t>
      </w:r>
    </w:p>
    <w:p w14:paraId="20D3C0C2" w14:textId="77777777" w:rsidR="002565B9" w:rsidRPr="002565B9" w:rsidRDefault="002565B9" w:rsidP="002565B9">
      <w:pPr>
        <w:numPr>
          <w:ilvl w:val="0"/>
          <w:numId w:val="5"/>
        </w:numPr>
        <w:rPr>
          <w:rFonts w:ascii="Tahoma" w:hAnsi="Tahoma" w:cs="Tahoma"/>
          <w:sz w:val="24"/>
          <w:szCs w:val="24"/>
        </w:rPr>
      </w:pPr>
      <w:r w:rsidRPr="002565B9">
        <w:rPr>
          <w:rFonts w:ascii="Tahoma" w:hAnsi="Tahoma" w:cs="Tahoma"/>
          <w:sz w:val="24"/>
          <w:szCs w:val="24"/>
        </w:rPr>
        <w:t>A structured intervention bundle (earlier LMWH, faster surgery, mechanical prophylaxis, staff education) reduced pre-operative DVT from 29% to 12.8% within one audit cycle.</w:t>
      </w:r>
    </w:p>
    <w:p w14:paraId="6923CE5C" w14:textId="77777777" w:rsidR="002565B9" w:rsidRPr="002565B9" w:rsidRDefault="002565B9" w:rsidP="002565B9">
      <w:pPr>
        <w:numPr>
          <w:ilvl w:val="0"/>
          <w:numId w:val="5"/>
        </w:numPr>
        <w:rPr>
          <w:rFonts w:ascii="Tahoma" w:hAnsi="Tahoma" w:cs="Tahoma"/>
          <w:sz w:val="24"/>
          <w:szCs w:val="24"/>
        </w:rPr>
      </w:pPr>
      <w:r w:rsidRPr="002565B9">
        <w:rPr>
          <w:rFonts w:ascii="Tahoma" w:hAnsi="Tahoma" w:cs="Tahoma"/>
          <w:sz w:val="24"/>
          <w:szCs w:val="24"/>
        </w:rPr>
        <w:t>This audit shows a locally-led, low-cost quality improvement model can move institutional DVT rates below international benchmarks.</w:t>
      </w:r>
    </w:p>
    <w:p w14:paraId="1DB08913" w14:textId="77777777" w:rsidR="002565B9" w:rsidRPr="002565B9" w:rsidRDefault="002565B9" w:rsidP="002565B9">
      <w:pPr>
        <w:numPr>
          <w:ilvl w:val="0"/>
          <w:numId w:val="5"/>
        </w:numPr>
        <w:rPr>
          <w:rFonts w:ascii="Tahoma" w:hAnsi="Tahoma" w:cs="Tahoma"/>
          <w:sz w:val="24"/>
          <w:szCs w:val="24"/>
        </w:rPr>
      </w:pPr>
      <w:r w:rsidRPr="002565B9">
        <w:rPr>
          <w:rFonts w:ascii="Tahoma" w:hAnsi="Tahoma" w:cs="Tahoma"/>
          <w:sz w:val="24"/>
          <w:szCs w:val="24"/>
        </w:rPr>
        <w:t>It provides closed-loop audit evidence from an orthopaedic trauma unit in this region, where such data are scarce.</w:t>
      </w:r>
    </w:p>
    <w:p w14:paraId="16A022EE" w14:textId="77777777" w:rsidR="00A628AD" w:rsidRDefault="00A628AD">
      <w:pPr>
        <w:rPr>
          <w:rFonts w:ascii="Tahoma" w:hAnsi="Tahoma" w:cs="Tahoma"/>
          <w:b/>
          <w:sz w:val="32"/>
          <w:szCs w:val="32"/>
        </w:rPr>
      </w:pPr>
    </w:p>
    <w:p w14:paraId="3FD4EFBD" w14:textId="77777777" w:rsidR="000712E7" w:rsidRDefault="000712E7">
      <w:pPr>
        <w:rPr>
          <w:rFonts w:ascii="Tahoma" w:hAnsi="Tahoma" w:cs="Tahoma"/>
          <w:b/>
          <w:sz w:val="32"/>
          <w:szCs w:val="32"/>
        </w:rPr>
        <w:sectPr w:rsidR="000712E7" w:rsidSect="00DB5CCF">
          <w:pgSz w:w="12240" w:h="15840"/>
          <w:pgMar w:top="1440" w:right="1440" w:bottom="1440" w:left="1440" w:header="720" w:footer="720" w:gutter="0"/>
          <w:cols w:space="720"/>
          <w:docGrid w:linePitch="360"/>
        </w:sectPr>
      </w:pPr>
    </w:p>
    <w:p w14:paraId="00A18802" w14:textId="77777777" w:rsidR="00C35899" w:rsidRDefault="00D0343C">
      <w:pPr>
        <w:rPr>
          <w:rFonts w:ascii="Tahoma" w:hAnsi="Tahoma" w:cs="Tahoma"/>
          <w:b/>
          <w:sz w:val="32"/>
          <w:szCs w:val="32"/>
        </w:rPr>
      </w:pPr>
      <w:r w:rsidRPr="00C35899">
        <w:rPr>
          <w:rFonts w:ascii="Tahoma" w:hAnsi="Tahoma" w:cs="Tahoma"/>
          <w:b/>
          <w:sz w:val="32"/>
          <w:szCs w:val="32"/>
        </w:rPr>
        <w:lastRenderedPageBreak/>
        <w:t>Co</w:t>
      </w:r>
      <w:r w:rsidR="00C35899" w:rsidRPr="00C35899">
        <w:rPr>
          <w:rFonts w:ascii="Tahoma" w:hAnsi="Tahoma" w:cs="Tahoma"/>
          <w:b/>
          <w:sz w:val="32"/>
          <w:szCs w:val="32"/>
        </w:rPr>
        <w:t>mpeting interests</w:t>
      </w:r>
    </w:p>
    <w:p w14:paraId="4FEB7696" w14:textId="29BD9049" w:rsidR="000D1A7E" w:rsidRPr="00C35899" w:rsidRDefault="00C35899">
      <w:pPr>
        <w:rPr>
          <w:rFonts w:ascii="Tahoma" w:hAnsi="Tahoma" w:cs="Tahoma"/>
          <w:sz w:val="32"/>
          <w:szCs w:val="32"/>
        </w:rPr>
      </w:pPr>
      <w:r>
        <w:rPr>
          <w:rFonts w:ascii="Tahoma" w:hAnsi="Tahoma" w:cs="Tahoma"/>
          <w:sz w:val="24"/>
          <w:szCs w:val="24"/>
        </w:rPr>
        <w:t>The authors declare no competing interest.</w:t>
      </w:r>
      <w:r w:rsidRPr="00C35899">
        <w:rPr>
          <w:rFonts w:ascii="Tahoma" w:hAnsi="Tahoma" w:cs="Tahoma"/>
          <w:sz w:val="32"/>
          <w:szCs w:val="32"/>
        </w:rPr>
        <w:t xml:space="preserve"> </w:t>
      </w:r>
    </w:p>
    <w:p w14:paraId="17314BBC" w14:textId="77777777" w:rsidR="00C35899" w:rsidRPr="00EC50AD" w:rsidRDefault="00C35899">
      <w:pPr>
        <w:rPr>
          <w:rFonts w:ascii="Tahoma" w:hAnsi="Tahoma" w:cs="Tahoma"/>
          <w:b/>
          <w:sz w:val="32"/>
          <w:szCs w:val="32"/>
        </w:rPr>
      </w:pPr>
    </w:p>
    <w:p w14:paraId="5933382C" w14:textId="77777777" w:rsidR="00D0343C" w:rsidRPr="00940545" w:rsidRDefault="006728C2">
      <w:pPr>
        <w:rPr>
          <w:rFonts w:ascii="Tahoma" w:hAnsi="Tahoma" w:cs="Tahoma"/>
          <w:b/>
          <w:sz w:val="32"/>
          <w:szCs w:val="32"/>
        </w:rPr>
      </w:pPr>
      <w:r w:rsidRPr="00940545">
        <w:rPr>
          <w:rFonts w:ascii="Tahoma" w:hAnsi="Tahoma" w:cs="Tahoma"/>
          <w:b/>
          <w:sz w:val="32"/>
          <w:szCs w:val="32"/>
        </w:rPr>
        <w:t>Authors’ contributions</w:t>
      </w:r>
      <w:r w:rsidR="004527E3" w:rsidRPr="00940545">
        <w:rPr>
          <w:rFonts w:ascii="Tahoma" w:hAnsi="Tahoma" w:cs="Tahoma"/>
          <w:b/>
          <w:sz w:val="32"/>
          <w:szCs w:val="32"/>
        </w:rPr>
        <w:t xml:space="preserve"> </w:t>
      </w:r>
      <w:r w:rsidR="00D0343C" w:rsidRPr="00940545">
        <w:rPr>
          <w:rFonts w:ascii="Tahoma" w:hAnsi="Tahoma" w:cs="Tahoma"/>
          <w:b/>
          <w:sz w:val="32"/>
          <w:szCs w:val="32"/>
        </w:rPr>
        <w:t xml:space="preserve"> </w:t>
      </w:r>
    </w:p>
    <w:p w14:paraId="0BFC1550" w14:textId="185FF7F7" w:rsidR="00C8202C" w:rsidRPr="00BA1B9D" w:rsidRDefault="00C8202C" w:rsidP="00C8202C">
      <w:pPr>
        <w:rPr>
          <w:rFonts w:ascii="Tahoma" w:hAnsi="Tahoma" w:cs="Tahoma"/>
          <w:color w:val="000000"/>
        </w:rPr>
      </w:pPr>
      <w:r w:rsidRPr="00BA1B9D">
        <w:rPr>
          <w:rFonts w:ascii="Tahoma" w:hAnsi="Tahoma" w:cs="Tahoma"/>
          <w:color w:val="000000"/>
        </w:rPr>
        <w:t>Abdelrahman Khaled Shalabi</w:t>
      </w:r>
      <w:r>
        <w:rPr>
          <w:rFonts w:ascii="Tahoma" w:hAnsi="Tahoma" w:cs="Tahoma"/>
          <w:color w:val="000000"/>
        </w:rPr>
        <w:t>:</w:t>
      </w:r>
      <w:r w:rsidR="00AD2DAC">
        <w:rPr>
          <w:rFonts w:ascii="Tahoma" w:hAnsi="Tahoma" w:cs="Tahoma"/>
          <w:color w:val="000000"/>
        </w:rPr>
        <w:t xml:space="preserve"> Concept and design, writing and editing article</w:t>
      </w:r>
    </w:p>
    <w:p w14:paraId="60CA50DD" w14:textId="6B37E984" w:rsidR="00C8202C" w:rsidRPr="00BA1B9D" w:rsidRDefault="00C8202C" w:rsidP="00C8202C">
      <w:pPr>
        <w:rPr>
          <w:rFonts w:ascii="Tahoma" w:hAnsi="Tahoma" w:cs="Tahoma"/>
          <w:i/>
          <w:iCs/>
          <w:color w:val="000000"/>
        </w:rPr>
      </w:pPr>
      <w:r w:rsidRPr="00BA1B9D">
        <w:rPr>
          <w:rFonts w:ascii="Tahoma" w:hAnsi="Tahoma" w:cs="Tahoma"/>
          <w:color w:val="000000"/>
        </w:rPr>
        <w:t>Youssef Adel Ahmed</w:t>
      </w:r>
      <w:r>
        <w:rPr>
          <w:rFonts w:ascii="Tahoma" w:hAnsi="Tahoma" w:cs="Tahoma"/>
          <w:color w:val="000000"/>
        </w:rPr>
        <w:t>:</w:t>
      </w:r>
      <w:r w:rsidR="0061478B">
        <w:rPr>
          <w:rFonts w:ascii="Tahoma" w:hAnsi="Tahoma" w:cs="Tahoma"/>
          <w:color w:val="000000"/>
        </w:rPr>
        <w:t xml:space="preserve"> Concept</w:t>
      </w:r>
      <w:r w:rsidR="00012136">
        <w:rPr>
          <w:rFonts w:ascii="Tahoma" w:hAnsi="Tahoma" w:cs="Tahoma"/>
          <w:color w:val="000000"/>
        </w:rPr>
        <w:t xml:space="preserve">, </w:t>
      </w:r>
      <w:r w:rsidR="00487F04">
        <w:rPr>
          <w:rFonts w:ascii="Tahoma" w:hAnsi="Tahoma" w:cs="Tahoma"/>
          <w:color w:val="000000"/>
        </w:rPr>
        <w:t>statistical</w:t>
      </w:r>
      <w:r w:rsidR="00012136">
        <w:rPr>
          <w:rFonts w:ascii="Tahoma" w:hAnsi="Tahoma" w:cs="Tahoma"/>
          <w:color w:val="000000"/>
        </w:rPr>
        <w:t xml:space="preserve"> analysis, interpretation of data, writing and editing article</w:t>
      </w:r>
    </w:p>
    <w:p w14:paraId="4C8D0DF8" w14:textId="32B87DD9" w:rsidR="00C8202C" w:rsidRPr="00BA1B9D" w:rsidRDefault="00C8202C" w:rsidP="00C8202C">
      <w:pPr>
        <w:rPr>
          <w:rFonts w:ascii="Tahoma" w:hAnsi="Tahoma" w:cs="Tahoma"/>
          <w:color w:val="000000"/>
        </w:rPr>
      </w:pPr>
      <w:r w:rsidRPr="00BA1B9D">
        <w:rPr>
          <w:rFonts w:ascii="Tahoma" w:hAnsi="Tahoma" w:cs="Tahoma"/>
          <w:color w:val="000000"/>
        </w:rPr>
        <w:t>Mohamed Osama Taha</w:t>
      </w:r>
      <w:r>
        <w:rPr>
          <w:rFonts w:ascii="Tahoma" w:hAnsi="Tahoma" w:cs="Tahoma"/>
          <w:color w:val="000000"/>
        </w:rPr>
        <w:t>:</w:t>
      </w:r>
      <w:r w:rsidR="00012136">
        <w:rPr>
          <w:rFonts w:ascii="Tahoma" w:hAnsi="Tahoma" w:cs="Tahoma"/>
          <w:color w:val="000000"/>
        </w:rPr>
        <w:t xml:space="preserve"> </w:t>
      </w:r>
      <w:r w:rsidR="00E132CE">
        <w:rPr>
          <w:rFonts w:ascii="Tahoma" w:hAnsi="Tahoma" w:cs="Tahoma"/>
          <w:color w:val="000000"/>
        </w:rPr>
        <w:t xml:space="preserve">Methodology, </w:t>
      </w:r>
      <w:r w:rsidR="008669B2">
        <w:rPr>
          <w:rFonts w:ascii="Tahoma" w:hAnsi="Tahoma" w:cs="Tahoma"/>
          <w:color w:val="000000"/>
        </w:rPr>
        <w:t>statistical</w:t>
      </w:r>
      <w:r w:rsidR="00012136">
        <w:rPr>
          <w:rFonts w:ascii="Tahoma" w:hAnsi="Tahoma" w:cs="Tahoma"/>
          <w:color w:val="000000"/>
        </w:rPr>
        <w:t xml:space="preserve"> analysis</w:t>
      </w:r>
      <w:r w:rsidR="00487F04">
        <w:rPr>
          <w:rFonts w:ascii="Tahoma" w:hAnsi="Tahoma" w:cs="Tahoma"/>
          <w:color w:val="000000"/>
        </w:rPr>
        <w:t xml:space="preserve">, </w:t>
      </w:r>
      <w:r w:rsidR="008240C2">
        <w:rPr>
          <w:rFonts w:ascii="Tahoma" w:hAnsi="Tahoma" w:cs="Tahoma"/>
          <w:color w:val="000000"/>
        </w:rPr>
        <w:t>editing</w:t>
      </w:r>
      <w:r w:rsidR="00BE0624">
        <w:rPr>
          <w:rFonts w:ascii="Tahoma" w:hAnsi="Tahoma" w:cs="Tahoma"/>
          <w:color w:val="000000"/>
        </w:rPr>
        <w:t xml:space="preserve"> and</w:t>
      </w:r>
      <w:r w:rsidR="008240C2">
        <w:rPr>
          <w:rFonts w:ascii="Tahoma" w:hAnsi="Tahoma" w:cs="Tahoma"/>
          <w:color w:val="000000"/>
        </w:rPr>
        <w:t xml:space="preserve"> </w:t>
      </w:r>
      <w:r w:rsidR="00487F04">
        <w:rPr>
          <w:rFonts w:ascii="Tahoma" w:hAnsi="Tahoma" w:cs="Tahoma"/>
          <w:color w:val="000000"/>
        </w:rPr>
        <w:t>reviewing</w:t>
      </w:r>
      <w:r w:rsidR="008240C2">
        <w:rPr>
          <w:rFonts w:ascii="Tahoma" w:hAnsi="Tahoma" w:cs="Tahoma"/>
          <w:color w:val="000000"/>
        </w:rPr>
        <w:t xml:space="preserve"> the article</w:t>
      </w:r>
    </w:p>
    <w:p w14:paraId="5A5DBB35" w14:textId="5706412A" w:rsidR="00C8202C" w:rsidRPr="00BA1B9D" w:rsidRDefault="00C8202C" w:rsidP="00C8202C">
      <w:pPr>
        <w:rPr>
          <w:rFonts w:ascii="Tahoma" w:hAnsi="Tahoma" w:cs="Tahoma"/>
          <w:color w:val="000000"/>
        </w:rPr>
      </w:pPr>
      <w:r w:rsidRPr="00BA1B9D">
        <w:rPr>
          <w:rFonts w:ascii="Tahoma" w:hAnsi="Tahoma" w:cs="Tahoma"/>
          <w:color w:val="000000"/>
        </w:rPr>
        <w:t>Abdelrahman Yasser Allam</w:t>
      </w:r>
      <w:r>
        <w:rPr>
          <w:rFonts w:ascii="Tahoma" w:hAnsi="Tahoma" w:cs="Tahoma"/>
          <w:color w:val="000000"/>
        </w:rPr>
        <w:t>:</w:t>
      </w:r>
      <w:r w:rsidR="00012136">
        <w:rPr>
          <w:rFonts w:ascii="Tahoma" w:hAnsi="Tahoma" w:cs="Tahoma"/>
          <w:color w:val="000000"/>
        </w:rPr>
        <w:t xml:space="preserve"> </w:t>
      </w:r>
      <w:r w:rsidR="00E132CE">
        <w:rPr>
          <w:rFonts w:ascii="Tahoma" w:hAnsi="Tahoma" w:cs="Tahoma"/>
          <w:color w:val="000000"/>
        </w:rPr>
        <w:t>Concept, d</w:t>
      </w:r>
      <w:r w:rsidR="00012136">
        <w:rPr>
          <w:rFonts w:ascii="Tahoma" w:hAnsi="Tahoma" w:cs="Tahoma"/>
          <w:color w:val="000000"/>
        </w:rPr>
        <w:t>ata acquisition</w:t>
      </w:r>
      <w:r w:rsidR="00487F04">
        <w:rPr>
          <w:rFonts w:ascii="Tahoma" w:hAnsi="Tahoma" w:cs="Tahoma"/>
          <w:color w:val="000000"/>
        </w:rPr>
        <w:t xml:space="preserve">, </w:t>
      </w:r>
      <w:r w:rsidR="008240C2">
        <w:rPr>
          <w:rFonts w:ascii="Tahoma" w:hAnsi="Tahoma" w:cs="Tahoma"/>
          <w:color w:val="000000"/>
        </w:rPr>
        <w:t>editing</w:t>
      </w:r>
      <w:r w:rsidR="00BE0624">
        <w:rPr>
          <w:rFonts w:ascii="Tahoma" w:hAnsi="Tahoma" w:cs="Tahoma"/>
          <w:color w:val="000000"/>
        </w:rPr>
        <w:t xml:space="preserve"> and</w:t>
      </w:r>
      <w:r w:rsidR="008240C2">
        <w:rPr>
          <w:rFonts w:ascii="Tahoma" w:hAnsi="Tahoma" w:cs="Tahoma"/>
          <w:color w:val="000000"/>
        </w:rPr>
        <w:t xml:space="preserve"> reviewing the article</w:t>
      </w:r>
    </w:p>
    <w:p w14:paraId="58E3D178" w14:textId="06303908" w:rsidR="00C8202C" w:rsidRPr="00BA1B9D" w:rsidRDefault="00C8202C" w:rsidP="00C8202C">
      <w:pPr>
        <w:rPr>
          <w:rFonts w:ascii="Tahoma" w:hAnsi="Tahoma" w:cs="Tahoma"/>
          <w:color w:val="000000"/>
        </w:rPr>
      </w:pPr>
      <w:r w:rsidRPr="00BA1B9D">
        <w:rPr>
          <w:rFonts w:ascii="Tahoma" w:hAnsi="Tahoma" w:cs="Tahoma"/>
          <w:color w:val="000000"/>
        </w:rPr>
        <w:t>Abdelrahman Khaled Kassem</w:t>
      </w:r>
      <w:r>
        <w:rPr>
          <w:rFonts w:ascii="Tahoma" w:hAnsi="Tahoma" w:cs="Tahoma"/>
          <w:color w:val="000000"/>
        </w:rPr>
        <w:t>:</w:t>
      </w:r>
      <w:r w:rsidR="00012136">
        <w:rPr>
          <w:rFonts w:ascii="Tahoma" w:hAnsi="Tahoma" w:cs="Tahoma"/>
          <w:color w:val="000000"/>
        </w:rPr>
        <w:t xml:space="preserve"> </w:t>
      </w:r>
      <w:r w:rsidR="008669B2">
        <w:rPr>
          <w:rFonts w:ascii="Tahoma" w:hAnsi="Tahoma" w:cs="Tahoma"/>
          <w:color w:val="000000"/>
        </w:rPr>
        <w:t>Statistical analysis</w:t>
      </w:r>
      <w:r w:rsidR="00487F04">
        <w:rPr>
          <w:rFonts w:ascii="Tahoma" w:hAnsi="Tahoma" w:cs="Tahoma"/>
          <w:color w:val="000000"/>
        </w:rPr>
        <w:t>,</w:t>
      </w:r>
      <w:r w:rsidR="008669B2">
        <w:rPr>
          <w:rFonts w:ascii="Tahoma" w:hAnsi="Tahoma" w:cs="Tahoma"/>
          <w:color w:val="000000"/>
        </w:rPr>
        <w:t xml:space="preserve"> </w:t>
      </w:r>
      <w:r w:rsidR="008240C2">
        <w:rPr>
          <w:rFonts w:ascii="Tahoma" w:hAnsi="Tahoma" w:cs="Tahoma"/>
          <w:color w:val="000000"/>
        </w:rPr>
        <w:t>editing</w:t>
      </w:r>
      <w:r w:rsidR="00BE0624">
        <w:rPr>
          <w:rFonts w:ascii="Tahoma" w:hAnsi="Tahoma" w:cs="Tahoma"/>
          <w:color w:val="000000"/>
        </w:rPr>
        <w:t xml:space="preserve"> and </w:t>
      </w:r>
      <w:r w:rsidR="008240C2">
        <w:rPr>
          <w:rFonts w:ascii="Tahoma" w:hAnsi="Tahoma" w:cs="Tahoma"/>
          <w:color w:val="000000"/>
        </w:rPr>
        <w:t>reviewing the article</w:t>
      </w:r>
    </w:p>
    <w:p w14:paraId="36E7D40B" w14:textId="4FD74690" w:rsidR="00C8202C" w:rsidRPr="00BA1B9D" w:rsidRDefault="00C8202C" w:rsidP="00C8202C">
      <w:pPr>
        <w:rPr>
          <w:rFonts w:ascii="Tahoma" w:hAnsi="Tahoma" w:cs="Tahoma"/>
          <w:color w:val="000000"/>
        </w:rPr>
      </w:pPr>
      <w:r w:rsidRPr="00BA1B9D">
        <w:rPr>
          <w:rFonts w:ascii="Tahoma" w:hAnsi="Tahoma" w:cs="Tahoma"/>
          <w:color w:val="000000"/>
        </w:rPr>
        <w:t>Yara Mohamed Aboshady</w:t>
      </w:r>
      <w:r>
        <w:rPr>
          <w:rFonts w:ascii="Tahoma" w:hAnsi="Tahoma" w:cs="Tahoma"/>
          <w:color w:val="000000"/>
        </w:rPr>
        <w:t>:</w:t>
      </w:r>
      <w:r w:rsidR="00012136">
        <w:rPr>
          <w:rFonts w:ascii="Tahoma" w:hAnsi="Tahoma" w:cs="Tahoma"/>
          <w:color w:val="000000"/>
        </w:rPr>
        <w:t xml:space="preserve"> Data acquisition</w:t>
      </w:r>
      <w:r w:rsidR="00B33C92">
        <w:rPr>
          <w:rFonts w:ascii="Tahoma" w:hAnsi="Tahoma" w:cs="Tahoma"/>
          <w:color w:val="000000"/>
        </w:rPr>
        <w:t xml:space="preserve"> and interpretation</w:t>
      </w:r>
      <w:r w:rsidR="00487F04">
        <w:rPr>
          <w:rFonts w:ascii="Tahoma" w:hAnsi="Tahoma" w:cs="Tahoma"/>
          <w:color w:val="000000"/>
        </w:rPr>
        <w:t xml:space="preserve">, </w:t>
      </w:r>
      <w:r w:rsidR="008240C2">
        <w:rPr>
          <w:rFonts w:ascii="Tahoma" w:hAnsi="Tahoma" w:cs="Tahoma"/>
          <w:color w:val="000000"/>
        </w:rPr>
        <w:t>editing</w:t>
      </w:r>
      <w:r w:rsidR="00BE0624">
        <w:rPr>
          <w:rFonts w:ascii="Tahoma" w:hAnsi="Tahoma" w:cs="Tahoma"/>
          <w:color w:val="000000"/>
        </w:rPr>
        <w:t xml:space="preserve"> and</w:t>
      </w:r>
      <w:r w:rsidR="008240C2">
        <w:rPr>
          <w:rFonts w:ascii="Tahoma" w:hAnsi="Tahoma" w:cs="Tahoma"/>
          <w:color w:val="000000"/>
        </w:rPr>
        <w:t xml:space="preserve"> reviewing the article</w:t>
      </w:r>
    </w:p>
    <w:p w14:paraId="76BE6F9A" w14:textId="79E5B450" w:rsidR="00C8202C" w:rsidRPr="00BA1B9D" w:rsidRDefault="00C8202C" w:rsidP="00C8202C">
      <w:pPr>
        <w:rPr>
          <w:rFonts w:ascii="Tahoma" w:hAnsi="Tahoma" w:cs="Tahoma"/>
          <w:color w:val="000000"/>
        </w:rPr>
      </w:pPr>
      <w:r w:rsidRPr="00BA1B9D">
        <w:rPr>
          <w:rFonts w:ascii="Tahoma" w:hAnsi="Tahoma" w:cs="Tahoma"/>
          <w:color w:val="000000"/>
        </w:rPr>
        <w:t>Habiba Emad Hussen</w:t>
      </w:r>
      <w:r>
        <w:rPr>
          <w:rFonts w:ascii="Tahoma" w:hAnsi="Tahoma" w:cs="Tahoma"/>
          <w:color w:val="000000"/>
        </w:rPr>
        <w:t>:</w:t>
      </w:r>
      <w:r w:rsidR="00012136">
        <w:rPr>
          <w:rFonts w:ascii="Tahoma" w:hAnsi="Tahoma" w:cs="Tahoma"/>
          <w:color w:val="000000"/>
        </w:rPr>
        <w:t xml:space="preserve"> Data acquisition</w:t>
      </w:r>
      <w:r w:rsidR="00B33C92">
        <w:rPr>
          <w:rFonts w:ascii="Tahoma" w:hAnsi="Tahoma" w:cs="Tahoma"/>
          <w:color w:val="000000"/>
        </w:rPr>
        <w:t xml:space="preserve"> and interpretation</w:t>
      </w:r>
      <w:r w:rsidR="00487F04">
        <w:rPr>
          <w:rFonts w:ascii="Tahoma" w:hAnsi="Tahoma" w:cs="Tahoma"/>
          <w:color w:val="000000"/>
        </w:rPr>
        <w:t xml:space="preserve">, </w:t>
      </w:r>
      <w:r w:rsidR="008240C2">
        <w:rPr>
          <w:rFonts w:ascii="Tahoma" w:hAnsi="Tahoma" w:cs="Tahoma"/>
          <w:color w:val="000000"/>
        </w:rPr>
        <w:t>editing</w:t>
      </w:r>
      <w:r w:rsidR="00BE0624">
        <w:rPr>
          <w:rFonts w:ascii="Tahoma" w:hAnsi="Tahoma" w:cs="Tahoma"/>
          <w:color w:val="000000"/>
        </w:rPr>
        <w:t xml:space="preserve"> and</w:t>
      </w:r>
      <w:r w:rsidR="008240C2">
        <w:rPr>
          <w:rFonts w:ascii="Tahoma" w:hAnsi="Tahoma" w:cs="Tahoma"/>
          <w:color w:val="000000"/>
        </w:rPr>
        <w:t xml:space="preserve"> reviewing the article</w:t>
      </w:r>
    </w:p>
    <w:p w14:paraId="02CC5D56" w14:textId="0B973507" w:rsidR="00C8202C" w:rsidRPr="00BA1B9D" w:rsidRDefault="00C8202C" w:rsidP="00C8202C">
      <w:pPr>
        <w:rPr>
          <w:rFonts w:ascii="Tahoma" w:hAnsi="Tahoma" w:cs="Tahoma"/>
          <w:color w:val="000000"/>
        </w:rPr>
      </w:pPr>
      <w:r w:rsidRPr="00BA1B9D">
        <w:rPr>
          <w:rFonts w:ascii="Tahoma" w:hAnsi="Tahoma" w:cs="Tahoma"/>
          <w:color w:val="000000"/>
        </w:rPr>
        <w:t>Yasmine Tarek Mahmoud</w:t>
      </w:r>
      <w:r>
        <w:rPr>
          <w:rFonts w:ascii="Tahoma" w:hAnsi="Tahoma" w:cs="Tahoma"/>
          <w:color w:val="000000"/>
        </w:rPr>
        <w:t>:</w:t>
      </w:r>
      <w:r w:rsidR="00012136">
        <w:rPr>
          <w:rFonts w:ascii="Tahoma" w:hAnsi="Tahoma" w:cs="Tahoma"/>
          <w:color w:val="000000"/>
        </w:rPr>
        <w:t xml:space="preserve"> Data acquisition</w:t>
      </w:r>
      <w:r w:rsidR="00B33C92">
        <w:rPr>
          <w:rFonts w:ascii="Tahoma" w:hAnsi="Tahoma" w:cs="Tahoma"/>
          <w:color w:val="000000"/>
        </w:rPr>
        <w:t xml:space="preserve"> and interpretation</w:t>
      </w:r>
      <w:r w:rsidR="008240C2">
        <w:rPr>
          <w:rFonts w:ascii="Tahoma" w:hAnsi="Tahoma" w:cs="Tahoma"/>
          <w:color w:val="000000"/>
        </w:rPr>
        <w:t>,</w:t>
      </w:r>
      <w:r w:rsidR="00012136">
        <w:rPr>
          <w:rFonts w:ascii="Tahoma" w:hAnsi="Tahoma" w:cs="Tahoma"/>
          <w:color w:val="000000"/>
        </w:rPr>
        <w:t xml:space="preserve"> </w:t>
      </w:r>
      <w:r w:rsidR="008240C2">
        <w:rPr>
          <w:rFonts w:ascii="Tahoma" w:hAnsi="Tahoma" w:cs="Tahoma"/>
          <w:color w:val="000000"/>
        </w:rPr>
        <w:t>editing</w:t>
      </w:r>
      <w:r w:rsidR="00BE0624">
        <w:rPr>
          <w:rFonts w:ascii="Tahoma" w:hAnsi="Tahoma" w:cs="Tahoma"/>
          <w:color w:val="000000"/>
        </w:rPr>
        <w:t xml:space="preserve"> and</w:t>
      </w:r>
      <w:r w:rsidR="008240C2">
        <w:rPr>
          <w:rFonts w:ascii="Tahoma" w:hAnsi="Tahoma" w:cs="Tahoma"/>
          <w:color w:val="000000"/>
        </w:rPr>
        <w:t xml:space="preserve"> reviewing the article</w:t>
      </w:r>
    </w:p>
    <w:p w14:paraId="77A81D44" w14:textId="019FE83B" w:rsidR="00C35899" w:rsidRPr="006A1531" w:rsidRDefault="00AD2DAC" w:rsidP="00AD2DAC">
      <w:pPr>
        <w:rPr>
          <w:rFonts w:ascii="Tahoma" w:hAnsi="Tahoma" w:cs="Tahoma"/>
          <w:i/>
          <w:iCs/>
          <w:color w:val="000000"/>
        </w:rPr>
      </w:pPr>
      <w:r w:rsidRPr="006A1531">
        <w:rPr>
          <w:rFonts w:ascii="Tahoma" w:hAnsi="Tahoma" w:cs="Tahoma"/>
          <w:i/>
          <w:iCs/>
          <w:color w:val="000000"/>
        </w:rPr>
        <w:t>All the authors read and approved the final version of this manuscript.</w:t>
      </w:r>
    </w:p>
    <w:p w14:paraId="66293A27" w14:textId="77777777" w:rsidR="00AD2DAC" w:rsidRDefault="00AD2DAC">
      <w:pPr>
        <w:rPr>
          <w:rFonts w:ascii="Tahoma" w:hAnsi="Tahoma" w:cs="Tahoma"/>
          <w:b/>
          <w:sz w:val="32"/>
          <w:szCs w:val="32"/>
        </w:rPr>
      </w:pPr>
    </w:p>
    <w:p w14:paraId="0777BA35" w14:textId="5F62A38D" w:rsidR="000D1A7E" w:rsidRPr="00C35899" w:rsidRDefault="00C35899">
      <w:pPr>
        <w:rPr>
          <w:rFonts w:ascii="Tahoma" w:hAnsi="Tahoma" w:cs="Tahoma"/>
          <w:b/>
          <w:sz w:val="32"/>
          <w:szCs w:val="32"/>
        </w:rPr>
      </w:pPr>
      <w:r w:rsidRPr="00C35899">
        <w:rPr>
          <w:rFonts w:ascii="Tahoma" w:hAnsi="Tahoma" w:cs="Tahoma"/>
          <w:b/>
          <w:sz w:val="32"/>
          <w:szCs w:val="32"/>
        </w:rPr>
        <w:t>Acknowledgements</w:t>
      </w:r>
    </w:p>
    <w:p w14:paraId="0C4A5378" w14:textId="1694FBD6" w:rsidR="000D1A7E" w:rsidRDefault="00F45C0B">
      <w:pPr>
        <w:rPr>
          <w:rFonts w:ascii="Tahoma" w:hAnsi="Tahoma" w:cs="Tahoma"/>
          <w:sz w:val="24"/>
          <w:szCs w:val="24"/>
        </w:rPr>
      </w:pPr>
      <w:r>
        <w:rPr>
          <w:rFonts w:ascii="Tahoma" w:hAnsi="Tahoma" w:cs="Tahoma"/>
          <w:sz w:val="24"/>
          <w:szCs w:val="24"/>
        </w:rPr>
        <w:t xml:space="preserve">None </w:t>
      </w:r>
    </w:p>
    <w:p w14:paraId="66FDF575" w14:textId="77777777" w:rsidR="00A628AD" w:rsidRDefault="00A628AD">
      <w:pPr>
        <w:rPr>
          <w:rFonts w:ascii="Tahoma" w:hAnsi="Tahoma" w:cs="Tahoma"/>
          <w:b/>
          <w:sz w:val="32"/>
          <w:szCs w:val="32"/>
        </w:rPr>
        <w:sectPr w:rsidR="00A628AD" w:rsidSect="00DB5CCF">
          <w:pgSz w:w="12240" w:h="15840"/>
          <w:pgMar w:top="1440" w:right="1440" w:bottom="1440" w:left="1440" w:header="720" w:footer="720" w:gutter="0"/>
          <w:cols w:space="720"/>
          <w:docGrid w:linePitch="360"/>
        </w:sectPr>
      </w:pPr>
    </w:p>
    <w:p w14:paraId="1A70C7D6" w14:textId="29E3DAFC" w:rsidR="00D0343C" w:rsidRPr="00C35899" w:rsidRDefault="00C35899">
      <w:pPr>
        <w:rPr>
          <w:rFonts w:ascii="Tahoma" w:hAnsi="Tahoma" w:cs="Tahoma"/>
          <w:b/>
          <w:sz w:val="32"/>
          <w:szCs w:val="32"/>
        </w:rPr>
      </w:pPr>
      <w:r w:rsidRPr="00C35899">
        <w:rPr>
          <w:rFonts w:ascii="Tahoma" w:hAnsi="Tahoma" w:cs="Tahoma"/>
          <w:b/>
          <w:sz w:val="32"/>
          <w:szCs w:val="32"/>
        </w:rPr>
        <w:lastRenderedPageBreak/>
        <w:t xml:space="preserve">Tables and </w:t>
      </w:r>
      <w:r w:rsidR="00F83304" w:rsidRPr="00C35899">
        <w:rPr>
          <w:rFonts w:ascii="Tahoma" w:hAnsi="Tahoma" w:cs="Tahoma"/>
          <w:b/>
          <w:sz w:val="32"/>
          <w:szCs w:val="32"/>
        </w:rPr>
        <w:t>figures</w:t>
      </w:r>
    </w:p>
    <w:p w14:paraId="57D1F380" w14:textId="52150960" w:rsidR="000D1A7E" w:rsidRDefault="00C76646" w:rsidP="00C76646">
      <w:pPr>
        <w:rPr>
          <w:rFonts w:ascii="Tahoma" w:hAnsi="Tahoma" w:cs="Tahoma"/>
        </w:rPr>
      </w:pPr>
      <w:r w:rsidRPr="006F03FE">
        <w:rPr>
          <w:rFonts w:ascii="Tahoma" w:hAnsi="Tahoma" w:cs="Tahoma"/>
          <w:b/>
          <w:bCs/>
        </w:rPr>
        <w:t xml:space="preserve">Table </w:t>
      </w:r>
      <w:r>
        <w:rPr>
          <w:rFonts w:ascii="Tahoma" w:hAnsi="Tahoma" w:cs="Tahoma"/>
          <w:b/>
          <w:bCs/>
        </w:rPr>
        <w:t>1</w:t>
      </w:r>
      <w:r w:rsidRPr="006F03FE">
        <w:rPr>
          <w:rFonts w:ascii="Tahoma" w:hAnsi="Tahoma" w:cs="Tahoma"/>
          <w:b/>
          <w:bCs/>
        </w:rPr>
        <w:t>:</w:t>
      </w:r>
      <w:r w:rsidRPr="00E31392">
        <w:rPr>
          <w:rFonts w:ascii="Tahoma" w:hAnsi="Tahoma" w:cs="Tahoma"/>
        </w:rPr>
        <w:t xml:space="preserve"> Audit Criteria Outcomes</w:t>
      </w:r>
      <w:r>
        <w:rPr>
          <w:rFonts w:ascii="Tahoma" w:hAnsi="Tahoma" w:cs="Tahoma"/>
        </w:rPr>
        <w:t>;</w:t>
      </w:r>
      <w:r w:rsidRPr="00E31392">
        <w:rPr>
          <w:rFonts w:ascii="Tahoma" w:hAnsi="Tahoma" w:cs="Tahoma"/>
        </w:rPr>
        <w:t xml:space="preserve"> Cycle 1 </w:t>
      </w:r>
      <w:r>
        <w:rPr>
          <w:rFonts w:ascii="Tahoma" w:hAnsi="Tahoma" w:cs="Tahoma"/>
        </w:rPr>
        <w:t>V</w:t>
      </w:r>
      <w:r w:rsidRPr="00E31392">
        <w:rPr>
          <w:rFonts w:ascii="Tahoma" w:hAnsi="Tahoma" w:cs="Tahoma"/>
        </w:rPr>
        <w:t>s Cycle 2</w:t>
      </w:r>
    </w:p>
    <w:p w14:paraId="38C644DD" w14:textId="5D36F52A" w:rsidR="001C19B9" w:rsidRDefault="001C19B9" w:rsidP="00C76646">
      <w:pPr>
        <w:rPr>
          <w:rFonts w:ascii="Tahoma" w:eastAsia="Arial" w:hAnsi="Tahoma" w:cs="Tahoma"/>
          <w:color w:val="000000"/>
        </w:rPr>
      </w:pPr>
      <w:r>
        <w:rPr>
          <w:rFonts w:ascii="Tahoma" w:hAnsi="Tahoma" w:cs="Tahoma"/>
        </w:rPr>
        <w:t>Legend:</w:t>
      </w:r>
      <w:r w:rsidR="00E33747">
        <w:rPr>
          <w:rFonts w:ascii="Tahoma" w:hAnsi="Tahoma" w:cs="Tahoma"/>
        </w:rPr>
        <w:t xml:space="preserve"> </w:t>
      </w:r>
      <w:r w:rsidR="00E33747" w:rsidRPr="00E31392">
        <w:rPr>
          <w:rFonts w:ascii="Tahoma" w:eastAsia="Arial" w:hAnsi="Tahoma" w:cs="Tahoma"/>
          <w:color w:val="000000"/>
          <w:vertAlign w:val="superscript"/>
        </w:rPr>
        <w:t>1</w:t>
      </w:r>
      <w:r w:rsidR="00E33747" w:rsidRPr="00E31392">
        <w:rPr>
          <w:rFonts w:ascii="Tahoma" w:eastAsia="Arial" w:hAnsi="Tahoma" w:cs="Tahoma"/>
          <w:color w:val="000000"/>
        </w:rPr>
        <w:t>n (%)</w:t>
      </w:r>
    </w:p>
    <w:p w14:paraId="7095D983" w14:textId="20E1C50D" w:rsidR="00E33747" w:rsidRDefault="00E33747" w:rsidP="00C76646">
      <w:pPr>
        <w:rPr>
          <w:rFonts w:ascii="Tahoma" w:hAnsi="Tahoma" w:cs="Tahoma"/>
        </w:rPr>
      </w:pPr>
      <w:r w:rsidRPr="00E31392">
        <w:rPr>
          <w:rFonts w:ascii="Tahoma" w:eastAsia="Arial" w:hAnsi="Tahoma" w:cs="Tahoma"/>
          <w:color w:val="000000"/>
          <w:vertAlign w:val="superscript"/>
        </w:rPr>
        <w:t>2</w:t>
      </w:r>
      <w:r w:rsidRPr="00E31392">
        <w:rPr>
          <w:rFonts w:ascii="Tahoma" w:eastAsia="Arial" w:hAnsi="Tahoma" w:cs="Tahoma"/>
          <w:color w:val="000000"/>
        </w:rPr>
        <w:t>Fisher's exact test used for variables where proportion reached 0% or 100% in either cycle; Pearson chi-squared test used for DVT incidence. No statistical test applied to criteria at 100% in both cycles as there is no variation to test</w:t>
      </w:r>
    </w:p>
    <w:p w14:paraId="3C2E2796" w14:textId="77777777" w:rsidR="001C19B9" w:rsidRPr="00F273C3" w:rsidRDefault="001C19B9" w:rsidP="00C76646">
      <w:pPr>
        <w:rPr>
          <w:rFonts w:ascii="Tahoma" w:hAnsi="Tahoma" w:cs="Tahoma"/>
          <w:sz w:val="24"/>
          <w:szCs w:val="24"/>
        </w:rPr>
      </w:pPr>
    </w:p>
    <w:p w14:paraId="7C6C75CD" w14:textId="4A897C60" w:rsidR="00C76646" w:rsidRDefault="00C76646" w:rsidP="004712FD">
      <w:pPr>
        <w:rPr>
          <w:rFonts w:ascii="Tahoma" w:hAnsi="Tahoma" w:cs="Tahoma"/>
        </w:rPr>
      </w:pPr>
      <w:r w:rsidRPr="00772B16">
        <w:rPr>
          <w:rFonts w:ascii="Tahoma" w:hAnsi="Tahoma" w:cs="Tahoma"/>
          <w:b/>
          <w:bCs/>
        </w:rPr>
        <w:t xml:space="preserve">Table </w:t>
      </w:r>
      <w:r>
        <w:rPr>
          <w:rFonts w:ascii="Tahoma" w:hAnsi="Tahoma" w:cs="Tahoma"/>
          <w:b/>
          <w:bCs/>
        </w:rPr>
        <w:t>2</w:t>
      </w:r>
      <w:r w:rsidRPr="00772B16">
        <w:rPr>
          <w:rFonts w:ascii="Tahoma" w:hAnsi="Tahoma" w:cs="Tahoma"/>
          <w:b/>
          <w:bCs/>
        </w:rPr>
        <w:t>:</w:t>
      </w:r>
      <w:r w:rsidRPr="00772B16">
        <w:rPr>
          <w:rFonts w:ascii="Tahoma" w:hAnsi="Tahoma" w:cs="Tahoma"/>
        </w:rPr>
        <w:t xml:space="preserve"> Patient Demographics and Comorbidity Profile</w:t>
      </w:r>
      <w:r>
        <w:rPr>
          <w:rFonts w:ascii="Tahoma" w:hAnsi="Tahoma" w:cs="Tahoma"/>
        </w:rPr>
        <w:t>; Cycle 1 Vs Cycle 2</w:t>
      </w:r>
    </w:p>
    <w:p w14:paraId="63176993" w14:textId="2C2F57E2" w:rsidR="001C19B9" w:rsidRDefault="001C19B9" w:rsidP="00E33747">
      <w:pPr>
        <w:rPr>
          <w:rFonts w:ascii="Tahoma" w:hAnsi="Tahoma" w:cs="Tahoma"/>
        </w:rPr>
      </w:pPr>
      <w:r>
        <w:rPr>
          <w:rFonts w:ascii="Tahoma" w:hAnsi="Tahoma" w:cs="Tahoma"/>
        </w:rPr>
        <w:t xml:space="preserve">Legend: </w:t>
      </w:r>
      <w:r w:rsidR="00E33747" w:rsidRPr="00E33747">
        <w:rPr>
          <w:rFonts w:ascii="Tahoma" w:hAnsi="Tahoma" w:cs="Tahoma"/>
          <w:vertAlign w:val="superscript"/>
        </w:rPr>
        <w:t>1</w:t>
      </w:r>
      <w:r w:rsidR="00E33747" w:rsidRPr="00E33747">
        <w:rPr>
          <w:rFonts w:ascii="Tahoma" w:hAnsi="Tahoma" w:cs="Tahoma"/>
        </w:rPr>
        <w:t>Mean (SD); n (%)</w:t>
      </w:r>
    </w:p>
    <w:p w14:paraId="754F8526" w14:textId="06B3E989" w:rsidR="00E33747" w:rsidRDefault="00E33747" w:rsidP="004712FD">
      <w:pPr>
        <w:rPr>
          <w:rFonts w:ascii="Tahoma" w:hAnsi="Tahoma" w:cs="Tahoma"/>
        </w:rPr>
      </w:pPr>
      <w:r w:rsidRPr="00772B16">
        <w:rPr>
          <w:rFonts w:ascii="Tahoma" w:eastAsia="Arial" w:hAnsi="Tahoma" w:cs="Tahoma"/>
          <w:color w:val="000000"/>
          <w:vertAlign w:val="superscript"/>
        </w:rPr>
        <w:t>2</w:t>
      </w:r>
      <w:r w:rsidRPr="00772B16">
        <w:rPr>
          <w:rFonts w:ascii="Tahoma" w:eastAsia="Arial" w:hAnsi="Tahoma" w:cs="Tahoma"/>
          <w:color w:val="000000"/>
        </w:rPr>
        <w:t>Welch two-sample t-test used for age; Pearson chi-squared test used for categorical variables; Fisher's exact test used for variables with expected cell count &lt;5 (chronic kidney disease, chronic pulmonary disease, peripheral vascular disease, prior DVT history, coagulation disorder, and malignancy)</w:t>
      </w:r>
    </w:p>
    <w:p w14:paraId="0E5A901E" w14:textId="77777777" w:rsidR="00E33747" w:rsidRDefault="00E33747" w:rsidP="004712FD">
      <w:pPr>
        <w:rPr>
          <w:rFonts w:ascii="Tahoma" w:hAnsi="Tahoma" w:cs="Tahoma"/>
        </w:rPr>
      </w:pPr>
    </w:p>
    <w:p w14:paraId="0E489907" w14:textId="1223491C" w:rsidR="00E33747" w:rsidRDefault="00E33747" w:rsidP="004712FD">
      <w:pPr>
        <w:rPr>
          <w:rFonts w:ascii="Tahoma" w:hAnsi="Tahoma" w:cs="Tahoma"/>
        </w:rPr>
      </w:pPr>
      <w:r w:rsidRPr="00D71F80">
        <w:rPr>
          <w:rFonts w:ascii="Tahoma" w:hAnsi="Tahoma" w:cs="Tahoma"/>
          <w:b/>
          <w:bCs/>
        </w:rPr>
        <w:t>Table 3</w:t>
      </w:r>
      <w:r w:rsidRPr="00D71F80">
        <w:rPr>
          <w:rFonts w:ascii="Tahoma" w:hAnsi="Tahoma" w:cs="Tahoma"/>
        </w:rPr>
        <w:t>: Distribution of fracture sites across Cycle 1 and Cycle 2</w:t>
      </w:r>
    </w:p>
    <w:p w14:paraId="223DA83E" w14:textId="43548768" w:rsidR="001C19B9" w:rsidRDefault="00E33747" w:rsidP="00E33747">
      <w:pPr>
        <w:rPr>
          <w:rFonts w:ascii="Arial" w:eastAsia="Arial" w:hAnsi="Arial" w:cs="Arial"/>
          <w:color w:val="000000"/>
        </w:rPr>
      </w:pPr>
      <w:r>
        <w:rPr>
          <w:rFonts w:ascii="Tahoma" w:hAnsi="Tahoma" w:cs="Tahoma"/>
        </w:rPr>
        <w:t xml:space="preserve">Legend: </w:t>
      </w:r>
      <w:r>
        <w:rPr>
          <w:rFonts w:ascii="Arial" w:eastAsia="Arial" w:hAnsi="Arial" w:cs="Arial"/>
          <w:color w:val="000000"/>
        </w:rPr>
        <w:t>*Fisher's exact test testing whether the distribution of fracture sites differed significantly between cycles. p = 0.192</w:t>
      </w:r>
    </w:p>
    <w:p w14:paraId="5AB77400" w14:textId="77777777" w:rsidR="00E33747" w:rsidRPr="004712FD" w:rsidRDefault="00E33747" w:rsidP="00E33747">
      <w:pPr>
        <w:rPr>
          <w:rFonts w:ascii="Tahoma" w:hAnsi="Tahoma" w:cs="Tahoma"/>
        </w:rPr>
      </w:pPr>
    </w:p>
    <w:p w14:paraId="5A4DCAC9" w14:textId="0C396636" w:rsidR="00306199" w:rsidRDefault="00306199" w:rsidP="00DC21CE">
      <w:pPr>
        <w:rPr>
          <w:rFonts w:ascii="Tahoma" w:hAnsi="Tahoma" w:cs="Tahoma"/>
          <w:sz w:val="24"/>
          <w:szCs w:val="24"/>
        </w:rPr>
      </w:pPr>
      <w:r w:rsidRPr="00840FBB">
        <w:rPr>
          <w:rFonts w:ascii="Tahoma" w:hAnsi="Tahoma" w:cs="Tahoma"/>
          <w:b/>
          <w:bCs/>
          <w:sz w:val="24"/>
          <w:szCs w:val="24"/>
        </w:rPr>
        <w:t xml:space="preserve">Figure </w:t>
      </w:r>
      <w:r w:rsidR="004712FD">
        <w:rPr>
          <w:rFonts w:ascii="Tahoma" w:hAnsi="Tahoma" w:cs="Tahoma"/>
          <w:b/>
          <w:bCs/>
          <w:sz w:val="24"/>
          <w:szCs w:val="24"/>
        </w:rPr>
        <w:t>1</w:t>
      </w:r>
      <w:r>
        <w:rPr>
          <w:rFonts w:ascii="Tahoma" w:hAnsi="Tahoma" w:cs="Tahoma"/>
          <w:sz w:val="24"/>
          <w:szCs w:val="24"/>
        </w:rPr>
        <w:t xml:space="preserve">: </w:t>
      </w:r>
      <w:r w:rsidRPr="00306199">
        <w:rPr>
          <w:rFonts w:ascii="Tahoma" w:hAnsi="Tahoma" w:cs="Tahoma"/>
          <w:sz w:val="24"/>
          <w:szCs w:val="24"/>
        </w:rPr>
        <w:t>Pre-operative DVT incidence in Cycle 1 versus Cycle 2, with 95% confidence intervals.</w:t>
      </w:r>
    </w:p>
    <w:p w14:paraId="76A4AEDB" w14:textId="17B985F3" w:rsidR="00A628AD" w:rsidRPr="001C19B9" w:rsidRDefault="001C19B9" w:rsidP="00202809">
      <w:pPr>
        <w:rPr>
          <w:rFonts w:ascii="Tahoma" w:hAnsi="Tahoma" w:cs="Tahoma"/>
          <w:bCs/>
          <w:lang w:val="fr-FR"/>
        </w:rPr>
      </w:pPr>
      <w:r w:rsidRPr="001C19B9">
        <w:rPr>
          <w:rFonts w:ascii="Tahoma" w:hAnsi="Tahoma" w:cs="Tahoma"/>
          <w:bCs/>
          <w:lang w:val="fr-FR"/>
        </w:rPr>
        <w:t>Legend:</w:t>
      </w:r>
      <w:r w:rsidR="00202809">
        <w:rPr>
          <w:rFonts w:ascii="Tahoma" w:hAnsi="Tahoma" w:cs="Tahoma"/>
          <w:bCs/>
          <w:lang w:val="fr-FR"/>
        </w:rPr>
        <w:t xml:space="preserve"> </w:t>
      </w:r>
      <w:r w:rsidR="00202809" w:rsidRPr="00202809">
        <w:rPr>
          <w:rFonts w:ascii="Tahoma" w:hAnsi="Tahoma" w:cs="Tahoma"/>
          <w:bCs/>
        </w:rPr>
        <w:t>Error bars represent Wald 95% confidence intervals. The reduction in DVT incidence between cycles was statistically significant (two-proportion z-test: p=0.003)</w:t>
      </w:r>
    </w:p>
    <w:p w14:paraId="55BA1409" w14:textId="77777777" w:rsidR="001C19B9" w:rsidRDefault="001C19B9" w:rsidP="00DC21CE">
      <w:pPr>
        <w:rPr>
          <w:rFonts w:ascii="Tahoma" w:hAnsi="Tahoma" w:cs="Tahoma"/>
          <w:b/>
          <w:sz w:val="32"/>
          <w:szCs w:val="32"/>
          <w:lang w:val="fr-FR"/>
        </w:rPr>
      </w:pPr>
    </w:p>
    <w:p w14:paraId="37BE7481" w14:textId="77777777" w:rsidR="001C19B9" w:rsidRDefault="001C19B9" w:rsidP="00DC21CE">
      <w:pPr>
        <w:rPr>
          <w:rFonts w:ascii="Tahoma" w:hAnsi="Tahoma" w:cs="Tahoma"/>
          <w:b/>
          <w:sz w:val="32"/>
          <w:szCs w:val="32"/>
          <w:lang w:val="fr-FR"/>
        </w:rPr>
        <w:sectPr w:rsidR="001C19B9" w:rsidSect="00DB5CCF">
          <w:pgSz w:w="12240" w:h="15840"/>
          <w:pgMar w:top="1440" w:right="1440" w:bottom="1440" w:left="1440" w:header="720" w:footer="720" w:gutter="0"/>
          <w:cols w:space="720"/>
          <w:docGrid w:linePitch="360"/>
        </w:sectPr>
      </w:pPr>
    </w:p>
    <w:p w14:paraId="11564B11" w14:textId="77777777" w:rsidR="00DB5CCF" w:rsidRPr="006728C2" w:rsidRDefault="00EC50AD">
      <w:pPr>
        <w:rPr>
          <w:rFonts w:ascii="Tahoma" w:hAnsi="Tahoma" w:cs="Tahoma"/>
          <w:b/>
          <w:sz w:val="32"/>
          <w:szCs w:val="32"/>
        </w:rPr>
      </w:pPr>
      <w:r w:rsidRPr="006728C2">
        <w:rPr>
          <w:rFonts w:ascii="Tahoma" w:hAnsi="Tahoma" w:cs="Tahoma"/>
          <w:b/>
          <w:sz w:val="32"/>
          <w:szCs w:val="32"/>
        </w:rPr>
        <w:lastRenderedPageBreak/>
        <w:t>References</w:t>
      </w:r>
    </w:p>
    <w:p w14:paraId="3BB9FFA4" w14:textId="77EC4B38" w:rsidR="00C224DD" w:rsidRPr="00F64EF5" w:rsidRDefault="00C224DD" w:rsidP="00C224DD">
      <w:pPr>
        <w:pStyle w:val="Bibliography"/>
        <w:rPr>
          <w:rFonts w:ascii="Tahoma" w:hAnsi="Tahoma" w:cs="Tahoma"/>
        </w:rPr>
      </w:pPr>
      <w:r w:rsidRPr="00F64EF5">
        <w:rPr>
          <w:rFonts w:ascii="Tahoma" w:hAnsi="Tahoma" w:cs="Tahoma"/>
        </w:rPr>
        <w:t>1.</w:t>
      </w:r>
      <w:r w:rsidRPr="00F64EF5">
        <w:rPr>
          <w:rFonts w:ascii="Tahoma" w:hAnsi="Tahoma" w:cs="Tahoma"/>
        </w:rPr>
        <w:tab/>
        <w:t>Pearce K, Gibb J, Shetty S. VTE in trauma and orthopaedics. Surg Oxf. 2024;42(6):397–402.</w:t>
      </w:r>
    </w:p>
    <w:p w14:paraId="6990FFA2" w14:textId="77777777" w:rsidR="00C224DD" w:rsidRPr="00F64EF5" w:rsidRDefault="00C224DD" w:rsidP="00C224DD">
      <w:pPr>
        <w:pStyle w:val="Bibliography"/>
        <w:rPr>
          <w:rFonts w:ascii="Tahoma" w:hAnsi="Tahoma" w:cs="Tahoma"/>
        </w:rPr>
      </w:pPr>
      <w:r w:rsidRPr="00F64EF5">
        <w:rPr>
          <w:rFonts w:ascii="Tahoma" w:hAnsi="Tahoma" w:cs="Tahoma"/>
        </w:rPr>
        <w:t>2.</w:t>
      </w:r>
      <w:r w:rsidRPr="00F64EF5">
        <w:rPr>
          <w:rFonts w:ascii="Tahoma" w:hAnsi="Tahoma" w:cs="Tahoma"/>
        </w:rPr>
        <w:tab/>
        <w:t>Wendelboe A, Weitz JI. Global Health Burden of Venous Thromboembolism. Arterioscler Thromb Vasc Biol. 2024;44(5):1007–1011.</w:t>
      </w:r>
    </w:p>
    <w:p w14:paraId="7AABC782" w14:textId="77777777" w:rsidR="00C224DD" w:rsidRPr="00F64EF5" w:rsidRDefault="00C224DD" w:rsidP="00C224DD">
      <w:pPr>
        <w:pStyle w:val="Bibliography"/>
        <w:rPr>
          <w:rFonts w:ascii="Tahoma" w:hAnsi="Tahoma" w:cs="Tahoma"/>
        </w:rPr>
      </w:pPr>
      <w:r w:rsidRPr="00F64EF5">
        <w:rPr>
          <w:rFonts w:ascii="Tahoma" w:hAnsi="Tahoma" w:cs="Tahoma"/>
        </w:rPr>
        <w:t>3.</w:t>
      </w:r>
      <w:r w:rsidRPr="00F64EF5">
        <w:rPr>
          <w:rFonts w:ascii="Tahoma" w:hAnsi="Tahoma" w:cs="Tahoma"/>
        </w:rPr>
        <w:tab/>
        <w:t>Whiting PS, White-Dzuro GA, Greenberg SE, VanHouten JP, Avilucea FR, Obremskey WT, et al. Risk Factors for Deep Venous Thrombosis Following Orthopaedic Trauma Surgery: An Analysis of 56,000 patients. Arch Trauma Res. 2016;5(1). doi:10.5812/atr.32915.</w:t>
      </w:r>
    </w:p>
    <w:p w14:paraId="2B11C861" w14:textId="77777777" w:rsidR="00C224DD" w:rsidRPr="00F64EF5" w:rsidRDefault="00C224DD" w:rsidP="00C224DD">
      <w:pPr>
        <w:pStyle w:val="Bibliography"/>
        <w:rPr>
          <w:rFonts w:ascii="Tahoma" w:hAnsi="Tahoma" w:cs="Tahoma"/>
        </w:rPr>
      </w:pPr>
      <w:r w:rsidRPr="00F64EF5">
        <w:rPr>
          <w:rFonts w:ascii="Tahoma" w:hAnsi="Tahoma" w:cs="Tahoma"/>
        </w:rPr>
        <w:t>4.</w:t>
      </w:r>
      <w:r w:rsidRPr="00F64EF5">
        <w:rPr>
          <w:rFonts w:ascii="Tahoma" w:hAnsi="Tahoma" w:cs="Tahoma"/>
        </w:rPr>
        <w:tab/>
      </w:r>
      <w:r w:rsidRPr="00F64EF5">
        <w:rPr>
          <w:rFonts w:ascii="Tahoma" w:hAnsi="Tahoma" w:cs="Tahoma"/>
          <w:i/>
          <w:iCs/>
        </w:rPr>
        <w:t>Venous thromboembolism in over 16s: Reducing the risk of hospital-acquired deep vein thrombosis or pulmonary embolism</w:t>
      </w:r>
      <w:r w:rsidRPr="00F64EF5">
        <w:rPr>
          <w:rFonts w:ascii="Tahoma" w:hAnsi="Tahoma" w:cs="Tahoma"/>
        </w:rPr>
        <w:t>. 2018. London, UK. National Institute for Health and Care Excellence https://www.nice.org.uk/guidance/ng89/chapter/Recommendations.</w:t>
      </w:r>
    </w:p>
    <w:p w14:paraId="6440F858" w14:textId="77777777" w:rsidR="00C224DD" w:rsidRPr="00F64EF5" w:rsidRDefault="00C224DD" w:rsidP="00C224DD">
      <w:pPr>
        <w:pStyle w:val="Bibliography"/>
        <w:rPr>
          <w:rFonts w:ascii="Tahoma" w:hAnsi="Tahoma" w:cs="Tahoma"/>
        </w:rPr>
      </w:pPr>
      <w:r w:rsidRPr="00F64EF5">
        <w:rPr>
          <w:rFonts w:ascii="Tahoma" w:hAnsi="Tahoma" w:cs="Tahoma"/>
        </w:rPr>
        <w:t>5.</w:t>
      </w:r>
      <w:r w:rsidRPr="00F64EF5">
        <w:rPr>
          <w:rFonts w:ascii="Tahoma" w:hAnsi="Tahoma" w:cs="Tahoma"/>
        </w:rPr>
        <w:tab/>
        <w:t>Anderson DR, Morgano GP, Bennett C, Dentali F, Francis CW, Garcia DA, et al. American Society of Hematology 2019 guidelines for management of venous thromboembolism: prevention of venous thromboembolism in surgical hospitalized  patients. Blood Adv. 2019;3(23):3898–3944.</w:t>
      </w:r>
    </w:p>
    <w:p w14:paraId="2B843045" w14:textId="77777777" w:rsidR="00C224DD" w:rsidRPr="00F64EF5" w:rsidRDefault="00C224DD" w:rsidP="00C224DD">
      <w:pPr>
        <w:pStyle w:val="Bibliography"/>
        <w:rPr>
          <w:rFonts w:ascii="Tahoma" w:hAnsi="Tahoma" w:cs="Tahoma"/>
        </w:rPr>
      </w:pPr>
      <w:r w:rsidRPr="00F64EF5">
        <w:rPr>
          <w:rFonts w:ascii="Tahoma" w:hAnsi="Tahoma" w:cs="Tahoma"/>
        </w:rPr>
        <w:t>6.</w:t>
      </w:r>
      <w:r w:rsidRPr="00F64EF5">
        <w:rPr>
          <w:rFonts w:ascii="Tahoma" w:hAnsi="Tahoma" w:cs="Tahoma"/>
        </w:rPr>
        <w:tab/>
        <w:t>Ley EJ, Brown CVR, Moore EE, Sava JA, Peck K, Ciesla DJ, et al. Updated guidelines to reduce venous thromboembolism in trauma patients: A Western Trauma Association critical decisions algorithm. J Trauma Acute Care Surg. 2020;89(5):971–981.</w:t>
      </w:r>
    </w:p>
    <w:p w14:paraId="093C9AEA" w14:textId="77777777" w:rsidR="00C224DD" w:rsidRPr="00F64EF5" w:rsidRDefault="00C224DD" w:rsidP="00C224DD">
      <w:pPr>
        <w:pStyle w:val="Bibliography"/>
        <w:rPr>
          <w:rFonts w:ascii="Tahoma" w:hAnsi="Tahoma" w:cs="Tahoma"/>
        </w:rPr>
      </w:pPr>
      <w:r w:rsidRPr="00F64EF5">
        <w:rPr>
          <w:rFonts w:ascii="Tahoma" w:hAnsi="Tahoma" w:cs="Tahoma"/>
        </w:rPr>
        <w:t>7.</w:t>
      </w:r>
      <w:r w:rsidRPr="00F64EF5">
        <w:rPr>
          <w:rFonts w:ascii="Tahoma" w:hAnsi="Tahoma" w:cs="Tahoma"/>
        </w:rPr>
        <w:tab/>
        <w:t>Falck-Ytter Y, Francis CW, Johanson NA, Curley C, Dahl OE, Schulman S, et al. Prevention of VTE in orthopedic surgery patients: Antithrombotic Therapy and Prevention of Thrombosis, 9th ed: American College of Chest Physicians  Evidence-Based Clinical Practice Guidelines. Chest. 2012;141(2 Suppl):e278S-e325S.</w:t>
      </w:r>
    </w:p>
    <w:p w14:paraId="750FC04C" w14:textId="77777777" w:rsidR="00C224DD" w:rsidRPr="00F64EF5" w:rsidRDefault="00C224DD" w:rsidP="00C224DD">
      <w:pPr>
        <w:pStyle w:val="Bibliography"/>
        <w:rPr>
          <w:rFonts w:ascii="Tahoma" w:hAnsi="Tahoma" w:cs="Tahoma"/>
        </w:rPr>
      </w:pPr>
      <w:r w:rsidRPr="00F64EF5">
        <w:rPr>
          <w:rFonts w:ascii="Tahoma" w:hAnsi="Tahoma" w:cs="Tahoma"/>
        </w:rPr>
        <w:t>8.</w:t>
      </w:r>
      <w:r w:rsidRPr="00F64EF5">
        <w:rPr>
          <w:rFonts w:ascii="Tahoma" w:hAnsi="Tahoma" w:cs="Tahoma"/>
        </w:rPr>
        <w:tab/>
        <w:t>Hu Y, Zhu L, Tian X, Duan F. Prevalence of preoperative deep vein thrombosis in long bone fractures of lower limbs: a systematic review and meta-analysis. J Orthop Traumatol Off J Ital Soc Orthop Traumatol. 2023;24(1):19.</w:t>
      </w:r>
    </w:p>
    <w:p w14:paraId="785113C6" w14:textId="77777777" w:rsidR="00C224DD" w:rsidRPr="00F64EF5" w:rsidRDefault="00C224DD" w:rsidP="00C224DD">
      <w:pPr>
        <w:pStyle w:val="Bibliography"/>
        <w:rPr>
          <w:rFonts w:ascii="Tahoma" w:hAnsi="Tahoma" w:cs="Tahoma"/>
        </w:rPr>
      </w:pPr>
      <w:r w:rsidRPr="00F64EF5">
        <w:rPr>
          <w:rFonts w:ascii="Tahoma" w:hAnsi="Tahoma" w:cs="Tahoma"/>
        </w:rPr>
        <w:t>9.</w:t>
      </w:r>
      <w:r w:rsidRPr="00F64EF5">
        <w:rPr>
          <w:rFonts w:ascii="Tahoma" w:hAnsi="Tahoma" w:cs="Tahoma"/>
        </w:rPr>
        <w:tab/>
        <w:t>Stein PD, Beemath A, Olson RE. Obesity as a risk factor in venous thromboembolism. Am J Med. 2005;118(9):978–980.</w:t>
      </w:r>
    </w:p>
    <w:p w14:paraId="59708FFC" w14:textId="1F9AB258" w:rsidR="00C224DD" w:rsidRPr="00F64EF5" w:rsidRDefault="00C224DD" w:rsidP="00F64EF5">
      <w:pPr>
        <w:pStyle w:val="Bibliography"/>
        <w:tabs>
          <w:tab w:val="clear" w:pos="264"/>
          <w:tab w:val="left" w:pos="540"/>
        </w:tabs>
        <w:ind w:left="360" w:hanging="360"/>
        <w:rPr>
          <w:rFonts w:ascii="Tahoma" w:hAnsi="Tahoma" w:cs="Tahoma"/>
        </w:rPr>
      </w:pPr>
      <w:r w:rsidRPr="00F64EF5">
        <w:rPr>
          <w:rFonts w:ascii="Tahoma" w:hAnsi="Tahoma" w:cs="Tahoma"/>
        </w:rPr>
        <w:t>10.</w:t>
      </w:r>
      <w:r w:rsidR="00F64EF5">
        <w:rPr>
          <w:rFonts w:ascii="Tahoma" w:hAnsi="Tahoma" w:cs="Tahoma"/>
        </w:rPr>
        <w:t xml:space="preserve"> </w:t>
      </w:r>
      <w:r w:rsidRPr="00F64EF5">
        <w:rPr>
          <w:rFonts w:ascii="Tahoma" w:hAnsi="Tahoma" w:cs="Tahoma"/>
        </w:rPr>
        <w:t>Cushman M. Epidemiology and Risk Factors for Venous Thrombosis. Semin Hematol. 2007;44(2):62–69.</w:t>
      </w:r>
    </w:p>
    <w:p w14:paraId="4E509688" w14:textId="23A06BD7" w:rsidR="00C224DD" w:rsidRPr="00F64EF5" w:rsidRDefault="00C224DD" w:rsidP="00F64EF5">
      <w:pPr>
        <w:pStyle w:val="Bibliography"/>
        <w:tabs>
          <w:tab w:val="clear" w:pos="264"/>
        </w:tabs>
        <w:ind w:left="360" w:hanging="360"/>
        <w:rPr>
          <w:rFonts w:ascii="Tahoma" w:hAnsi="Tahoma" w:cs="Tahoma"/>
        </w:rPr>
      </w:pPr>
      <w:r w:rsidRPr="00F64EF5">
        <w:rPr>
          <w:rFonts w:ascii="Tahoma" w:hAnsi="Tahoma" w:cs="Tahoma"/>
        </w:rPr>
        <w:t>11.</w:t>
      </w:r>
      <w:r w:rsidR="00F64EF5">
        <w:rPr>
          <w:rFonts w:ascii="Tahoma" w:hAnsi="Tahoma" w:cs="Tahoma"/>
        </w:rPr>
        <w:t xml:space="preserve"> </w:t>
      </w:r>
      <w:r w:rsidRPr="00F64EF5">
        <w:rPr>
          <w:rFonts w:ascii="Tahoma" w:hAnsi="Tahoma" w:cs="Tahoma"/>
        </w:rPr>
        <w:t>Chung W-S, Lin C-L, Kao C-H. Diabetes increases the risk of deep-vein thrombosis and pulmonary embolism: A population-based cohort study. Thromb Haemost. 2015;114(10):812–818.</w:t>
      </w:r>
    </w:p>
    <w:p w14:paraId="04ABAD09" w14:textId="65ADA0BE" w:rsidR="00C224DD" w:rsidRPr="00F64EF5" w:rsidRDefault="00C224DD" w:rsidP="00F64EF5">
      <w:pPr>
        <w:pStyle w:val="Bibliography"/>
        <w:tabs>
          <w:tab w:val="clear" w:pos="264"/>
          <w:tab w:val="left" w:pos="450"/>
        </w:tabs>
        <w:ind w:left="360" w:hanging="360"/>
        <w:rPr>
          <w:rFonts w:ascii="Tahoma" w:hAnsi="Tahoma" w:cs="Tahoma"/>
        </w:rPr>
      </w:pPr>
      <w:r w:rsidRPr="00F64EF5">
        <w:rPr>
          <w:rFonts w:ascii="Tahoma" w:hAnsi="Tahoma" w:cs="Tahoma"/>
        </w:rPr>
        <w:t>12.</w:t>
      </w:r>
      <w:r w:rsidR="00F64EF5">
        <w:rPr>
          <w:rFonts w:ascii="Tahoma" w:hAnsi="Tahoma" w:cs="Tahoma"/>
        </w:rPr>
        <w:t xml:space="preserve"> </w:t>
      </w:r>
      <w:r w:rsidRPr="00F64EF5">
        <w:rPr>
          <w:rFonts w:ascii="Tahoma" w:hAnsi="Tahoma" w:cs="Tahoma"/>
        </w:rPr>
        <w:t xml:space="preserve">Scrivener R, National Institute for Clinical Excellence, Royal College of Nursing, University of Leicester, Commission for Health Improvement (eds). </w:t>
      </w:r>
      <w:r w:rsidRPr="00F64EF5">
        <w:rPr>
          <w:rFonts w:ascii="Tahoma" w:hAnsi="Tahoma" w:cs="Tahoma"/>
          <w:i/>
          <w:iCs/>
        </w:rPr>
        <w:t>Principles for best practice in clinical audit</w:t>
      </w:r>
      <w:r w:rsidRPr="00F64EF5">
        <w:rPr>
          <w:rFonts w:ascii="Tahoma" w:hAnsi="Tahoma" w:cs="Tahoma"/>
        </w:rPr>
        <w:t>. repr. 2004. Abingdon. Radcliffe Medical.</w:t>
      </w:r>
    </w:p>
    <w:p w14:paraId="4919ECA3" w14:textId="02F435C0" w:rsidR="00C224DD" w:rsidRPr="00F64EF5" w:rsidRDefault="00C224DD" w:rsidP="00F64EF5">
      <w:pPr>
        <w:pStyle w:val="Bibliography"/>
        <w:tabs>
          <w:tab w:val="clear" w:pos="264"/>
          <w:tab w:val="left" w:pos="450"/>
        </w:tabs>
        <w:ind w:left="360" w:hanging="360"/>
        <w:rPr>
          <w:rFonts w:ascii="Tahoma" w:hAnsi="Tahoma" w:cs="Tahoma"/>
        </w:rPr>
      </w:pPr>
      <w:r w:rsidRPr="00F64EF5">
        <w:rPr>
          <w:rFonts w:ascii="Tahoma" w:hAnsi="Tahoma" w:cs="Tahoma"/>
        </w:rPr>
        <w:t>13.</w:t>
      </w:r>
      <w:r w:rsidR="00F64EF5">
        <w:rPr>
          <w:rFonts w:ascii="Tahoma" w:hAnsi="Tahoma" w:cs="Tahoma"/>
        </w:rPr>
        <w:t xml:space="preserve"> </w:t>
      </w:r>
      <w:r w:rsidRPr="00F64EF5">
        <w:rPr>
          <w:rFonts w:ascii="Tahoma" w:hAnsi="Tahoma" w:cs="Tahoma"/>
        </w:rPr>
        <w:t xml:space="preserve">R Core Team. </w:t>
      </w:r>
      <w:r w:rsidRPr="00F64EF5">
        <w:rPr>
          <w:rFonts w:ascii="Tahoma" w:hAnsi="Tahoma" w:cs="Tahoma"/>
          <w:i/>
          <w:iCs/>
        </w:rPr>
        <w:t>R: A Language and Environment for Statistical Computing</w:t>
      </w:r>
      <w:r w:rsidRPr="00F64EF5">
        <w:rPr>
          <w:rFonts w:ascii="Tahoma" w:hAnsi="Tahoma" w:cs="Tahoma"/>
        </w:rPr>
        <w:t>. 2025. Vienna, Austria. R Foundation for Statistical Computing https://www.R-project.org/.</w:t>
      </w:r>
    </w:p>
    <w:p w14:paraId="0298162A" w14:textId="4876DAB1" w:rsidR="00C224DD" w:rsidRPr="00F64EF5" w:rsidRDefault="00C224DD" w:rsidP="00F64EF5">
      <w:pPr>
        <w:pStyle w:val="Bibliography"/>
        <w:tabs>
          <w:tab w:val="clear" w:pos="264"/>
          <w:tab w:val="left" w:pos="540"/>
        </w:tabs>
        <w:ind w:left="360" w:hanging="360"/>
        <w:rPr>
          <w:rFonts w:ascii="Tahoma" w:hAnsi="Tahoma" w:cs="Tahoma"/>
        </w:rPr>
      </w:pPr>
      <w:r w:rsidRPr="00F64EF5">
        <w:rPr>
          <w:rFonts w:ascii="Tahoma" w:hAnsi="Tahoma" w:cs="Tahoma"/>
        </w:rPr>
        <w:lastRenderedPageBreak/>
        <w:t>14.</w:t>
      </w:r>
      <w:r w:rsidR="00F64EF5">
        <w:rPr>
          <w:rFonts w:ascii="Tahoma" w:hAnsi="Tahoma" w:cs="Tahoma"/>
        </w:rPr>
        <w:t xml:space="preserve"> </w:t>
      </w:r>
      <w:r w:rsidRPr="00F64EF5">
        <w:rPr>
          <w:rFonts w:ascii="Tahoma" w:hAnsi="Tahoma" w:cs="Tahoma"/>
        </w:rPr>
        <w:t>Goodacre S, Sampson F, Thomas S, Van Beek E, Sutton A. Systematic review and meta-analysis of the diagnostic accuracy of ultrasonography for deep vein thrombosis. BMC Med Imaging. 2005;5(1):6.</w:t>
      </w:r>
    </w:p>
    <w:p w14:paraId="1F9700C8" w14:textId="1DF11D93" w:rsidR="00C224DD" w:rsidRPr="00F64EF5" w:rsidRDefault="00C224DD" w:rsidP="00F64EF5">
      <w:pPr>
        <w:pStyle w:val="Bibliography"/>
        <w:tabs>
          <w:tab w:val="clear" w:pos="264"/>
          <w:tab w:val="left" w:pos="450"/>
        </w:tabs>
        <w:ind w:left="360" w:hanging="360"/>
        <w:rPr>
          <w:rFonts w:ascii="Tahoma" w:hAnsi="Tahoma" w:cs="Tahoma"/>
        </w:rPr>
      </w:pPr>
      <w:r w:rsidRPr="00F64EF5">
        <w:rPr>
          <w:rFonts w:ascii="Tahoma" w:hAnsi="Tahoma" w:cs="Tahoma"/>
        </w:rPr>
        <w:t>15.</w:t>
      </w:r>
      <w:r w:rsidR="00F64EF5">
        <w:rPr>
          <w:rFonts w:ascii="Tahoma" w:hAnsi="Tahoma" w:cs="Tahoma"/>
        </w:rPr>
        <w:t xml:space="preserve"> </w:t>
      </w:r>
      <w:r w:rsidRPr="00F64EF5">
        <w:rPr>
          <w:rFonts w:ascii="Tahoma" w:hAnsi="Tahoma" w:cs="Tahoma"/>
        </w:rPr>
        <w:t>Ginzburg E, Cohn SM, Lopez J, Jackowski J, Brown M, Hameed SM. Randomized clinical trial of intermittent pneumatic compression and low molecular weight heparin in trauma. Br J Surg. 2003;90(11):1338–1344.</w:t>
      </w:r>
    </w:p>
    <w:p w14:paraId="7F05C2FC" w14:textId="4A8D6D75" w:rsidR="00C224DD" w:rsidRPr="00F64EF5" w:rsidRDefault="00C224DD" w:rsidP="00F64EF5">
      <w:pPr>
        <w:pStyle w:val="Bibliography"/>
        <w:tabs>
          <w:tab w:val="clear" w:pos="264"/>
          <w:tab w:val="left" w:pos="450"/>
        </w:tabs>
        <w:ind w:left="360" w:hanging="360"/>
        <w:rPr>
          <w:rFonts w:ascii="Tahoma" w:hAnsi="Tahoma" w:cs="Tahoma"/>
        </w:rPr>
      </w:pPr>
      <w:r w:rsidRPr="00F64EF5">
        <w:rPr>
          <w:rFonts w:ascii="Tahoma" w:hAnsi="Tahoma" w:cs="Tahoma"/>
        </w:rPr>
        <w:t>16.</w:t>
      </w:r>
      <w:r w:rsidR="00F64EF5">
        <w:rPr>
          <w:rFonts w:ascii="Tahoma" w:hAnsi="Tahoma" w:cs="Tahoma"/>
        </w:rPr>
        <w:t xml:space="preserve"> </w:t>
      </w:r>
      <w:r w:rsidRPr="00F64EF5">
        <w:rPr>
          <w:rFonts w:ascii="Tahoma" w:hAnsi="Tahoma" w:cs="Tahoma"/>
        </w:rPr>
        <w:t>Piazza G, Nguyen TN, Morrison R, Cios D, Hohlfelder B, Fanikos J, et al. Patient Education Program for Venous Thromboembolism Prevention in Hospitalized Patients. Am J Med. 2012;125(3):258–264.</w:t>
      </w:r>
    </w:p>
    <w:p w14:paraId="1B163596" w14:textId="73C5EAA8" w:rsidR="00C224DD" w:rsidRPr="00F64EF5" w:rsidRDefault="00C224DD" w:rsidP="00F64EF5">
      <w:pPr>
        <w:pStyle w:val="Bibliography"/>
        <w:tabs>
          <w:tab w:val="clear" w:pos="264"/>
        </w:tabs>
        <w:ind w:left="360" w:hanging="360"/>
        <w:rPr>
          <w:rFonts w:ascii="Tahoma" w:hAnsi="Tahoma" w:cs="Tahoma"/>
        </w:rPr>
      </w:pPr>
      <w:r w:rsidRPr="00F64EF5">
        <w:rPr>
          <w:rFonts w:ascii="Tahoma" w:hAnsi="Tahoma" w:cs="Tahoma"/>
        </w:rPr>
        <w:t>17.</w:t>
      </w:r>
      <w:r w:rsidR="00F64EF5">
        <w:rPr>
          <w:rFonts w:ascii="Tahoma" w:hAnsi="Tahoma" w:cs="Tahoma"/>
        </w:rPr>
        <w:t xml:space="preserve"> </w:t>
      </w:r>
      <w:r w:rsidRPr="00F64EF5">
        <w:rPr>
          <w:rFonts w:ascii="Tahoma" w:hAnsi="Tahoma" w:cs="Tahoma"/>
        </w:rPr>
        <w:t>Sadideen H, O’Callaghan JM, Navidi M, Sayegh M. Educating Surgical Patients to Reduce the Risk of Venous Thromboembolism: An Audit of an Effective Strategy. JRSM Short Rep. 2011;2(12):1–4.</w:t>
      </w:r>
    </w:p>
    <w:p w14:paraId="3E126EAB" w14:textId="38D22FA4" w:rsidR="00C224DD" w:rsidRPr="00F64EF5" w:rsidRDefault="00C224DD" w:rsidP="00F64EF5">
      <w:pPr>
        <w:pStyle w:val="Bibliography"/>
        <w:tabs>
          <w:tab w:val="clear" w:pos="264"/>
          <w:tab w:val="left" w:pos="630"/>
        </w:tabs>
        <w:ind w:left="360" w:hanging="360"/>
        <w:rPr>
          <w:rFonts w:ascii="Tahoma" w:hAnsi="Tahoma" w:cs="Tahoma"/>
        </w:rPr>
      </w:pPr>
      <w:r w:rsidRPr="00F64EF5">
        <w:rPr>
          <w:rFonts w:ascii="Tahoma" w:hAnsi="Tahoma" w:cs="Tahoma"/>
        </w:rPr>
        <w:t>18.</w:t>
      </w:r>
      <w:r w:rsidR="00F64EF5">
        <w:rPr>
          <w:rFonts w:ascii="Tahoma" w:hAnsi="Tahoma" w:cs="Tahoma"/>
        </w:rPr>
        <w:t xml:space="preserve"> </w:t>
      </w:r>
      <w:r w:rsidRPr="00F64EF5">
        <w:rPr>
          <w:rFonts w:ascii="Tahoma" w:hAnsi="Tahoma" w:cs="Tahoma"/>
        </w:rPr>
        <w:t>Haut ER, Owodunni OP, Shaffer DL, McQuigg D, Samuel D, Hobson DB, et al. Implementing a Patient-Centered Education Bundle to Improve Venous Thromboembolism Prevention. JAMA Surg. 2025;160(12):1326.</w:t>
      </w:r>
    </w:p>
    <w:p w14:paraId="642C7248" w14:textId="24E5E855" w:rsidR="00C224DD" w:rsidRPr="00F64EF5" w:rsidRDefault="00C224DD" w:rsidP="00F64EF5">
      <w:pPr>
        <w:pStyle w:val="Bibliography"/>
        <w:tabs>
          <w:tab w:val="clear" w:pos="264"/>
          <w:tab w:val="left" w:pos="630"/>
        </w:tabs>
        <w:ind w:left="360" w:hanging="360"/>
        <w:rPr>
          <w:rFonts w:ascii="Tahoma" w:hAnsi="Tahoma" w:cs="Tahoma"/>
        </w:rPr>
      </w:pPr>
      <w:r w:rsidRPr="00F64EF5">
        <w:rPr>
          <w:rFonts w:ascii="Tahoma" w:hAnsi="Tahoma" w:cs="Tahoma"/>
        </w:rPr>
        <w:t>19.</w:t>
      </w:r>
      <w:r w:rsidR="00F64EF5">
        <w:rPr>
          <w:rFonts w:ascii="Tahoma" w:hAnsi="Tahoma" w:cs="Tahoma"/>
        </w:rPr>
        <w:t xml:space="preserve"> </w:t>
      </w:r>
      <w:r w:rsidRPr="00F64EF5">
        <w:rPr>
          <w:rFonts w:ascii="Tahoma" w:hAnsi="Tahoma" w:cs="Tahoma"/>
        </w:rPr>
        <w:t>Taoka T, Ohmori T, Kanazawa T, Toda K, Ishihara T, Ito Y. Delayed surgery after hip fracture affects the incidence of venous thromboembolism. J Orthop Surg. 2023;18(1):630.</w:t>
      </w:r>
    </w:p>
    <w:p w14:paraId="18291E08" w14:textId="4E8D6E81" w:rsidR="00C224DD" w:rsidRPr="00F64EF5" w:rsidRDefault="00C224DD" w:rsidP="00F64EF5">
      <w:pPr>
        <w:pStyle w:val="Bibliography"/>
        <w:tabs>
          <w:tab w:val="clear" w:pos="264"/>
          <w:tab w:val="left" w:pos="630"/>
        </w:tabs>
        <w:ind w:left="360" w:hanging="360"/>
        <w:rPr>
          <w:rFonts w:ascii="Tahoma" w:hAnsi="Tahoma" w:cs="Tahoma"/>
        </w:rPr>
      </w:pPr>
      <w:r w:rsidRPr="00F64EF5">
        <w:rPr>
          <w:rFonts w:ascii="Tahoma" w:hAnsi="Tahoma" w:cs="Tahoma"/>
        </w:rPr>
        <w:t>20.</w:t>
      </w:r>
      <w:r w:rsidR="00F64EF5">
        <w:rPr>
          <w:rFonts w:ascii="Tahoma" w:hAnsi="Tahoma" w:cs="Tahoma"/>
        </w:rPr>
        <w:t xml:space="preserve"> </w:t>
      </w:r>
      <w:r w:rsidRPr="00F64EF5">
        <w:rPr>
          <w:rFonts w:ascii="Tahoma" w:hAnsi="Tahoma" w:cs="Tahoma"/>
        </w:rPr>
        <w:t>Smith EB, Parvizi J, Purtill JJ. Delayed Surgery for Patients With Femur and Hip Fractures—Risk of Deep Venous Thrombosis. J Trauma Inj Infect Crit Care. 2011;70(6):E113–E116.</w:t>
      </w:r>
    </w:p>
    <w:p w14:paraId="20883B07" w14:textId="54205867" w:rsidR="00C8202C" w:rsidRDefault="00C8202C" w:rsidP="00060D0A">
      <w:pPr>
        <w:rPr>
          <w:rFonts w:ascii="Tahoma" w:hAnsi="Tahoma" w:cs="Tahoma"/>
          <w:sz w:val="24"/>
          <w:szCs w:val="24"/>
        </w:rPr>
        <w:sectPr w:rsidR="00C8202C" w:rsidSect="00DB5CCF">
          <w:pgSz w:w="12240" w:h="15840"/>
          <w:pgMar w:top="1440" w:right="1440" w:bottom="1440" w:left="1440" w:header="720" w:footer="720" w:gutter="0"/>
          <w:cols w:space="720"/>
          <w:docGrid w:linePitch="360"/>
        </w:sectPr>
      </w:pPr>
    </w:p>
    <w:tbl>
      <w:tblPr>
        <w:tblW w:w="93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20" w:firstRow="1" w:lastRow="0" w:firstColumn="0" w:lastColumn="0" w:noHBand="0" w:noVBand="1"/>
      </w:tblPr>
      <w:tblGrid>
        <w:gridCol w:w="4703"/>
        <w:gridCol w:w="1732"/>
        <w:gridCol w:w="1732"/>
        <w:gridCol w:w="1181"/>
      </w:tblGrid>
      <w:tr w:rsidR="006547C6" w:rsidRPr="00E31392" w14:paraId="28C2CB7C" w14:textId="77777777" w:rsidTr="00B226E7">
        <w:trPr>
          <w:tblHeader/>
          <w:jc w:val="center"/>
        </w:trPr>
        <w:tc>
          <w:tcPr>
            <w:tcW w:w="9348" w:type="dxa"/>
            <w:gridSpan w:val="4"/>
            <w:shd w:val="clear" w:color="auto" w:fill="FFFFFF"/>
            <w:tcMar>
              <w:top w:w="0" w:type="dxa"/>
              <w:left w:w="0" w:type="dxa"/>
              <w:bottom w:w="0" w:type="dxa"/>
              <w:right w:w="0" w:type="dxa"/>
            </w:tcMar>
            <w:vAlign w:val="center"/>
          </w:tcPr>
          <w:p w14:paraId="3ACB6A89"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40" w:after="40"/>
              <w:ind w:left="100" w:right="100"/>
              <w:rPr>
                <w:rFonts w:ascii="Tahoma" w:eastAsia="Arial" w:hAnsi="Tahoma" w:cs="Tahoma"/>
                <w:b/>
                <w:color w:val="000000"/>
              </w:rPr>
            </w:pPr>
            <w:r w:rsidRPr="006F03FE">
              <w:rPr>
                <w:rFonts w:ascii="Tahoma" w:hAnsi="Tahoma" w:cs="Tahoma"/>
                <w:b/>
                <w:bCs/>
              </w:rPr>
              <w:lastRenderedPageBreak/>
              <w:t xml:space="preserve">Table </w:t>
            </w:r>
            <w:r>
              <w:rPr>
                <w:rFonts w:ascii="Tahoma" w:hAnsi="Tahoma" w:cs="Tahoma"/>
                <w:b/>
                <w:bCs/>
              </w:rPr>
              <w:t>1</w:t>
            </w:r>
            <w:r w:rsidRPr="006F03FE">
              <w:rPr>
                <w:rFonts w:ascii="Tahoma" w:hAnsi="Tahoma" w:cs="Tahoma"/>
                <w:b/>
                <w:bCs/>
              </w:rPr>
              <w:t>:</w:t>
            </w:r>
            <w:r w:rsidRPr="00E31392">
              <w:rPr>
                <w:rFonts w:ascii="Tahoma" w:hAnsi="Tahoma" w:cs="Tahoma"/>
              </w:rPr>
              <w:t xml:space="preserve"> Audit Criteria Outcomes</w:t>
            </w:r>
            <w:r>
              <w:rPr>
                <w:rFonts w:ascii="Tahoma" w:hAnsi="Tahoma" w:cs="Tahoma"/>
              </w:rPr>
              <w:t>;</w:t>
            </w:r>
            <w:r w:rsidRPr="00E31392">
              <w:rPr>
                <w:rFonts w:ascii="Tahoma" w:hAnsi="Tahoma" w:cs="Tahoma"/>
              </w:rPr>
              <w:t xml:space="preserve"> Cycle 1 </w:t>
            </w:r>
            <w:r>
              <w:rPr>
                <w:rFonts w:ascii="Tahoma" w:hAnsi="Tahoma" w:cs="Tahoma"/>
              </w:rPr>
              <w:t>V</w:t>
            </w:r>
            <w:r w:rsidRPr="00E31392">
              <w:rPr>
                <w:rFonts w:ascii="Tahoma" w:hAnsi="Tahoma" w:cs="Tahoma"/>
              </w:rPr>
              <w:t>s Cycle 2</w:t>
            </w:r>
          </w:p>
        </w:tc>
      </w:tr>
      <w:tr w:rsidR="006547C6" w:rsidRPr="00E31392" w14:paraId="7857148D" w14:textId="77777777" w:rsidTr="00B226E7">
        <w:trPr>
          <w:tblHeader/>
          <w:jc w:val="center"/>
        </w:trPr>
        <w:tc>
          <w:tcPr>
            <w:tcW w:w="4703" w:type="dxa"/>
            <w:shd w:val="clear" w:color="auto" w:fill="FFFFFF"/>
            <w:tcMar>
              <w:top w:w="0" w:type="dxa"/>
              <w:left w:w="0" w:type="dxa"/>
              <w:bottom w:w="0" w:type="dxa"/>
              <w:right w:w="0" w:type="dxa"/>
            </w:tcMar>
            <w:vAlign w:val="center"/>
          </w:tcPr>
          <w:p w14:paraId="540512FC"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40" w:after="40"/>
              <w:ind w:left="100" w:right="100"/>
              <w:rPr>
                <w:rFonts w:ascii="Tahoma" w:eastAsia="Arial" w:hAnsi="Tahoma" w:cs="Tahoma"/>
                <w:color w:val="000000"/>
              </w:rPr>
            </w:pPr>
            <w:r w:rsidRPr="00E31392">
              <w:rPr>
                <w:rFonts w:ascii="Tahoma" w:eastAsia="Arial" w:hAnsi="Tahoma" w:cs="Tahoma"/>
                <w:b/>
                <w:color w:val="000000"/>
              </w:rPr>
              <w:t>Audit Criterion</w:t>
            </w:r>
          </w:p>
        </w:tc>
        <w:tc>
          <w:tcPr>
            <w:tcW w:w="1732" w:type="dxa"/>
            <w:shd w:val="clear" w:color="auto" w:fill="FFFFFF"/>
            <w:tcMar>
              <w:top w:w="0" w:type="dxa"/>
              <w:left w:w="0" w:type="dxa"/>
              <w:bottom w:w="0" w:type="dxa"/>
              <w:right w:w="0" w:type="dxa"/>
            </w:tcMar>
            <w:vAlign w:val="center"/>
          </w:tcPr>
          <w:p w14:paraId="61B63D90"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E31392">
              <w:rPr>
                <w:rFonts w:ascii="Tahoma" w:eastAsia="Arial" w:hAnsi="Tahoma" w:cs="Tahoma"/>
                <w:b/>
                <w:color w:val="000000"/>
              </w:rPr>
              <w:t>Cycle 1</w:t>
            </w:r>
            <w:r w:rsidRPr="00E31392">
              <w:rPr>
                <w:rFonts w:ascii="Tahoma" w:eastAsia="Arial" w:hAnsi="Tahoma" w:cs="Tahoma"/>
                <w:color w:val="000000"/>
              </w:rPr>
              <w:t xml:space="preserve">  </w:t>
            </w:r>
            <w:r w:rsidRPr="00E31392">
              <w:rPr>
                <w:rFonts w:ascii="Tahoma" w:eastAsia="Arial" w:hAnsi="Tahoma" w:cs="Tahoma"/>
                <w:color w:val="000000"/>
              </w:rPr>
              <w:br/>
              <w:t>N = 100</w:t>
            </w:r>
            <w:r w:rsidRPr="00E31392">
              <w:rPr>
                <w:rFonts w:ascii="Tahoma" w:eastAsia="Arial" w:hAnsi="Tahoma" w:cs="Tahoma"/>
                <w:color w:val="000000"/>
                <w:vertAlign w:val="superscript"/>
              </w:rPr>
              <w:t>1</w:t>
            </w:r>
          </w:p>
        </w:tc>
        <w:tc>
          <w:tcPr>
            <w:tcW w:w="1732" w:type="dxa"/>
            <w:shd w:val="clear" w:color="auto" w:fill="FFFFFF"/>
            <w:tcMar>
              <w:top w:w="0" w:type="dxa"/>
              <w:left w:w="0" w:type="dxa"/>
              <w:bottom w:w="0" w:type="dxa"/>
              <w:right w:w="0" w:type="dxa"/>
            </w:tcMar>
            <w:vAlign w:val="center"/>
          </w:tcPr>
          <w:p w14:paraId="2764AC5C"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E31392">
              <w:rPr>
                <w:rFonts w:ascii="Tahoma" w:eastAsia="Arial" w:hAnsi="Tahoma" w:cs="Tahoma"/>
                <w:b/>
                <w:color w:val="000000"/>
              </w:rPr>
              <w:t>Cycle 2</w:t>
            </w:r>
            <w:r w:rsidRPr="00E31392">
              <w:rPr>
                <w:rFonts w:ascii="Tahoma" w:eastAsia="Arial" w:hAnsi="Tahoma" w:cs="Tahoma"/>
                <w:color w:val="000000"/>
              </w:rPr>
              <w:t xml:space="preserve">  </w:t>
            </w:r>
            <w:r w:rsidRPr="00E31392">
              <w:rPr>
                <w:rFonts w:ascii="Tahoma" w:eastAsia="Arial" w:hAnsi="Tahoma" w:cs="Tahoma"/>
                <w:color w:val="000000"/>
              </w:rPr>
              <w:br/>
              <w:t>N = 109</w:t>
            </w:r>
            <w:r w:rsidRPr="00E31392">
              <w:rPr>
                <w:rFonts w:ascii="Tahoma" w:eastAsia="Arial" w:hAnsi="Tahoma" w:cs="Tahoma"/>
                <w:color w:val="000000"/>
                <w:vertAlign w:val="superscript"/>
              </w:rPr>
              <w:t>1</w:t>
            </w:r>
          </w:p>
        </w:tc>
        <w:tc>
          <w:tcPr>
            <w:tcW w:w="1181" w:type="dxa"/>
            <w:shd w:val="clear" w:color="auto" w:fill="FFFFFF"/>
            <w:tcMar>
              <w:top w:w="0" w:type="dxa"/>
              <w:left w:w="0" w:type="dxa"/>
              <w:bottom w:w="0" w:type="dxa"/>
              <w:right w:w="0" w:type="dxa"/>
            </w:tcMar>
            <w:vAlign w:val="center"/>
          </w:tcPr>
          <w:p w14:paraId="5C35003D"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E31392">
              <w:rPr>
                <w:rFonts w:ascii="Tahoma" w:eastAsia="Arial" w:hAnsi="Tahoma" w:cs="Tahoma"/>
                <w:b/>
                <w:color w:val="000000"/>
              </w:rPr>
              <w:t>p-value</w:t>
            </w:r>
            <w:r w:rsidRPr="00E31392">
              <w:rPr>
                <w:rFonts w:ascii="Tahoma" w:eastAsia="Arial" w:hAnsi="Tahoma" w:cs="Tahoma"/>
                <w:color w:val="000000"/>
                <w:vertAlign w:val="superscript"/>
              </w:rPr>
              <w:t>2</w:t>
            </w:r>
          </w:p>
        </w:tc>
      </w:tr>
      <w:tr w:rsidR="006547C6" w:rsidRPr="00E31392" w14:paraId="6FF6160B" w14:textId="77777777" w:rsidTr="00B226E7">
        <w:trPr>
          <w:jc w:val="center"/>
        </w:trPr>
        <w:tc>
          <w:tcPr>
            <w:tcW w:w="4703" w:type="dxa"/>
            <w:shd w:val="clear" w:color="auto" w:fill="FFFFFF"/>
            <w:tcMar>
              <w:top w:w="0" w:type="dxa"/>
              <w:left w:w="0" w:type="dxa"/>
              <w:bottom w:w="0" w:type="dxa"/>
              <w:right w:w="0" w:type="dxa"/>
            </w:tcMar>
          </w:tcPr>
          <w:p w14:paraId="3FBC50BF"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LMWH prophylaxis given within 12-24 hours</w:t>
            </w:r>
          </w:p>
        </w:tc>
        <w:tc>
          <w:tcPr>
            <w:tcW w:w="1732" w:type="dxa"/>
            <w:shd w:val="clear" w:color="auto" w:fill="FFFFFF"/>
            <w:tcMar>
              <w:top w:w="0" w:type="dxa"/>
              <w:left w:w="0" w:type="dxa"/>
              <w:bottom w:w="0" w:type="dxa"/>
              <w:right w:w="0" w:type="dxa"/>
            </w:tcMar>
          </w:tcPr>
          <w:p w14:paraId="36727C0A"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73 (73.0%)</w:t>
            </w:r>
          </w:p>
        </w:tc>
        <w:tc>
          <w:tcPr>
            <w:tcW w:w="1732" w:type="dxa"/>
            <w:shd w:val="clear" w:color="auto" w:fill="FFFFFF"/>
            <w:tcMar>
              <w:top w:w="0" w:type="dxa"/>
              <w:left w:w="0" w:type="dxa"/>
              <w:bottom w:w="0" w:type="dxa"/>
              <w:right w:w="0" w:type="dxa"/>
            </w:tcMar>
          </w:tcPr>
          <w:p w14:paraId="610D5E80"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109 (100.0%)</w:t>
            </w:r>
          </w:p>
        </w:tc>
        <w:tc>
          <w:tcPr>
            <w:tcW w:w="1181" w:type="dxa"/>
            <w:shd w:val="clear" w:color="auto" w:fill="FFFFFF"/>
            <w:tcMar>
              <w:top w:w="0" w:type="dxa"/>
              <w:left w:w="0" w:type="dxa"/>
              <w:bottom w:w="0" w:type="dxa"/>
              <w:right w:w="0" w:type="dxa"/>
            </w:tcMar>
          </w:tcPr>
          <w:p w14:paraId="58EF50A8"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&lt;0.001</w:t>
            </w:r>
          </w:p>
        </w:tc>
      </w:tr>
      <w:tr w:rsidR="006547C6" w:rsidRPr="00E31392" w14:paraId="4E7455C3" w14:textId="77777777" w:rsidTr="00B226E7">
        <w:trPr>
          <w:jc w:val="center"/>
        </w:trPr>
        <w:tc>
          <w:tcPr>
            <w:tcW w:w="4703" w:type="dxa"/>
            <w:shd w:val="clear" w:color="auto" w:fill="FFFFFF"/>
            <w:tcMar>
              <w:top w:w="0" w:type="dxa"/>
              <w:left w:w="0" w:type="dxa"/>
              <w:bottom w:w="0" w:type="dxa"/>
              <w:right w:w="0" w:type="dxa"/>
            </w:tcMar>
          </w:tcPr>
          <w:p w14:paraId="4EB89C1B"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Correct prophylactic dose given</w:t>
            </w:r>
          </w:p>
        </w:tc>
        <w:tc>
          <w:tcPr>
            <w:tcW w:w="1732" w:type="dxa"/>
            <w:shd w:val="clear" w:color="auto" w:fill="FFFFFF"/>
            <w:tcMar>
              <w:top w:w="0" w:type="dxa"/>
              <w:left w:w="0" w:type="dxa"/>
              <w:bottom w:w="0" w:type="dxa"/>
              <w:right w:w="0" w:type="dxa"/>
            </w:tcMar>
          </w:tcPr>
          <w:p w14:paraId="1B49983E"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84 (84.0%)</w:t>
            </w:r>
          </w:p>
        </w:tc>
        <w:tc>
          <w:tcPr>
            <w:tcW w:w="1732" w:type="dxa"/>
            <w:shd w:val="clear" w:color="auto" w:fill="FFFFFF"/>
            <w:tcMar>
              <w:top w:w="0" w:type="dxa"/>
              <w:left w:w="0" w:type="dxa"/>
              <w:bottom w:w="0" w:type="dxa"/>
              <w:right w:w="0" w:type="dxa"/>
            </w:tcMar>
          </w:tcPr>
          <w:p w14:paraId="71625398"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109 (100.0%)</w:t>
            </w:r>
          </w:p>
        </w:tc>
        <w:tc>
          <w:tcPr>
            <w:tcW w:w="1181" w:type="dxa"/>
            <w:shd w:val="clear" w:color="auto" w:fill="FFFFFF"/>
            <w:tcMar>
              <w:top w:w="0" w:type="dxa"/>
              <w:left w:w="0" w:type="dxa"/>
              <w:bottom w:w="0" w:type="dxa"/>
              <w:right w:w="0" w:type="dxa"/>
            </w:tcMar>
          </w:tcPr>
          <w:p w14:paraId="642DDC96"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&lt;0.001</w:t>
            </w:r>
          </w:p>
        </w:tc>
      </w:tr>
      <w:tr w:rsidR="006547C6" w:rsidRPr="00E31392" w14:paraId="0F3EAEF1" w14:textId="77777777" w:rsidTr="00B226E7">
        <w:trPr>
          <w:jc w:val="center"/>
        </w:trPr>
        <w:tc>
          <w:tcPr>
            <w:tcW w:w="4703" w:type="dxa"/>
            <w:shd w:val="clear" w:color="auto" w:fill="FFFFFF"/>
            <w:tcMar>
              <w:top w:w="0" w:type="dxa"/>
              <w:left w:w="0" w:type="dxa"/>
              <w:bottom w:w="0" w:type="dxa"/>
              <w:right w:w="0" w:type="dxa"/>
            </w:tcMar>
          </w:tcPr>
          <w:p w14:paraId="600AE990"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Correct route of administration</w:t>
            </w:r>
          </w:p>
        </w:tc>
        <w:tc>
          <w:tcPr>
            <w:tcW w:w="1732" w:type="dxa"/>
            <w:shd w:val="clear" w:color="auto" w:fill="FFFFFF"/>
            <w:tcMar>
              <w:top w:w="0" w:type="dxa"/>
              <w:left w:w="0" w:type="dxa"/>
              <w:bottom w:w="0" w:type="dxa"/>
              <w:right w:w="0" w:type="dxa"/>
            </w:tcMar>
          </w:tcPr>
          <w:p w14:paraId="1DAF1D58"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100 (100.0%)</w:t>
            </w:r>
          </w:p>
        </w:tc>
        <w:tc>
          <w:tcPr>
            <w:tcW w:w="1732" w:type="dxa"/>
            <w:shd w:val="clear" w:color="auto" w:fill="FFFFFF"/>
            <w:tcMar>
              <w:top w:w="0" w:type="dxa"/>
              <w:left w:w="0" w:type="dxa"/>
              <w:bottom w:w="0" w:type="dxa"/>
              <w:right w:w="0" w:type="dxa"/>
            </w:tcMar>
          </w:tcPr>
          <w:p w14:paraId="62057F40"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109 (100.0%)</w:t>
            </w:r>
          </w:p>
        </w:tc>
        <w:tc>
          <w:tcPr>
            <w:tcW w:w="1181" w:type="dxa"/>
            <w:shd w:val="clear" w:color="auto" w:fill="FFFFFF"/>
            <w:tcMar>
              <w:top w:w="0" w:type="dxa"/>
              <w:left w:w="0" w:type="dxa"/>
              <w:bottom w:w="0" w:type="dxa"/>
              <w:right w:w="0" w:type="dxa"/>
            </w:tcMar>
          </w:tcPr>
          <w:p w14:paraId="07EFA2A1"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r>
      <w:tr w:rsidR="006547C6" w:rsidRPr="00E31392" w14:paraId="00C4A03E" w14:textId="77777777" w:rsidTr="00B226E7">
        <w:trPr>
          <w:jc w:val="center"/>
        </w:trPr>
        <w:tc>
          <w:tcPr>
            <w:tcW w:w="4703" w:type="dxa"/>
            <w:shd w:val="clear" w:color="auto" w:fill="FFFFFF"/>
            <w:tcMar>
              <w:top w:w="0" w:type="dxa"/>
              <w:left w:w="0" w:type="dxa"/>
              <w:bottom w:w="0" w:type="dxa"/>
              <w:right w:w="0" w:type="dxa"/>
            </w:tcMar>
          </w:tcPr>
          <w:p w14:paraId="72CA0CB8"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Risk assessment correctly completed</w:t>
            </w:r>
          </w:p>
        </w:tc>
        <w:tc>
          <w:tcPr>
            <w:tcW w:w="1732" w:type="dxa"/>
            <w:shd w:val="clear" w:color="auto" w:fill="FFFFFF"/>
            <w:tcMar>
              <w:top w:w="0" w:type="dxa"/>
              <w:left w:w="0" w:type="dxa"/>
              <w:bottom w:w="0" w:type="dxa"/>
              <w:right w:w="0" w:type="dxa"/>
            </w:tcMar>
          </w:tcPr>
          <w:p w14:paraId="4C56DF63"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100 (100.0%)</w:t>
            </w:r>
          </w:p>
        </w:tc>
        <w:tc>
          <w:tcPr>
            <w:tcW w:w="1732" w:type="dxa"/>
            <w:shd w:val="clear" w:color="auto" w:fill="FFFFFF"/>
            <w:tcMar>
              <w:top w:w="0" w:type="dxa"/>
              <w:left w:w="0" w:type="dxa"/>
              <w:bottom w:w="0" w:type="dxa"/>
              <w:right w:w="0" w:type="dxa"/>
            </w:tcMar>
          </w:tcPr>
          <w:p w14:paraId="3BC4AC36"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109 (100.0%)</w:t>
            </w:r>
          </w:p>
        </w:tc>
        <w:tc>
          <w:tcPr>
            <w:tcW w:w="1181" w:type="dxa"/>
            <w:shd w:val="clear" w:color="auto" w:fill="FFFFFF"/>
            <w:tcMar>
              <w:top w:w="0" w:type="dxa"/>
              <w:left w:w="0" w:type="dxa"/>
              <w:bottom w:w="0" w:type="dxa"/>
              <w:right w:w="0" w:type="dxa"/>
            </w:tcMar>
          </w:tcPr>
          <w:p w14:paraId="030F65E4"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r>
      <w:tr w:rsidR="006547C6" w:rsidRPr="00E31392" w14:paraId="7FD902AC" w14:textId="77777777" w:rsidTr="00B226E7">
        <w:trPr>
          <w:jc w:val="center"/>
        </w:trPr>
        <w:tc>
          <w:tcPr>
            <w:tcW w:w="4703" w:type="dxa"/>
            <w:shd w:val="clear" w:color="auto" w:fill="FFFFFF"/>
            <w:tcMar>
              <w:top w:w="0" w:type="dxa"/>
              <w:left w:w="0" w:type="dxa"/>
              <w:bottom w:w="0" w:type="dxa"/>
              <w:right w:w="0" w:type="dxa"/>
            </w:tcMar>
          </w:tcPr>
          <w:p w14:paraId="124417C9"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Mechanical prophylaxis initiated</w:t>
            </w:r>
          </w:p>
        </w:tc>
        <w:tc>
          <w:tcPr>
            <w:tcW w:w="1732" w:type="dxa"/>
            <w:shd w:val="clear" w:color="auto" w:fill="FFFFFF"/>
            <w:tcMar>
              <w:top w:w="0" w:type="dxa"/>
              <w:left w:w="0" w:type="dxa"/>
              <w:bottom w:w="0" w:type="dxa"/>
              <w:right w:w="0" w:type="dxa"/>
            </w:tcMar>
          </w:tcPr>
          <w:p w14:paraId="59513967"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0 (0.0%)</w:t>
            </w:r>
          </w:p>
        </w:tc>
        <w:tc>
          <w:tcPr>
            <w:tcW w:w="1732" w:type="dxa"/>
            <w:shd w:val="clear" w:color="auto" w:fill="FFFFFF"/>
            <w:tcMar>
              <w:top w:w="0" w:type="dxa"/>
              <w:left w:w="0" w:type="dxa"/>
              <w:bottom w:w="0" w:type="dxa"/>
              <w:right w:w="0" w:type="dxa"/>
            </w:tcMar>
          </w:tcPr>
          <w:p w14:paraId="1C1404C2"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37 (33.9%)</w:t>
            </w:r>
          </w:p>
        </w:tc>
        <w:tc>
          <w:tcPr>
            <w:tcW w:w="1181" w:type="dxa"/>
            <w:shd w:val="clear" w:color="auto" w:fill="FFFFFF"/>
            <w:tcMar>
              <w:top w:w="0" w:type="dxa"/>
              <w:left w:w="0" w:type="dxa"/>
              <w:bottom w:w="0" w:type="dxa"/>
              <w:right w:w="0" w:type="dxa"/>
            </w:tcMar>
          </w:tcPr>
          <w:p w14:paraId="47075873" w14:textId="77777777" w:rsidR="006547C6" w:rsidRPr="00E31392"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&lt;0.001</w:t>
            </w:r>
          </w:p>
        </w:tc>
      </w:tr>
      <w:tr w:rsidR="00157051" w:rsidRPr="00E31392" w14:paraId="345F6FF0" w14:textId="77777777" w:rsidTr="00B226E7">
        <w:trPr>
          <w:jc w:val="center"/>
        </w:trPr>
        <w:tc>
          <w:tcPr>
            <w:tcW w:w="4703" w:type="dxa"/>
            <w:shd w:val="clear" w:color="auto" w:fill="FFFFFF"/>
            <w:tcMar>
              <w:top w:w="0" w:type="dxa"/>
              <w:left w:w="0" w:type="dxa"/>
              <w:bottom w:w="0" w:type="dxa"/>
              <w:right w:w="0" w:type="dxa"/>
            </w:tcMar>
          </w:tcPr>
          <w:p w14:paraId="43488AF4"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Pr>
                <w:rFonts w:ascii="Tahoma" w:eastAsia="Arial" w:hAnsi="Tahoma" w:cs="Tahoma"/>
                <w:bCs/>
                <w:color w:val="000000"/>
              </w:rPr>
              <w:t>Patients educated on DVT signs and symptoms</w:t>
            </w:r>
          </w:p>
        </w:tc>
        <w:tc>
          <w:tcPr>
            <w:tcW w:w="1732" w:type="dxa"/>
            <w:shd w:val="clear" w:color="auto" w:fill="FFFFFF"/>
            <w:tcMar>
              <w:top w:w="0" w:type="dxa"/>
              <w:left w:w="0" w:type="dxa"/>
              <w:bottom w:w="0" w:type="dxa"/>
              <w:right w:w="0" w:type="dxa"/>
            </w:tcMar>
          </w:tcPr>
          <w:p w14:paraId="51077FE4" w14:textId="543C7036"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Pr>
                <w:rFonts w:ascii="Arial" w:eastAsia="Arial" w:hAnsi="Arial" w:cs="Arial"/>
                <w:color w:val="000000"/>
              </w:rPr>
              <w:t>69 (69.0%)</w:t>
            </w:r>
          </w:p>
        </w:tc>
        <w:tc>
          <w:tcPr>
            <w:tcW w:w="1732" w:type="dxa"/>
            <w:shd w:val="clear" w:color="auto" w:fill="FFFFFF"/>
            <w:tcMar>
              <w:top w:w="0" w:type="dxa"/>
              <w:left w:w="0" w:type="dxa"/>
              <w:bottom w:w="0" w:type="dxa"/>
              <w:right w:w="0" w:type="dxa"/>
            </w:tcMar>
          </w:tcPr>
          <w:p w14:paraId="27C23215" w14:textId="2DA9A62E"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Pr>
                <w:rFonts w:ascii="Arial" w:eastAsia="Arial" w:hAnsi="Arial" w:cs="Arial"/>
                <w:color w:val="000000"/>
              </w:rPr>
              <w:t>99 (90.8%)</w:t>
            </w:r>
          </w:p>
        </w:tc>
        <w:tc>
          <w:tcPr>
            <w:tcW w:w="1181" w:type="dxa"/>
            <w:shd w:val="clear" w:color="auto" w:fill="FFFFFF"/>
            <w:tcMar>
              <w:top w:w="0" w:type="dxa"/>
              <w:left w:w="0" w:type="dxa"/>
              <w:bottom w:w="0" w:type="dxa"/>
              <w:right w:w="0" w:type="dxa"/>
            </w:tcMar>
          </w:tcPr>
          <w:p w14:paraId="60082AD1" w14:textId="6058EF0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Pr>
                <w:rFonts w:ascii="Arial" w:eastAsia="Arial" w:hAnsi="Arial" w:cs="Arial"/>
                <w:color w:val="000000"/>
              </w:rPr>
              <w:t>&lt;0.001</w:t>
            </w:r>
          </w:p>
        </w:tc>
      </w:tr>
      <w:tr w:rsidR="00157051" w:rsidRPr="00E31392" w14:paraId="011E17C0" w14:textId="77777777" w:rsidTr="00B226E7">
        <w:trPr>
          <w:jc w:val="center"/>
        </w:trPr>
        <w:tc>
          <w:tcPr>
            <w:tcW w:w="4703" w:type="dxa"/>
            <w:shd w:val="clear" w:color="auto" w:fill="FFFFFF"/>
            <w:tcMar>
              <w:top w:w="0" w:type="dxa"/>
              <w:left w:w="0" w:type="dxa"/>
              <w:bottom w:w="0" w:type="dxa"/>
              <w:right w:w="0" w:type="dxa"/>
            </w:tcMar>
          </w:tcPr>
          <w:p w14:paraId="4C562620"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DVT screening by Doppler ultrasound</w:t>
            </w:r>
          </w:p>
        </w:tc>
        <w:tc>
          <w:tcPr>
            <w:tcW w:w="1732" w:type="dxa"/>
            <w:shd w:val="clear" w:color="auto" w:fill="FFFFFF"/>
            <w:tcMar>
              <w:top w:w="0" w:type="dxa"/>
              <w:left w:w="0" w:type="dxa"/>
              <w:bottom w:w="0" w:type="dxa"/>
              <w:right w:w="0" w:type="dxa"/>
            </w:tcMar>
          </w:tcPr>
          <w:p w14:paraId="20016E99"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100 (100.0%)</w:t>
            </w:r>
          </w:p>
        </w:tc>
        <w:tc>
          <w:tcPr>
            <w:tcW w:w="1732" w:type="dxa"/>
            <w:shd w:val="clear" w:color="auto" w:fill="FFFFFF"/>
            <w:tcMar>
              <w:top w:w="0" w:type="dxa"/>
              <w:left w:w="0" w:type="dxa"/>
              <w:bottom w:w="0" w:type="dxa"/>
              <w:right w:w="0" w:type="dxa"/>
            </w:tcMar>
          </w:tcPr>
          <w:p w14:paraId="71FC964E"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109 (100.0%)</w:t>
            </w:r>
          </w:p>
        </w:tc>
        <w:tc>
          <w:tcPr>
            <w:tcW w:w="1181" w:type="dxa"/>
            <w:shd w:val="clear" w:color="auto" w:fill="FFFFFF"/>
            <w:tcMar>
              <w:top w:w="0" w:type="dxa"/>
              <w:left w:w="0" w:type="dxa"/>
              <w:bottom w:w="0" w:type="dxa"/>
              <w:right w:w="0" w:type="dxa"/>
            </w:tcMar>
          </w:tcPr>
          <w:p w14:paraId="021F2D6B"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r>
      <w:tr w:rsidR="00157051" w:rsidRPr="00E31392" w14:paraId="23FCC769" w14:textId="77777777" w:rsidTr="00B226E7">
        <w:trPr>
          <w:jc w:val="center"/>
        </w:trPr>
        <w:tc>
          <w:tcPr>
            <w:tcW w:w="4703" w:type="dxa"/>
            <w:tcBorders>
              <w:bottom w:val="single" w:sz="8" w:space="0" w:color="000000"/>
            </w:tcBorders>
            <w:shd w:val="clear" w:color="auto" w:fill="FFFFFF"/>
            <w:tcMar>
              <w:top w:w="0" w:type="dxa"/>
              <w:left w:w="0" w:type="dxa"/>
              <w:bottom w:w="0" w:type="dxa"/>
              <w:right w:w="0" w:type="dxa"/>
            </w:tcMar>
          </w:tcPr>
          <w:p w14:paraId="7A81C4DD"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31392">
              <w:rPr>
                <w:rFonts w:ascii="Tahoma" w:eastAsia="Arial" w:hAnsi="Tahoma" w:cs="Tahoma"/>
                <w:bCs/>
                <w:color w:val="000000"/>
              </w:rPr>
              <w:t>Pre-operative DVT confirmed</w:t>
            </w:r>
          </w:p>
        </w:tc>
        <w:tc>
          <w:tcPr>
            <w:tcW w:w="1732" w:type="dxa"/>
            <w:tcBorders>
              <w:bottom w:val="single" w:sz="8" w:space="0" w:color="000000"/>
            </w:tcBorders>
            <w:shd w:val="clear" w:color="auto" w:fill="FFFFFF"/>
            <w:tcMar>
              <w:top w:w="0" w:type="dxa"/>
              <w:left w:w="0" w:type="dxa"/>
              <w:bottom w:w="0" w:type="dxa"/>
              <w:right w:w="0" w:type="dxa"/>
            </w:tcMar>
          </w:tcPr>
          <w:p w14:paraId="5F6A5840"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29 (29.0%)</w:t>
            </w:r>
          </w:p>
        </w:tc>
        <w:tc>
          <w:tcPr>
            <w:tcW w:w="1732" w:type="dxa"/>
            <w:tcBorders>
              <w:bottom w:val="single" w:sz="8" w:space="0" w:color="000000"/>
            </w:tcBorders>
            <w:shd w:val="clear" w:color="auto" w:fill="FFFFFF"/>
            <w:tcMar>
              <w:top w:w="0" w:type="dxa"/>
              <w:left w:w="0" w:type="dxa"/>
              <w:bottom w:w="0" w:type="dxa"/>
              <w:right w:w="0" w:type="dxa"/>
            </w:tcMar>
          </w:tcPr>
          <w:p w14:paraId="0DC873BB"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14 (12.8%)</w:t>
            </w:r>
          </w:p>
        </w:tc>
        <w:tc>
          <w:tcPr>
            <w:tcW w:w="1181" w:type="dxa"/>
            <w:tcBorders>
              <w:bottom w:val="single" w:sz="8" w:space="0" w:color="000000"/>
            </w:tcBorders>
            <w:shd w:val="clear" w:color="auto" w:fill="FFFFFF"/>
            <w:tcMar>
              <w:top w:w="0" w:type="dxa"/>
              <w:left w:w="0" w:type="dxa"/>
              <w:bottom w:w="0" w:type="dxa"/>
              <w:right w:w="0" w:type="dxa"/>
            </w:tcMar>
          </w:tcPr>
          <w:p w14:paraId="5E0C96A9"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E31392">
              <w:rPr>
                <w:rFonts w:ascii="Tahoma" w:eastAsia="Arial" w:hAnsi="Tahoma" w:cs="Tahoma"/>
                <w:color w:val="000000"/>
              </w:rPr>
              <w:t>0.007</w:t>
            </w:r>
          </w:p>
        </w:tc>
      </w:tr>
      <w:tr w:rsidR="00157051" w:rsidRPr="00E31392" w14:paraId="06D1D1E0" w14:textId="77777777" w:rsidTr="00B226E7">
        <w:trPr>
          <w:jc w:val="center"/>
        </w:trPr>
        <w:tc>
          <w:tcPr>
            <w:tcW w:w="9348" w:type="dxa"/>
            <w:gridSpan w:val="4"/>
            <w:tcBorders>
              <w:bottom w:val="nil"/>
            </w:tcBorders>
            <w:shd w:val="clear" w:color="auto" w:fill="FFFFFF"/>
            <w:tcMar>
              <w:top w:w="0" w:type="dxa"/>
              <w:left w:w="0" w:type="dxa"/>
              <w:bottom w:w="0" w:type="dxa"/>
              <w:right w:w="0" w:type="dxa"/>
            </w:tcMar>
            <w:vAlign w:val="center"/>
          </w:tcPr>
          <w:p w14:paraId="337ABDD8"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E31392">
              <w:rPr>
                <w:rFonts w:ascii="Tahoma" w:eastAsia="Arial" w:hAnsi="Tahoma" w:cs="Tahoma"/>
                <w:color w:val="000000"/>
                <w:vertAlign w:val="superscript"/>
              </w:rPr>
              <w:t>1</w:t>
            </w:r>
            <w:r w:rsidRPr="00E31392">
              <w:rPr>
                <w:rFonts w:ascii="Tahoma" w:eastAsia="Arial" w:hAnsi="Tahoma" w:cs="Tahoma"/>
                <w:color w:val="000000"/>
              </w:rPr>
              <w:t>n (%)</w:t>
            </w:r>
          </w:p>
        </w:tc>
      </w:tr>
      <w:tr w:rsidR="00157051" w:rsidRPr="00E31392" w14:paraId="0C3D916E" w14:textId="77777777" w:rsidTr="00B226E7">
        <w:trPr>
          <w:jc w:val="center"/>
        </w:trPr>
        <w:tc>
          <w:tcPr>
            <w:tcW w:w="9348" w:type="dxa"/>
            <w:gridSpan w:val="4"/>
            <w:tcBorders>
              <w:top w:val="nil"/>
            </w:tcBorders>
            <w:shd w:val="clear" w:color="auto" w:fill="FFFFFF"/>
            <w:tcMar>
              <w:top w:w="0" w:type="dxa"/>
              <w:left w:w="0" w:type="dxa"/>
              <w:bottom w:w="0" w:type="dxa"/>
              <w:right w:w="0" w:type="dxa"/>
            </w:tcMar>
            <w:vAlign w:val="center"/>
          </w:tcPr>
          <w:p w14:paraId="3A6D4003" w14:textId="77777777" w:rsidR="00157051" w:rsidRPr="00E31392" w:rsidRDefault="00157051" w:rsidP="00157051">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E31392">
              <w:rPr>
                <w:rFonts w:ascii="Tahoma" w:eastAsia="Arial" w:hAnsi="Tahoma" w:cs="Tahoma"/>
                <w:color w:val="000000"/>
                <w:vertAlign w:val="superscript"/>
              </w:rPr>
              <w:t>2</w:t>
            </w:r>
            <w:r w:rsidRPr="00E31392">
              <w:rPr>
                <w:rFonts w:ascii="Tahoma" w:eastAsia="Arial" w:hAnsi="Tahoma" w:cs="Tahoma"/>
                <w:color w:val="000000"/>
              </w:rPr>
              <w:t>Fisher's exact test used for variables where proportion reached 0% or 100% in either cycle; Pearson chi-squared test used for DVT incidence. No statistical test applied to criteria at 100% in both cycles as there is no variation to test.</w:t>
            </w:r>
          </w:p>
        </w:tc>
      </w:tr>
    </w:tbl>
    <w:p w14:paraId="7E8BFF99" w14:textId="77777777" w:rsidR="00F273C3" w:rsidRDefault="00F273C3" w:rsidP="00F273C3">
      <w:pPr>
        <w:rPr>
          <w:rFonts w:ascii="Tahoma" w:hAnsi="Tahoma" w:cs="Tahoma"/>
          <w:sz w:val="24"/>
          <w:szCs w:val="24"/>
        </w:rPr>
      </w:pPr>
    </w:p>
    <w:p w14:paraId="3611D10F" w14:textId="77777777" w:rsidR="006547C6" w:rsidRDefault="006547C6" w:rsidP="00F273C3">
      <w:pPr>
        <w:rPr>
          <w:rFonts w:ascii="Tahoma" w:hAnsi="Tahoma" w:cs="Tahoma"/>
          <w:sz w:val="24"/>
          <w:szCs w:val="24"/>
        </w:rPr>
        <w:sectPr w:rsidR="006547C6" w:rsidSect="00DB5CCF">
          <w:pgSz w:w="12240" w:h="15840"/>
          <w:pgMar w:top="1440" w:right="1440" w:bottom="1440" w:left="1440" w:header="720" w:footer="720" w:gutter="0"/>
          <w:cols w:space="720"/>
          <w:docGrid w:linePitch="360"/>
        </w:sectPr>
      </w:pPr>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20" w:firstRow="1" w:lastRow="0" w:firstColumn="0" w:lastColumn="0" w:noHBand="0" w:noVBand="1"/>
      </w:tblPr>
      <w:tblGrid>
        <w:gridCol w:w="3259"/>
        <w:gridCol w:w="1487"/>
        <w:gridCol w:w="1487"/>
        <w:gridCol w:w="1487"/>
        <w:gridCol w:w="1181"/>
      </w:tblGrid>
      <w:tr w:rsidR="006547C6" w:rsidRPr="00772B16" w14:paraId="6365D897" w14:textId="77777777" w:rsidTr="00B226E7">
        <w:trPr>
          <w:tblHeader/>
          <w:jc w:val="center"/>
        </w:trPr>
        <w:tc>
          <w:tcPr>
            <w:tcW w:w="8901" w:type="dxa"/>
            <w:gridSpan w:val="5"/>
            <w:shd w:val="clear" w:color="auto" w:fill="FFFFFF"/>
            <w:tcMar>
              <w:top w:w="0" w:type="dxa"/>
              <w:left w:w="0" w:type="dxa"/>
              <w:bottom w:w="0" w:type="dxa"/>
              <w:right w:w="0" w:type="dxa"/>
            </w:tcMar>
            <w:vAlign w:val="center"/>
          </w:tcPr>
          <w:p w14:paraId="0AA47D41"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40" w:after="40"/>
              <w:ind w:left="100" w:right="100"/>
              <w:rPr>
                <w:rFonts w:ascii="Tahoma" w:eastAsia="Arial" w:hAnsi="Tahoma" w:cs="Tahoma"/>
                <w:b/>
                <w:color w:val="000000"/>
              </w:rPr>
            </w:pPr>
            <w:r w:rsidRPr="00772B16">
              <w:rPr>
                <w:rFonts w:ascii="Tahoma" w:hAnsi="Tahoma" w:cs="Tahoma"/>
                <w:b/>
                <w:bCs/>
              </w:rPr>
              <w:lastRenderedPageBreak/>
              <w:t xml:space="preserve">Table </w:t>
            </w:r>
            <w:r>
              <w:rPr>
                <w:rFonts w:ascii="Tahoma" w:hAnsi="Tahoma" w:cs="Tahoma"/>
                <w:b/>
                <w:bCs/>
              </w:rPr>
              <w:t>2</w:t>
            </w:r>
            <w:r w:rsidRPr="00772B16">
              <w:rPr>
                <w:rFonts w:ascii="Tahoma" w:hAnsi="Tahoma" w:cs="Tahoma"/>
                <w:b/>
                <w:bCs/>
              </w:rPr>
              <w:t>:</w:t>
            </w:r>
            <w:r w:rsidRPr="00772B16">
              <w:rPr>
                <w:rFonts w:ascii="Tahoma" w:hAnsi="Tahoma" w:cs="Tahoma"/>
              </w:rPr>
              <w:t xml:space="preserve"> Patient Demographics and Comorbidity Profile</w:t>
            </w:r>
            <w:r>
              <w:rPr>
                <w:rFonts w:ascii="Tahoma" w:hAnsi="Tahoma" w:cs="Tahoma"/>
              </w:rPr>
              <w:t>; Cycle 1 Vs Cycle 2</w:t>
            </w:r>
          </w:p>
        </w:tc>
      </w:tr>
      <w:tr w:rsidR="006547C6" w:rsidRPr="00772B16" w14:paraId="264EE146" w14:textId="77777777" w:rsidTr="00B226E7">
        <w:trPr>
          <w:tblHeader/>
          <w:jc w:val="center"/>
        </w:trPr>
        <w:tc>
          <w:tcPr>
            <w:tcW w:w="3259" w:type="dxa"/>
            <w:shd w:val="clear" w:color="auto" w:fill="FFFFFF"/>
            <w:tcMar>
              <w:top w:w="0" w:type="dxa"/>
              <w:left w:w="0" w:type="dxa"/>
              <w:bottom w:w="0" w:type="dxa"/>
              <w:right w:w="0" w:type="dxa"/>
            </w:tcMar>
            <w:vAlign w:val="center"/>
          </w:tcPr>
          <w:p w14:paraId="5532F89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40" w:after="40"/>
              <w:ind w:left="100" w:right="100"/>
              <w:rPr>
                <w:rFonts w:ascii="Tahoma" w:eastAsia="Arial" w:hAnsi="Tahoma" w:cs="Tahoma"/>
                <w:color w:val="000000"/>
              </w:rPr>
            </w:pPr>
            <w:r w:rsidRPr="00772B16">
              <w:rPr>
                <w:rFonts w:ascii="Tahoma" w:eastAsia="Arial" w:hAnsi="Tahoma" w:cs="Tahoma"/>
                <w:b/>
                <w:color w:val="000000"/>
              </w:rPr>
              <w:t>Characteristic</w:t>
            </w:r>
          </w:p>
        </w:tc>
        <w:tc>
          <w:tcPr>
            <w:tcW w:w="1487" w:type="dxa"/>
            <w:shd w:val="clear" w:color="auto" w:fill="FFFFFF"/>
            <w:tcMar>
              <w:top w:w="0" w:type="dxa"/>
              <w:left w:w="0" w:type="dxa"/>
              <w:bottom w:w="0" w:type="dxa"/>
              <w:right w:w="0" w:type="dxa"/>
            </w:tcMar>
            <w:vAlign w:val="center"/>
          </w:tcPr>
          <w:p w14:paraId="1F787E1F"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772B16">
              <w:rPr>
                <w:rFonts w:ascii="Tahoma" w:eastAsia="Arial" w:hAnsi="Tahoma" w:cs="Tahoma"/>
                <w:b/>
                <w:color w:val="000000"/>
              </w:rPr>
              <w:t>Overall</w:t>
            </w:r>
            <w:r w:rsidRPr="00772B16">
              <w:rPr>
                <w:rFonts w:ascii="Tahoma" w:eastAsia="Arial" w:hAnsi="Tahoma" w:cs="Tahoma"/>
                <w:color w:val="000000"/>
              </w:rPr>
              <w:t xml:space="preserve">  </w:t>
            </w:r>
            <w:r w:rsidRPr="00772B16">
              <w:rPr>
                <w:rFonts w:ascii="Tahoma" w:eastAsia="Arial" w:hAnsi="Tahoma" w:cs="Tahoma"/>
                <w:color w:val="000000"/>
              </w:rPr>
              <w:br/>
              <w:t>N = 209</w:t>
            </w:r>
            <w:r w:rsidRPr="00772B16">
              <w:rPr>
                <w:rFonts w:ascii="Tahoma" w:eastAsia="Arial" w:hAnsi="Tahoma" w:cs="Tahoma"/>
                <w:color w:val="000000"/>
                <w:vertAlign w:val="superscript"/>
              </w:rPr>
              <w:t>1</w:t>
            </w:r>
          </w:p>
        </w:tc>
        <w:tc>
          <w:tcPr>
            <w:tcW w:w="1487" w:type="dxa"/>
            <w:shd w:val="clear" w:color="auto" w:fill="FFFFFF"/>
            <w:tcMar>
              <w:top w:w="0" w:type="dxa"/>
              <w:left w:w="0" w:type="dxa"/>
              <w:bottom w:w="0" w:type="dxa"/>
              <w:right w:w="0" w:type="dxa"/>
            </w:tcMar>
            <w:vAlign w:val="center"/>
          </w:tcPr>
          <w:p w14:paraId="6C8B31FE"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772B16">
              <w:rPr>
                <w:rFonts w:ascii="Tahoma" w:eastAsia="Arial" w:hAnsi="Tahoma" w:cs="Tahoma"/>
                <w:b/>
                <w:color w:val="000000"/>
              </w:rPr>
              <w:t>Cycle 1</w:t>
            </w:r>
            <w:r w:rsidRPr="00772B16">
              <w:rPr>
                <w:rFonts w:ascii="Tahoma" w:eastAsia="Arial" w:hAnsi="Tahoma" w:cs="Tahoma"/>
                <w:color w:val="000000"/>
              </w:rPr>
              <w:t xml:space="preserve">  </w:t>
            </w:r>
            <w:r w:rsidRPr="00772B16">
              <w:rPr>
                <w:rFonts w:ascii="Tahoma" w:eastAsia="Arial" w:hAnsi="Tahoma" w:cs="Tahoma"/>
                <w:color w:val="000000"/>
              </w:rPr>
              <w:br/>
              <w:t>N = 100</w:t>
            </w:r>
            <w:r w:rsidRPr="00772B16">
              <w:rPr>
                <w:rFonts w:ascii="Tahoma" w:eastAsia="Arial" w:hAnsi="Tahoma" w:cs="Tahoma"/>
                <w:color w:val="000000"/>
                <w:vertAlign w:val="superscript"/>
              </w:rPr>
              <w:t>1</w:t>
            </w:r>
          </w:p>
        </w:tc>
        <w:tc>
          <w:tcPr>
            <w:tcW w:w="1487" w:type="dxa"/>
            <w:shd w:val="clear" w:color="auto" w:fill="FFFFFF"/>
            <w:tcMar>
              <w:top w:w="0" w:type="dxa"/>
              <w:left w:w="0" w:type="dxa"/>
              <w:bottom w:w="0" w:type="dxa"/>
              <w:right w:w="0" w:type="dxa"/>
            </w:tcMar>
            <w:vAlign w:val="center"/>
          </w:tcPr>
          <w:p w14:paraId="3309C919"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772B16">
              <w:rPr>
                <w:rFonts w:ascii="Tahoma" w:eastAsia="Arial" w:hAnsi="Tahoma" w:cs="Tahoma"/>
                <w:b/>
                <w:color w:val="000000"/>
              </w:rPr>
              <w:t>Cycle 2</w:t>
            </w:r>
            <w:r w:rsidRPr="00772B16">
              <w:rPr>
                <w:rFonts w:ascii="Tahoma" w:eastAsia="Arial" w:hAnsi="Tahoma" w:cs="Tahoma"/>
                <w:color w:val="000000"/>
              </w:rPr>
              <w:t xml:space="preserve">  </w:t>
            </w:r>
            <w:r w:rsidRPr="00772B16">
              <w:rPr>
                <w:rFonts w:ascii="Tahoma" w:eastAsia="Arial" w:hAnsi="Tahoma" w:cs="Tahoma"/>
                <w:color w:val="000000"/>
              </w:rPr>
              <w:br/>
              <w:t>N = 109</w:t>
            </w:r>
            <w:r w:rsidRPr="00772B16">
              <w:rPr>
                <w:rFonts w:ascii="Tahoma" w:eastAsia="Arial" w:hAnsi="Tahoma" w:cs="Tahoma"/>
                <w:color w:val="000000"/>
                <w:vertAlign w:val="superscript"/>
              </w:rPr>
              <w:t>1</w:t>
            </w:r>
          </w:p>
        </w:tc>
        <w:tc>
          <w:tcPr>
            <w:tcW w:w="1181" w:type="dxa"/>
            <w:shd w:val="clear" w:color="auto" w:fill="FFFFFF"/>
            <w:tcMar>
              <w:top w:w="0" w:type="dxa"/>
              <w:left w:w="0" w:type="dxa"/>
              <w:bottom w:w="0" w:type="dxa"/>
              <w:right w:w="0" w:type="dxa"/>
            </w:tcMar>
            <w:vAlign w:val="center"/>
          </w:tcPr>
          <w:p w14:paraId="1974863F"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40" w:after="40"/>
              <w:ind w:left="100" w:right="100"/>
              <w:jc w:val="center"/>
              <w:rPr>
                <w:rFonts w:ascii="Tahoma" w:eastAsia="Arial" w:hAnsi="Tahoma" w:cs="Tahoma"/>
                <w:color w:val="000000"/>
              </w:rPr>
            </w:pPr>
            <w:r w:rsidRPr="00772B16">
              <w:rPr>
                <w:rFonts w:ascii="Tahoma" w:eastAsia="Arial" w:hAnsi="Tahoma" w:cs="Tahoma"/>
                <w:b/>
                <w:color w:val="000000"/>
              </w:rPr>
              <w:t>p-value</w:t>
            </w:r>
            <w:r w:rsidRPr="00772B16">
              <w:rPr>
                <w:rFonts w:ascii="Tahoma" w:eastAsia="Arial" w:hAnsi="Tahoma" w:cs="Tahoma"/>
                <w:color w:val="000000"/>
                <w:vertAlign w:val="superscript"/>
              </w:rPr>
              <w:t>2</w:t>
            </w:r>
          </w:p>
        </w:tc>
      </w:tr>
      <w:tr w:rsidR="006547C6" w:rsidRPr="00772B16" w14:paraId="07E941E2" w14:textId="77777777" w:rsidTr="00B226E7">
        <w:trPr>
          <w:jc w:val="center"/>
        </w:trPr>
        <w:tc>
          <w:tcPr>
            <w:tcW w:w="3259" w:type="dxa"/>
            <w:shd w:val="clear" w:color="auto" w:fill="FFFFFF"/>
            <w:tcMar>
              <w:top w:w="0" w:type="dxa"/>
              <w:left w:w="0" w:type="dxa"/>
              <w:bottom w:w="0" w:type="dxa"/>
              <w:right w:w="0" w:type="dxa"/>
            </w:tcMar>
          </w:tcPr>
          <w:p w14:paraId="3B2511B9" w14:textId="32E265B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Age, years</w:t>
            </w:r>
          </w:p>
        </w:tc>
        <w:tc>
          <w:tcPr>
            <w:tcW w:w="1487" w:type="dxa"/>
            <w:shd w:val="clear" w:color="auto" w:fill="FFFFFF"/>
            <w:tcMar>
              <w:top w:w="0" w:type="dxa"/>
              <w:left w:w="0" w:type="dxa"/>
              <w:bottom w:w="0" w:type="dxa"/>
              <w:right w:w="0" w:type="dxa"/>
            </w:tcMar>
          </w:tcPr>
          <w:p w14:paraId="1825B12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52.1 (18.8)</w:t>
            </w:r>
          </w:p>
        </w:tc>
        <w:tc>
          <w:tcPr>
            <w:tcW w:w="1487" w:type="dxa"/>
            <w:shd w:val="clear" w:color="auto" w:fill="FFFFFF"/>
            <w:tcMar>
              <w:top w:w="0" w:type="dxa"/>
              <w:left w:w="0" w:type="dxa"/>
              <w:bottom w:w="0" w:type="dxa"/>
              <w:right w:w="0" w:type="dxa"/>
            </w:tcMar>
          </w:tcPr>
          <w:p w14:paraId="790957C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54.8 (17.9)</w:t>
            </w:r>
          </w:p>
        </w:tc>
        <w:tc>
          <w:tcPr>
            <w:tcW w:w="1487" w:type="dxa"/>
            <w:shd w:val="clear" w:color="auto" w:fill="FFFFFF"/>
            <w:tcMar>
              <w:top w:w="0" w:type="dxa"/>
              <w:left w:w="0" w:type="dxa"/>
              <w:bottom w:w="0" w:type="dxa"/>
              <w:right w:w="0" w:type="dxa"/>
            </w:tcMar>
          </w:tcPr>
          <w:p w14:paraId="7678E20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49.6 (19.2)</w:t>
            </w:r>
          </w:p>
        </w:tc>
        <w:tc>
          <w:tcPr>
            <w:tcW w:w="1181" w:type="dxa"/>
            <w:shd w:val="clear" w:color="auto" w:fill="FFFFFF"/>
            <w:tcMar>
              <w:top w:w="0" w:type="dxa"/>
              <w:left w:w="0" w:type="dxa"/>
              <w:bottom w:w="0" w:type="dxa"/>
              <w:right w:w="0" w:type="dxa"/>
            </w:tcMar>
          </w:tcPr>
          <w:p w14:paraId="168503A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0.042</w:t>
            </w:r>
          </w:p>
        </w:tc>
      </w:tr>
      <w:tr w:rsidR="006547C6" w:rsidRPr="00772B16" w14:paraId="4CD45D89" w14:textId="77777777" w:rsidTr="00B226E7">
        <w:trPr>
          <w:jc w:val="center"/>
        </w:trPr>
        <w:tc>
          <w:tcPr>
            <w:tcW w:w="3259" w:type="dxa"/>
            <w:shd w:val="clear" w:color="auto" w:fill="FFFFFF"/>
            <w:tcMar>
              <w:top w:w="0" w:type="dxa"/>
              <w:left w:w="0" w:type="dxa"/>
              <w:bottom w:w="0" w:type="dxa"/>
              <w:right w:w="0" w:type="dxa"/>
            </w:tcMar>
          </w:tcPr>
          <w:p w14:paraId="1A914163"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Sex</w:t>
            </w:r>
          </w:p>
        </w:tc>
        <w:tc>
          <w:tcPr>
            <w:tcW w:w="1487" w:type="dxa"/>
            <w:shd w:val="clear" w:color="auto" w:fill="FFFFFF"/>
            <w:tcMar>
              <w:top w:w="0" w:type="dxa"/>
              <w:left w:w="0" w:type="dxa"/>
              <w:bottom w:w="0" w:type="dxa"/>
              <w:right w:w="0" w:type="dxa"/>
            </w:tcMar>
          </w:tcPr>
          <w:p w14:paraId="518634F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c>
          <w:tcPr>
            <w:tcW w:w="1487" w:type="dxa"/>
            <w:shd w:val="clear" w:color="auto" w:fill="FFFFFF"/>
            <w:tcMar>
              <w:top w:w="0" w:type="dxa"/>
              <w:left w:w="0" w:type="dxa"/>
              <w:bottom w:w="0" w:type="dxa"/>
              <w:right w:w="0" w:type="dxa"/>
            </w:tcMar>
          </w:tcPr>
          <w:p w14:paraId="24AB35A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c>
          <w:tcPr>
            <w:tcW w:w="1487" w:type="dxa"/>
            <w:shd w:val="clear" w:color="auto" w:fill="FFFFFF"/>
            <w:tcMar>
              <w:top w:w="0" w:type="dxa"/>
              <w:left w:w="0" w:type="dxa"/>
              <w:bottom w:w="0" w:type="dxa"/>
              <w:right w:w="0" w:type="dxa"/>
            </w:tcMar>
          </w:tcPr>
          <w:p w14:paraId="57356762"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c>
          <w:tcPr>
            <w:tcW w:w="1181" w:type="dxa"/>
            <w:shd w:val="clear" w:color="auto" w:fill="FFFFFF"/>
            <w:tcMar>
              <w:top w:w="0" w:type="dxa"/>
              <w:left w:w="0" w:type="dxa"/>
              <w:bottom w:w="0" w:type="dxa"/>
              <w:right w:w="0" w:type="dxa"/>
            </w:tcMar>
          </w:tcPr>
          <w:p w14:paraId="36CC0B25"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0.700</w:t>
            </w:r>
          </w:p>
        </w:tc>
      </w:tr>
      <w:tr w:rsidR="006547C6" w:rsidRPr="00772B16" w14:paraId="4EB49928" w14:textId="77777777" w:rsidTr="00B226E7">
        <w:trPr>
          <w:jc w:val="center"/>
        </w:trPr>
        <w:tc>
          <w:tcPr>
            <w:tcW w:w="3259" w:type="dxa"/>
            <w:shd w:val="clear" w:color="auto" w:fill="FFFFFF"/>
            <w:tcMar>
              <w:top w:w="0" w:type="dxa"/>
              <w:left w:w="0" w:type="dxa"/>
              <w:bottom w:w="0" w:type="dxa"/>
              <w:right w:w="0" w:type="dxa"/>
            </w:tcMar>
          </w:tcPr>
          <w:p w14:paraId="0A153B79"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300" w:right="100"/>
              <w:rPr>
                <w:rFonts w:ascii="Tahoma" w:eastAsia="Arial" w:hAnsi="Tahoma" w:cs="Tahoma"/>
                <w:bCs/>
                <w:color w:val="000000"/>
              </w:rPr>
            </w:pPr>
            <w:r w:rsidRPr="00E73031">
              <w:rPr>
                <w:rFonts w:ascii="Tahoma" w:eastAsia="Arial" w:hAnsi="Tahoma" w:cs="Tahoma"/>
                <w:bCs/>
                <w:color w:val="000000"/>
              </w:rPr>
              <w:t>Female</w:t>
            </w:r>
          </w:p>
        </w:tc>
        <w:tc>
          <w:tcPr>
            <w:tcW w:w="1487" w:type="dxa"/>
            <w:shd w:val="clear" w:color="auto" w:fill="FFFFFF"/>
            <w:tcMar>
              <w:top w:w="0" w:type="dxa"/>
              <w:left w:w="0" w:type="dxa"/>
              <w:bottom w:w="0" w:type="dxa"/>
              <w:right w:w="0" w:type="dxa"/>
            </w:tcMar>
          </w:tcPr>
          <w:p w14:paraId="6B97373E"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87 (42%)</w:t>
            </w:r>
          </w:p>
        </w:tc>
        <w:tc>
          <w:tcPr>
            <w:tcW w:w="1487" w:type="dxa"/>
            <w:shd w:val="clear" w:color="auto" w:fill="FFFFFF"/>
            <w:tcMar>
              <w:top w:w="0" w:type="dxa"/>
              <w:left w:w="0" w:type="dxa"/>
              <w:bottom w:w="0" w:type="dxa"/>
              <w:right w:w="0" w:type="dxa"/>
            </w:tcMar>
          </w:tcPr>
          <w:p w14:paraId="232F3EC2"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43 (43%)</w:t>
            </w:r>
          </w:p>
        </w:tc>
        <w:tc>
          <w:tcPr>
            <w:tcW w:w="1487" w:type="dxa"/>
            <w:shd w:val="clear" w:color="auto" w:fill="FFFFFF"/>
            <w:tcMar>
              <w:top w:w="0" w:type="dxa"/>
              <w:left w:w="0" w:type="dxa"/>
              <w:bottom w:w="0" w:type="dxa"/>
              <w:right w:w="0" w:type="dxa"/>
            </w:tcMar>
          </w:tcPr>
          <w:p w14:paraId="66876E6B"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44 (40%)</w:t>
            </w:r>
          </w:p>
        </w:tc>
        <w:tc>
          <w:tcPr>
            <w:tcW w:w="1181" w:type="dxa"/>
            <w:shd w:val="clear" w:color="auto" w:fill="FFFFFF"/>
            <w:tcMar>
              <w:top w:w="0" w:type="dxa"/>
              <w:left w:w="0" w:type="dxa"/>
              <w:bottom w:w="0" w:type="dxa"/>
              <w:right w:w="0" w:type="dxa"/>
            </w:tcMar>
          </w:tcPr>
          <w:p w14:paraId="74A3E5D2"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r>
      <w:tr w:rsidR="006547C6" w:rsidRPr="00772B16" w14:paraId="2CB39458" w14:textId="77777777" w:rsidTr="00B226E7">
        <w:trPr>
          <w:jc w:val="center"/>
        </w:trPr>
        <w:tc>
          <w:tcPr>
            <w:tcW w:w="3259" w:type="dxa"/>
            <w:shd w:val="clear" w:color="auto" w:fill="FFFFFF"/>
            <w:tcMar>
              <w:top w:w="0" w:type="dxa"/>
              <w:left w:w="0" w:type="dxa"/>
              <w:bottom w:w="0" w:type="dxa"/>
              <w:right w:w="0" w:type="dxa"/>
            </w:tcMar>
          </w:tcPr>
          <w:p w14:paraId="016474B8"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300" w:right="100"/>
              <w:rPr>
                <w:rFonts w:ascii="Tahoma" w:eastAsia="Arial" w:hAnsi="Tahoma" w:cs="Tahoma"/>
                <w:bCs/>
                <w:color w:val="000000"/>
              </w:rPr>
            </w:pPr>
            <w:r w:rsidRPr="00E73031">
              <w:rPr>
                <w:rFonts w:ascii="Tahoma" w:eastAsia="Arial" w:hAnsi="Tahoma" w:cs="Tahoma"/>
                <w:bCs/>
                <w:color w:val="000000"/>
              </w:rPr>
              <w:t>Male</w:t>
            </w:r>
          </w:p>
        </w:tc>
        <w:tc>
          <w:tcPr>
            <w:tcW w:w="1487" w:type="dxa"/>
            <w:shd w:val="clear" w:color="auto" w:fill="FFFFFF"/>
            <w:tcMar>
              <w:top w:w="0" w:type="dxa"/>
              <w:left w:w="0" w:type="dxa"/>
              <w:bottom w:w="0" w:type="dxa"/>
              <w:right w:w="0" w:type="dxa"/>
            </w:tcMar>
          </w:tcPr>
          <w:p w14:paraId="05DE5A8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122 (58%)</w:t>
            </w:r>
          </w:p>
        </w:tc>
        <w:tc>
          <w:tcPr>
            <w:tcW w:w="1487" w:type="dxa"/>
            <w:shd w:val="clear" w:color="auto" w:fill="FFFFFF"/>
            <w:tcMar>
              <w:top w:w="0" w:type="dxa"/>
              <w:left w:w="0" w:type="dxa"/>
              <w:bottom w:w="0" w:type="dxa"/>
              <w:right w:w="0" w:type="dxa"/>
            </w:tcMar>
          </w:tcPr>
          <w:p w14:paraId="3E4318C0"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57 (57%)</w:t>
            </w:r>
          </w:p>
        </w:tc>
        <w:tc>
          <w:tcPr>
            <w:tcW w:w="1487" w:type="dxa"/>
            <w:shd w:val="clear" w:color="auto" w:fill="FFFFFF"/>
            <w:tcMar>
              <w:top w:w="0" w:type="dxa"/>
              <w:left w:w="0" w:type="dxa"/>
              <w:bottom w:w="0" w:type="dxa"/>
              <w:right w:w="0" w:type="dxa"/>
            </w:tcMar>
          </w:tcPr>
          <w:p w14:paraId="2F1955D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65 (60%)</w:t>
            </w:r>
          </w:p>
        </w:tc>
        <w:tc>
          <w:tcPr>
            <w:tcW w:w="1181" w:type="dxa"/>
            <w:shd w:val="clear" w:color="auto" w:fill="FFFFFF"/>
            <w:tcMar>
              <w:top w:w="0" w:type="dxa"/>
              <w:left w:w="0" w:type="dxa"/>
              <w:bottom w:w="0" w:type="dxa"/>
              <w:right w:w="0" w:type="dxa"/>
            </w:tcMar>
          </w:tcPr>
          <w:p w14:paraId="79FE5298"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p>
        </w:tc>
      </w:tr>
      <w:tr w:rsidR="006547C6" w:rsidRPr="00772B16" w14:paraId="126532B7" w14:textId="77777777" w:rsidTr="00B226E7">
        <w:trPr>
          <w:jc w:val="center"/>
        </w:trPr>
        <w:tc>
          <w:tcPr>
            <w:tcW w:w="3259" w:type="dxa"/>
            <w:shd w:val="clear" w:color="auto" w:fill="FFFFFF"/>
            <w:tcMar>
              <w:top w:w="0" w:type="dxa"/>
              <w:left w:w="0" w:type="dxa"/>
              <w:bottom w:w="0" w:type="dxa"/>
              <w:right w:w="0" w:type="dxa"/>
            </w:tcMar>
          </w:tcPr>
          <w:p w14:paraId="004EC904"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Diabetes mellitus</w:t>
            </w:r>
          </w:p>
        </w:tc>
        <w:tc>
          <w:tcPr>
            <w:tcW w:w="1487" w:type="dxa"/>
            <w:shd w:val="clear" w:color="auto" w:fill="FFFFFF"/>
            <w:tcMar>
              <w:top w:w="0" w:type="dxa"/>
              <w:left w:w="0" w:type="dxa"/>
              <w:bottom w:w="0" w:type="dxa"/>
              <w:right w:w="0" w:type="dxa"/>
            </w:tcMar>
          </w:tcPr>
          <w:p w14:paraId="69825825"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45 (21.5%)</w:t>
            </w:r>
          </w:p>
        </w:tc>
        <w:tc>
          <w:tcPr>
            <w:tcW w:w="1487" w:type="dxa"/>
            <w:shd w:val="clear" w:color="auto" w:fill="FFFFFF"/>
            <w:tcMar>
              <w:top w:w="0" w:type="dxa"/>
              <w:left w:w="0" w:type="dxa"/>
              <w:bottom w:w="0" w:type="dxa"/>
              <w:right w:w="0" w:type="dxa"/>
            </w:tcMar>
          </w:tcPr>
          <w:p w14:paraId="487C7E66"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22 (22.0%)</w:t>
            </w:r>
          </w:p>
        </w:tc>
        <w:tc>
          <w:tcPr>
            <w:tcW w:w="1487" w:type="dxa"/>
            <w:shd w:val="clear" w:color="auto" w:fill="FFFFFF"/>
            <w:tcMar>
              <w:top w:w="0" w:type="dxa"/>
              <w:left w:w="0" w:type="dxa"/>
              <w:bottom w:w="0" w:type="dxa"/>
              <w:right w:w="0" w:type="dxa"/>
            </w:tcMar>
          </w:tcPr>
          <w:p w14:paraId="6B09FA0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23 (21.1%)</w:t>
            </w:r>
          </w:p>
        </w:tc>
        <w:tc>
          <w:tcPr>
            <w:tcW w:w="1181" w:type="dxa"/>
            <w:shd w:val="clear" w:color="auto" w:fill="FFFFFF"/>
            <w:tcMar>
              <w:top w:w="0" w:type="dxa"/>
              <w:left w:w="0" w:type="dxa"/>
              <w:bottom w:w="0" w:type="dxa"/>
              <w:right w:w="0" w:type="dxa"/>
            </w:tcMar>
          </w:tcPr>
          <w:p w14:paraId="78CAAD3F"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&gt;0.999</w:t>
            </w:r>
          </w:p>
        </w:tc>
      </w:tr>
      <w:tr w:rsidR="006547C6" w:rsidRPr="00772B16" w14:paraId="5CF90735" w14:textId="77777777" w:rsidTr="00B226E7">
        <w:trPr>
          <w:jc w:val="center"/>
        </w:trPr>
        <w:tc>
          <w:tcPr>
            <w:tcW w:w="3259" w:type="dxa"/>
            <w:shd w:val="clear" w:color="auto" w:fill="FFFFFF"/>
            <w:tcMar>
              <w:top w:w="0" w:type="dxa"/>
              <w:left w:w="0" w:type="dxa"/>
              <w:bottom w:w="0" w:type="dxa"/>
              <w:right w:w="0" w:type="dxa"/>
            </w:tcMar>
          </w:tcPr>
          <w:p w14:paraId="4F574E74"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Hypertension</w:t>
            </w:r>
          </w:p>
        </w:tc>
        <w:tc>
          <w:tcPr>
            <w:tcW w:w="1487" w:type="dxa"/>
            <w:shd w:val="clear" w:color="auto" w:fill="FFFFFF"/>
            <w:tcMar>
              <w:top w:w="0" w:type="dxa"/>
              <w:left w:w="0" w:type="dxa"/>
              <w:bottom w:w="0" w:type="dxa"/>
              <w:right w:w="0" w:type="dxa"/>
            </w:tcMar>
          </w:tcPr>
          <w:p w14:paraId="636985E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55 (26.3%)</w:t>
            </w:r>
          </w:p>
        </w:tc>
        <w:tc>
          <w:tcPr>
            <w:tcW w:w="1487" w:type="dxa"/>
            <w:shd w:val="clear" w:color="auto" w:fill="FFFFFF"/>
            <w:tcMar>
              <w:top w:w="0" w:type="dxa"/>
              <w:left w:w="0" w:type="dxa"/>
              <w:bottom w:w="0" w:type="dxa"/>
              <w:right w:w="0" w:type="dxa"/>
            </w:tcMar>
          </w:tcPr>
          <w:p w14:paraId="624350A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31 (31.0%)</w:t>
            </w:r>
          </w:p>
        </w:tc>
        <w:tc>
          <w:tcPr>
            <w:tcW w:w="1487" w:type="dxa"/>
            <w:shd w:val="clear" w:color="auto" w:fill="FFFFFF"/>
            <w:tcMar>
              <w:top w:w="0" w:type="dxa"/>
              <w:left w:w="0" w:type="dxa"/>
              <w:bottom w:w="0" w:type="dxa"/>
              <w:right w:w="0" w:type="dxa"/>
            </w:tcMar>
          </w:tcPr>
          <w:p w14:paraId="4B7AE18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24 (22.0%)</w:t>
            </w:r>
          </w:p>
        </w:tc>
        <w:tc>
          <w:tcPr>
            <w:tcW w:w="1181" w:type="dxa"/>
            <w:shd w:val="clear" w:color="auto" w:fill="FFFFFF"/>
            <w:tcMar>
              <w:top w:w="0" w:type="dxa"/>
              <w:left w:w="0" w:type="dxa"/>
              <w:bottom w:w="0" w:type="dxa"/>
              <w:right w:w="0" w:type="dxa"/>
            </w:tcMar>
          </w:tcPr>
          <w:p w14:paraId="442BBCDB"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0.188</w:t>
            </w:r>
          </w:p>
        </w:tc>
      </w:tr>
      <w:tr w:rsidR="006547C6" w:rsidRPr="00772B16" w14:paraId="4B3E71CC" w14:textId="77777777" w:rsidTr="00B226E7">
        <w:trPr>
          <w:jc w:val="center"/>
        </w:trPr>
        <w:tc>
          <w:tcPr>
            <w:tcW w:w="3259" w:type="dxa"/>
            <w:shd w:val="clear" w:color="auto" w:fill="FFFFFF"/>
            <w:tcMar>
              <w:top w:w="0" w:type="dxa"/>
              <w:left w:w="0" w:type="dxa"/>
              <w:bottom w:w="0" w:type="dxa"/>
              <w:right w:w="0" w:type="dxa"/>
            </w:tcMar>
          </w:tcPr>
          <w:p w14:paraId="58965A70"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Coronary heart disease</w:t>
            </w:r>
          </w:p>
        </w:tc>
        <w:tc>
          <w:tcPr>
            <w:tcW w:w="1487" w:type="dxa"/>
            <w:shd w:val="clear" w:color="auto" w:fill="FFFFFF"/>
            <w:tcMar>
              <w:top w:w="0" w:type="dxa"/>
              <w:left w:w="0" w:type="dxa"/>
              <w:bottom w:w="0" w:type="dxa"/>
              <w:right w:w="0" w:type="dxa"/>
            </w:tcMar>
          </w:tcPr>
          <w:p w14:paraId="1B1860E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32 (15.3%)</w:t>
            </w:r>
          </w:p>
        </w:tc>
        <w:tc>
          <w:tcPr>
            <w:tcW w:w="1487" w:type="dxa"/>
            <w:shd w:val="clear" w:color="auto" w:fill="FFFFFF"/>
            <w:tcMar>
              <w:top w:w="0" w:type="dxa"/>
              <w:left w:w="0" w:type="dxa"/>
              <w:bottom w:w="0" w:type="dxa"/>
              <w:right w:w="0" w:type="dxa"/>
            </w:tcMar>
          </w:tcPr>
          <w:p w14:paraId="1149DB61"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17 (17.0%)</w:t>
            </w:r>
          </w:p>
        </w:tc>
        <w:tc>
          <w:tcPr>
            <w:tcW w:w="1487" w:type="dxa"/>
            <w:shd w:val="clear" w:color="auto" w:fill="FFFFFF"/>
            <w:tcMar>
              <w:top w:w="0" w:type="dxa"/>
              <w:left w:w="0" w:type="dxa"/>
              <w:bottom w:w="0" w:type="dxa"/>
              <w:right w:w="0" w:type="dxa"/>
            </w:tcMar>
          </w:tcPr>
          <w:p w14:paraId="5971D5D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15 (13.8%)</w:t>
            </w:r>
          </w:p>
        </w:tc>
        <w:tc>
          <w:tcPr>
            <w:tcW w:w="1181" w:type="dxa"/>
            <w:shd w:val="clear" w:color="auto" w:fill="FFFFFF"/>
            <w:tcMar>
              <w:top w:w="0" w:type="dxa"/>
              <w:left w:w="0" w:type="dxa"/>
              <w:bottom w:w="0" w:type="dxa"/>
              <w:right w:w="0" w:type="dxa"/>
            </w:tcMar>
          </w:tcPr>
          <w:p w14:paraId="7F250BB1"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0.648</w:t>
            </w:r>
          </w:p>
        </w:tc>
      </w:tr>
      <w:tr w:rsidR="006547C6" w:rsidRPr="00772B16" w14:paraId="071A794D" w14:textId="77777777" w:rsidTr="00B226E7">
        <w:trPr>
          <w:jc w:val="center"/>
        </w:trPr>
        <w:tc>
          <w:tcPr>
            <w:tcW w:w="3259" w:type="dxa"/>
            <w:shd w:val="clear" w:color="auto" w:fill="FFFFFF"/>
            <w:tcMar>
              <w:top w:w="0" w:type="dxa"/>
              <w:left w:w="0" w:type="dxa"/>
              <w:bottom w:w="0" w:type="dxa"/>
              <w:right w:w="0" w:type="dxa"/>
            </w:tcMar>
          </w:tcPr>
          <w:p w14:paraId="35A0798C"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Chronic kidney disease</w:t>
            </w:r>
          </w:p>
        </w:tc>
        <w:tc>
          <w:tcPr>
            <w:tcW w:w="1487" w:type="dxa"/>
            <w:shd w:val="clear" w:color="auto" w:fill="FFFFFF"/>
            <w:tcMar>
              <w:top w:w="0" w:type="dxa"/>
              <w:left w:w="0" w:type="dxa"/>
              <w:bottom w:w="0" w:type="dxa"/>
              <w:right w:w="0" w:type="dxa"/>
            </w:tcMar>
          </w:tcPr>
          <w:p w14:paraId="6863D2E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 (1.4%)</w:t>
            </w:r>
          </w:p>
        </w:tc>
        <w:tc>
          <w:tcPr>
            <w:tcW w:w="1487" w:type="dxa"/>
            <w:shd w:val="clear" w:color="auto" w:fill="FFFFFF"/>
            <w:tcMar>
              <w:top w:w="0" w:type="dxa"/>
              <w:left w:w="0" w:type="dxa"/>
              <w:bottom w:w="0" w:type="dxa"/>
              <w:right w:w="0" w:type="dxa"/>
            </w:tcMar>
          </w:tcPr>
          <w:p w14:paraId="589F39C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 (1.0%)</w:t>
            </w:r>
          </w:p>
        </w:tc>
        <w:tc>
          <w:tcPr>
            <w:tcW w:w="1487" w:type="dxa"/>
            <w:shd w:val="clear" w:color="auto" w:fill="FFFFFF"/>
            <w:tcMar>
              <w:top w:w="0" w:type="dxa"/>
              <w:left w:w="0" w:type="dxa"/>
              <w:bottom w:w="0" w:type="dxa"/>
              <w:right w:w="0" w:type="dxa"/>
            </w:tcMar>
          </w:tcPr>
          <w:p w14:paraId="6F78F1F7"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 (1.9%)</w:t>
            </w:r>
          </w:p>
        </w:tc>
        <w:tc>
          <w:tcPr>
            <w:tcW w:w="1181" w:type="dxa"/>
            <w:shd w:val="clear" w:color="auto" w:fill="FFFFFF"/>
            <w:tcMar>
              <w:top w:w="0" w:type="dxa"/>
              <w:left w:w="0" w:type="dxa"/>
              <w:bottom w:w="0" w:type="dxa"/>
              <w:right w:w="0" w:type="dxa"/>
            </w:tcMar>
          </w:tcPr>
          <w:p w14:paraId="0DE78D0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&gt;0.999</w:t>
            </w:r>
          </w:p>
        </w:tc>
      </w:tr>
      <w:tr w:rsidR="006547C6" w:rsidRPr="00772B16" w14:paraId="6E0E7229" w14:textId="77777777" w:rsidTr="00B226E7">
        <w:trPr>
          <w:jc w:val="center"/>
        </w:trPr>
        <w:tc>
          <w:tcPr>
            <w:tcW w:w="3259" w:type="dxa"/>
            <w:shd w:val="clear" w:color="auto" w:fill="FFFFFF"/>
            <w:tcMar>
              <w:top w:w="0" w:type="dxa"/>
              <w:left w:w="0" w:type="dxa"/>
              <w:bottom w:w="0" w:type="dxa"/>
              <w:right w:w="0" w:type="dxa"/>
            </w:tcMar>
          </w:tcPr>
          <w:p w14:paraId="1DAC2916"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Chronic pulmonary disease</w:t>
            </w:r>
          </w:p>
        </w:tc>
        <w:tc>
          <w:tcPr>
            <w:tcW w:w="1487" w:type="dxa"/>
            <w:shd w:val="clear" w:color="auto" w:fill="FFFFFF"/>
            <w:tcMar>
              <w:top w:w="0" w:type="dxa"/>
              <w:left w:w="0" w:type="dxa"/>
              <w:bottom w:w="0" w:type="dxa"/>
              <w:right w:w="0" w:type="dxa"/>
            </w:tcMar>
          </w:tcPr>
          <w:p w14:paraId="70B0E79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 (1.4%)</w:t>
            </w:r>
          </w:p>
        </w:tc>
        <w:tc>
          <w:tcPr>
            <w:tcW w:w="1487" w:type="dxa"/>
            <w:shd w:val="clear" w:color="auto" w:fill="FFFFFF"/>
            <w:tcMar>
              <w:top w:w="0" w:type="dxa"/>
              <w:left w:w="0" w:type="dxa"/>
              <w:bottom w:w="0" w:type="dxa"/>
              <w:right w:w="0" w:type="dxa"/>
            </w:tcMar>
          </w:tcPr>
          <w:p w14:paraId="4DB25BD5"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 (2.0%)</w:t>
            </w:r>
          </w:p>
        </w:tc>
        <w:tc>
          <w:tcPr>
            <w:tcW w:w="1487" w:type="dxa"/>
            <w:shd w:val="clear" w:color="auto" w:fill="FFFFFF"/>
            <w:tcMar>
              <w:top w:w="0" w:type="dxa"/>
              <w:left w:w="0" w:type="dxa"/>
              <w:bottom w:w="0" w:type="dxa"/>
              <w:right w:w="0" w:type="dxa"/>
            </w:tcMar>
          </w:tcPr>
          <w:p w14:paraId="4E79E680"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 (0.9%)</w:t>
            </w:r>
          </w:p>
        </w:tc>
        <w:tc>
          <w:tcPr>
            <w:tcW w:w="1181" w:type="dxa"/>
            <w:shd w:val="clear" w:color="auto" w:fill="FFFFFF"/>
            <w:tcMar>
              <w:top w:w="0" w:type="dxa"/>
              <w:left w:w="0" w:type="dxa"/>
              <w:bottom w:w="0" w:type="dxa"/>
              <w:right w:w="0" w:type="dxa"/>
            </w:tcMar>
          </w:tcPr>
          <w:p w14:paraId="358C9A76"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0.940</w:t>
            </w:r>
          </w:p>
        </w:tc>
      </w:tr>
      <w:tr w:rsidR="006547C6" w:rsidRPr="00772B16" w14:paraId="5BBE622F" w14:textId="77777777" w:rsidTr="00B226E7">
        <w:trPr>
          <w:jc w:val="center"/>
        </w:trPr>
        <w:tc>
          <w:tcPr>
            <w:tcW w:w="3259" w:type="dxa"/>
            <w:shd w:val="clear" w:color="auto" w:fill="FFFFFF"/>
            <w:tcMar>
              <w:top w:w="0" w:type="dxa"/>
              <w:left w:w="0" w:type="dxa"/>
              <w:bottom w:w="0" w:type="dxa"/>
              <w:right w:w="0" w:type="dxa"/>
            </w:tcMar>
          </w:tcPr>
          <w:p w14:paraId="3B3E922B" w14:textId="49BCFCAD" w:rsidR="006547C6" w:rsidRPr="00E73031" w:rsidRDefault="006547C6" w:rsidP="00C2690F">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High BMI</w:t>
            </w:r>
            <w:r w:rsidR="00C2690F">
              <w:rPr>
                <w:rFonts w:ascii="Tahoma" w:eastAsia="Arial" w:hAnsi="Tahoma" w:cs="Tahoma"/>
                <w:bCs/>
                <w:color w:val="000000"/>
              </w:rPr>
              <w:t xml:space="preserve"> (</w:t>
            </w:r>
            <w:r w:rsidR="00C2690F" w:rsidRPr="00C2690F">
              <w:rPr>
                <w:rFonts w:ascii="Tahoma" w:eastAsia="Arial" w:hAnsi="Tahoma" w:cs="Tahoma"/>
                <w:bCs/>
                <w:color w:val="000000"/>
              </w:rPr>
              <w:t>≥</w:t>
            </w:r>
            <w:r w:rsidR="00C2690F">
              <w:rPr>
                <w:rFonts w:ascii="Tahoma" w:eastAsia="Arial" w:hAnsi="Tahoma" w:cs="Tahoma"/>
                <w:bCs/>
                <w:color w:val="000000"/>
              </w:rPr>
              <w:t>25)</w:t>
            </w:r>
          </w:p>
        </w:tc>
        <w:tc>
          <w:tcPr>
            <w:tcW w:w="1487" w:type="dxa"/>
            <w:shd w:val="clear" w:color="auto" w:fill="FFFFFF"/>
            <w:tcMar>
              <w:top w:w="0" w:type="dxa"/>
              <w:left w:w="0" w:type="dxa"/>
              <w:bottom w:w="0" w:type="dxa"/>
              <w:right w:w="0" w:type="dxa"/>
            </w:tcMar>
          </w:tcPr>
          <w:p w14:paraId="6A7A5E7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86 (41.1%)</w:t>
            </w:r>
          </w:p>
        </w:tc>
        <w:tc>
          <w:tcPr>
            <w:tcW w:w="1487" w:type="dxa"/>
            <w:shd w:val="clear" w:color="auto" w:fill="FFFFFF"/>
            <w:tcMar>
              <w:top w:w="0" w:type="dxa"/>
              <w:left w:w="0" w:type="dxa"/>
              <w:bottom w:w="0" w:type="dxa"/>
              <w:right w:w="0" w:type="dxa"/>
            </w:tcMar>
          </w:tcPr>
          <w:p w14:paraId="7386520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48 (48.0%)</w:t>
            </w:r>
          </w:p>
        </w:tc>
        <w:tc>
          <w:tcPr>
            <w:tcW w:w="1487" w:type="dxa"/>
            <w:shd w:val="clear" w:color="auto" w:fill="FFFFFF"/>
            <w:tcMar>
              <w:top w:w="0" w:type="dxa"/>
              <w:left w:w="0" w:type="dxa"/>
              <w:bottom w:w="0" w:type="dxa"/>
              <w:right w:w="0" w:type="dxa"/>
            </w:tcMar>
          </w:tcPr>
          <w:p w14:paraId="03056768"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38 (34.9%)</w:t>
            </w:r>
          </w:p>
        </w:tc>
        <w:tc>
          <w:tcPr>
            <w:tcW w:w="1181" w:type="dxa"/>
            <w:shd w:val="clear" w:color="auto" w:fill="FFFFFF"/>
            <w:tcMar>
              <w:top w:w="0" w:type="dxa"/>
              <w:left w:w="0" w:type="dxa"/>
              <w:bottom w:w="0" w:type="dxa"/>
              <w:right w:w="0" w:type="dxa"/>
            </w:tcMar>
          </w:tcPr>
          <w:p w14:paraId="015CAF51"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0.074</w:t>
            </w:r>
          </w:p>
        </w:tc>
      </w:tr>
      <w:tr w:rsidR="006547C6" w:rsidRPr="00772B16" w14:paraId="61DDB827" w14:textId="77777777" w:rsidTr="00B226E7">
        <w:trPr>
          <w:jc w:val="center"/>
        </w:trPr>
        <w:tc>
          <w:tcPr>
            <w:tcW w:w="3259" w:type="dxa"/>
            <w:shd w:val="clear" w:color="auto" w:fill="FFFFFF"/>
            <w:tcMar>
              <w:top w:w="0" w:type="dxa"/>
              <w:left w:w="0" w:type="dxa"/>
              <w:bottom w:w="0" w:type="dxa"/>
              <w:right w:w="0" w:type="dxa"/>
            </w:tcMar>
          </w:tcPr>
          <w:p w14:paraId="31C998E9" w14:textId="1C41164D"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Smoking</w:t>
            </w:r>
          </w:p>
        </w:tc>
        <w:tc>
          <w:tcPr>
            <w:tcW w:w="1487" w:type="dxa"/>
            <w:shd w:val="clear" w:color="auto" w:fill="FFFFFF"/>
            <w:tcMar>
              <w:top w:w="0" w:type="dxa"/>
              <w:left w:w="0" w:type="dxa"/>
              <w:bottom w:w="0" w:type="dxa"/>
              <w:right w:w="0" w:type="dxa"/>
            </w:tcMar>
          </w:tcPr>
          <w:p w14:paraId="1DFBE256"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92 (44.0%)</w:t>
            </w:r>
          </w:p>
        </w:tc>
        <w:tc>
          <w:tcPr>
            <w:tcW w:w="1487" w:type="dxa"/>
            <w:shd w:val="clear" w:color="auto" w:fill="FFFFFF"/>
            <w:tcMar>
              <w:top w:w="0" w:type="dxa"/>
              <w:left w:w="0" w:type="dxa"/>
              <w:bottom w:w="0" w:type="dxa"/>
              <w:right w:w="0" w:type="dxa"/>
            </w:tcMar>
          </w:tcPr>
          <w:p w14:paraId="6326BFD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36 (36.0%)</w:t>
            </w:r>
          </w:p>
        </w:tc>
        <w:tc>
          <w:tcPr>
            <w:tcW w:w="1487" w:type="dxa"/>
            <w:shd w:val="clear" w:color="auto" w:fill="FFFFFF"/>
            <w:tcMar>
              <w:top w:w="0" w:type="dxa"/>
              <w:left w:w="0" w:type="dxa"/>
              <w:bottom w:w="0" w:type="dxa"/>
              <w:right w:w="0" w:type="dxa"/>
            </w:tcMar>
          </w:tcPr>
          <w:p w14:paraId="609AFA6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56 (51.4%)</w:t>
            </w:r>
          </w:p>
        </w:tc>
        <w:tc>
          <w:tcPr>
            <w:tcW w:w="1181" w:type="dxa"/>
            <w:shd w:val="clear" w:color="auto" w:fill="FFFFFF"/>
            <w:tcMar>
              <w:top w:w="0" w:type="dxa"/>
              <w:left w:w="0" w:type="dxa"/>
              <w:bottom w:w="0" w:type="dxa"/>
              <w:right w:w="0" w:type="dxa"/>
            </w:tcMar>
          </w:tcPr>
          <w:p w14:paraId="3484B342"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0.036</w:t>
            </w:r>
          </w:p>
        </w:tc>
      </w:tr>
      <w:tr w:rsidR="006547C6" w:rsidRPr="00772B16" w14:paraId="764736A0" w14:textId="77777777" w:rsidTr="00B226E7">
        <w:trPr>
          <w:jc w:val="center"/>
        </w:trPr>
        <w:tc>
          <w:tcPr>
            <w:tcW w:w="3259" w:type="dxa"/>
            <w:shd w:val="clear" w:color="auto" w:fill="FFFFFF"/>
            <w:tcMar>
              <w:top w:w="0" w:type="dxa"/>
              <w:left w:w="0" w:type="dxa"/>
              <w:bottom w:w="0" w:type="dxa"/>
              <w:right w:w="0" w:type="dxa"/>
            </w:tcMar>
          </w:tcPr>
          <w:p w14:paraId="11EE8D75"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Peripheral vascular disease</w:t>
            </w:r>
          </w:p>
        </w:tc>
        <w:tc>
          <w:tcPr>
            <w:tcW w:w="1487" w:type="dxa"/>
            <w:shd w:val="clear" w:color="auto" w:fill="FFFFFF"/>
            <w:tcMar>
              <w:top w:w="0" w:type="dxa"/>
              <w:left w:w="0" w:type="dxa"/>
              <w:bottom w:w="0" w:type="dxa"/>
              <w:right w:w="0" w:type="dxa"/>
            </w:tcMar>
          </w:tcPr>
          <w:p w14:paraId="07B57A7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7 (3.3%)</w:t>
            </w:r>
          </w:p>
        </w:tc>
        <w:tc>
          <w:tcPr>
            <w:tcW w:w="1487" w:type="dxa"/>
            <w:shd w:val="clear" w:color="auto" w:fill="FFFFFF"/>
            <w:tcMar>
              <w:top w:w="0" w:type="dxa"/>
              <w:left w:w="0" w:type="dxa"/>
              <w:bottom w:w="0" w:type="dxa"/>
              <w:right w:w="0" w:type="dxa"/>
            </w:tcMar>
          </w:tcPr>
          <w:p w14:paraId="5827696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6 (6.0%)</w:t>
            </w:r>
          </w:p>
        </w:tc>
        <w:tc>
          <w:tcPr>
            <w:tcW w:w="1487" w:type="dxa"/>
            <w:shd w:val="clear" w:color="auto" w:fill="FFFFFF"/>
            <w:tcMar>
              <w:top w:w="0" w:type="dxa"/>
              <w:left w:w="0" w:type="dxa"/>
              <w:bottom w:w="0" w:type="dxa"/>
              <w:right w:w="0" w:type="dxa"/>
            </w:tcMar>
          </w:tcPr>
          <w:p w14:paraId="7B03E6F7"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 (0.9%)</w:t>
            </w:r>
          </w:p>
        </w:tc>
        <w:tc>
          <w:tcPr>
            <w:tcW w:w="1181" w:type="dxa"/>
            <w:shd w:val="clear" w:color="auto" w:fill="FFFFFF"/>
            <w:tcMar>
              <w:top w:w="0" w:type="dxa"/>
              <w:left w:w="0" w:type="dxa"/>
              <w:bottom w:w="0" w:type="dxa"/>
              <w:right w:w="0" w:type="dxa"/>
            </w:tcMar>
          </w:tcPr>
          <w:p w14:paraId="5FC07B4E"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0.098</w:t>
            </w:r>
          </w:p>
        </w:tc>
      </w:tr>
      <w:tr w:rsidR="006547C6" w:rsidRPr="00772B16" w14:paraId="4EDBA863" w14:textId="77777777" w:rsidTr="00B226E7">
        <w:trPr>
          <w:jc w:val="center"/>
        </w:trPr>
        <w:tc>
          <w:tcPr>
            <w:tcW w:w="3259" w:type="dxa"/>
            <w:shd w:val="clear" w:color="auto" w:fill="FFFFFF"/>
            <w:tcMar>
              <w:top w:w="0" w:type="dxa"/>
              <w:left w:w="0" w:type="dxa"/>
              <w:bottom w:w="0" w:type="dxa"/>
              <w:right w:w="0" w:type="dxa"/>
            </w:tcMar>
          </w:tcPr>
          <w:p w14:paraId="2507896B"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Prior history of DVT</w:t>
            </w:r>
          </w:p>
        </w:tc>
        <w:tc>
          <w:tcPr>
            <w:tcW w:w="1487" w:type="dxa"/>
            <w:shd w:val="clear" w:color="auto" w:fill="FFFFFF"/>
            <w:tcMar>
              <w:top w:w="0" w:type="dxa"/>
              <w:left w:w="0" w:type="dxa"/>
              <w:bottom w:w="0" w:type="dxa"/>
              <w:right w:w="0" w:type="dxa"/>
            </w:tcMar>
          </w:tcPr>
          <w:p w14:paraId="2D2F99E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 (2.4%)</w:t>
            </w:r>
          </w:p>
        </w:tc>
        <w:tc>
          <w:tcPr>
            <w:tcW w:w="1487" w:type="dxa"/>
            <w:shd w:val="clear" w:color="auto" w:fill="FFFFFF"/>
            <w:tcMar>
              <w:top w:w="0" w:type="dxa"/>
              <w:left w:w="0" w:type="dxa"/>
              <w:bottom w:w="0" w:type="dxa"/>
              <w:right w:w="0" w:type="dxa"/>
            </w:tcMar>
          </w:tcPr>
          <w:p w14:paraId="1630DA96"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 (1.0%)</w:t>
            </w:r>
          </w:p>
        </w:tc>
        <w:tc>
          <w:tcPr>
            <w:tcW w:w="1487" w:type="dxa"/>
            <w:shd w:val="clear" w:color="auto" w:fill="FFFFFF"/>
            <w:tcMar>
              <w:top w:w="0" w:type="dxa"/>
              <w:left w:w="0" w:type="dxa"/>
              <w:bottom w:w="0" w:type="dxa"/>
              <w:right w:w="0" w:type="dxa"/>
            </w:tcMar>
          </w:tcPr>
          <w:p w14:paraId="6B3E7CE3"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 (3.7%)</w:t>
            </w:r>
          </w:p>
        </w:tc>
        <w:tc>
          <w:tcPr>
            <w:tcW w:w="1181" w:type="dxa"/>
            <w:shd w:val="clear" w:color="auto" w:fill="FFFFFF"/>
            <w:tcMar>
              <w:top w:w="0" w:type="dxa"/>
              <w:left w:w="0" w:type="dxa"/>
              <w:bottom w:w="0" w:type="dxa"/>
              <w:right w:w="0" w:type="dxa"/>
            </w:tcMar>
          </w:tcPr>
          <w:p w14:paraId="574A0CD8"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0.419</w:t>
            </w:r>
          </w:p>
        </w:tc>
      </w:tr>
      <w:tr w:rsidR="006547C6" w:rsidRPr="00772B16" w14:paraId="24B0C487" w14:textId="77777777" w:rsidTr="00B226E7">
        <w:trPr>
          <w:jc w:val="center"/>
        </w:trPr>
        <w:tc>
          <w:tcPr>
            <w:tcW w:w="3259" w:type="dxa"/>
            <w:shd w:val="clear" w:color="auto" w:fill="FFFFFF"/>
            <w:tcMar>
              <w:top w:w="0" w:type="dxa"/>
              <w:left w:w="0" w:type="dxa"/>
              <w:bottom w:w="0" w:type="dxa"/>
              <w:right w:w="0" w:type="dxa"/>
            </w:tcMar>
          </w:tcPr>
          <w:p w14:paraId="5BD7C9B6"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Coagulation disorder</w:t>
            </w:r>
          </w:p>
        </w:tc>
        <w:tc>
          <w:tcPr>
            <w:tcW w:w="1487" w:type="dxa"/>
            <w:shd w:val="clear" w:color="auto" w:fill="FFFFFF"/>
            <w:tcMar>
              <w:top w:w="0" w:type="dxa"/>
              <w:left w:w="0" w:type="dxa"/>
              <w:bottom w:w="0" w:type="dxa"/>
              <w:right w:w="0" w:type="dxa"/>
            </w:tcMar>
          </w:tcPr>
          <w:p w14:paraId="00622C9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 (1.9%)</w:t>
            </w:r>
          </w:p>
        </w:tc>
        <w:tc>
          <w:tcPr>
            <w:tcW w:w="1487" w:type="dxa"/>
            <w:shd w:val="clear" w:color="auto" w:fill="FFFFFF"/>
            <w:tcMar>
              <w:top w:w="0" w:type="dxa"/>
              <w:left w:w="0" w:type="dxa"/>
              <w:bottom w:w="0" w:type="dxa"/>
              <w:right w:w="0" w:type="dxa"/>
            </w:tcMar>
          </w:tcPr>
          <w:p w14:paraId="5155CF7C"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 (1.0%)</w:t>
            </w:r>
          </w:p>
        </w:tc>
        <w:tc>
          <w:tcPr>
            <w:tcW w:w="1487" w:type="dxa"/>
            <w:shd w:val="clear" w:color="auto" w:fill="FFFFFF"/>
            <w:tcMar>
              <w:top w:w="0" w:type="dxa"/>
              <w:left w:w="0" w:type="dxa"/>
              <w:bottom w:w="0" w:type="dxa"/>
              <w:right w:w="0" w:type="dxa"/>
            </w:tcMar>
          </w:tcPr>
          <w:p w14:paraId="6405A316"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 (2.8%)</w:t>
            </w:r>
          </w:p>
        </w:tc>
        <w:tc>
          <w:tcPr>
            <w:tcW w:w="1181" w:type="dxa"/>
            <w:shd w:val="clear" w:color="auto" w:fill="FFFFFF"/>
            <w:tcMar>
              <w:top w:w="0" w:type="dxa"/>
              <w:left w:w="0" w:type="dxa"/>
              <w:bottom w:w="0" w:type="dxa"/>
              <w:right w:w="0" w:type="dxa"/>
            </w:tcMar>
          </w:tcPr>
          <w:p w14:paraId="474E5F7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0.676</w:t>
            </w:r>
          </w:p>
        </w:tc>
      </w:tr>
      <w:tr w:rsidR="006547C6" w:rsidRPr="00772B16" w14:paraId="2CA82A31" w14:textId="77777777" w:rsidTr="00B226E7">
        <w:trPr>
          <w:jc w:val="center"/>
        </w:trPr>
        <w:tc>
          <w:tcPr>
            <w:tcW w:w="3259" w:type="dxa"/>
            <w:shd w:val="clear" w:color="auto" w:fill="FFFFFF"/>
            <w:tcMar>
              <w:top w:w="0" w:type="dxa"/>
              <w:left w:w="0" w:type="dxa"/>
              <w:bottom w:w="0" w:type="dxa"/>
              <w:right w:w="0" w:type="dxa"/>
            </w:tcMar>
          </w:tcPr>
          <w:p w14:paraId="2C702B49"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History of malignancy</w:t>
            </w:r>
          </w:p>
        </w:tc>
        <w:tc>
          <w:tcPr>
            <w:tcW w:w="1487" w:type="dxa"/>
            <w:shd w:val="clear" w:color="auto" w:fill="FFFFFF"/>
            <w:tcMar>
              <w:top w:w="0" w:type="dxa"/>
              <w:left w:w="0" w:type="dxa"/>
              <w:bottom w:w="0" w:type="dxa"/>
              <w:right w:w="0" w:type="dxa"/>
            </w:tcMar>
          </w:tcPr>
          <w:p w14:paraId="66396ADB"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5 (2.4%)</w:t>
            </w:r>
          </w:p>
        </w:tc>
        <w:tc>
          <w:tcPr>
            <w:tcW w:w="1487" w:type="dxa"/>
            <w:shd w:val="clear" w:color="auto" w:fill="FFFFFF"/>
            <w:tcMar>
              <w:top w:w="0" w:type="dxa"/>
              <w:left w:w="0" w:type="dxa"/>
              <w:bottom w:w="0" w:type="dxa"/>
              <w:right w:w="0" w:type="dxa"/>
            </w:tcMar>
          </w:tcPr>
          <w:p w14:paraId="43C53D82"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 (2.0%)</w:t>
            </w:r>
          </w:p>
        </w:tc>
        <w:tc>
          <w:tcPr>
            <w:tcW w:w="1487" w:type="dxa"/>
            <w:shd w:val="clear" w:color="auto" w:fill="FFFFFF"/>
            <w:tcMar>
              <w:top w:w="0" w:type="dxa"/>
              <w:left w:w="0" w:type="dxa"/>
              <w:bottom w:w="0" w:type="dxa"/>
              <w:right w:w="0" w:type="dxa"/>
            </w:tcMar>
          </w:tcPr>
          <w:p w14:paraId="00D577ED"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3 (2.8%)</w:t>
            </w:r>
          </w:p>
        </w:tc>
        <w:tc>
          <w:tcPr>
            <w:tcW w:w="1181" w:type="dxa"/>
            <w:shd w:val="clear" w:color="auto" w:fill="FFFFFF"/>
            <w:tcMar>
              <w:top w:w="0" w:type="dxa"/>
              <w:left w:w="0" w:type="dxa"/>
              <w:bottom w:w="0" w:type="dxa"/>
              <w:right w:w="0" w:type="dxa"/>
            </w:tcMar>
          </w:tcPr>
          <w:p w14:paraId="18666E75"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&gt;0.999</w:t>
            </w:r>
          </w:p>
        </w:tc>
      </w:tr>
      <w:tr w:rsidR="006547C6" w:rsidRPr="00772B16" w14:paraId="3358E3B7" w14:textId="77777777" w:rsidTr="00B226E7">
        <w:trPr>
          <w:jc w:val="center"/>
        </w:trPr>
        <w:tc>
          <w:tcPr>
            <w:tcW w:w="3259" w:type="dxa"/>
            <w:tcBorders>
              <w:bottom w:val="single" w:sz="8" w:space="0" w:color="000000" w:themeColor="text1"/>
            </w:tcBorders>
            <w:shd w:val="clear" w:color="auto" w:fill="FFFFFF"/>
            <w:tcMar>
              <w:top w:w="0" w:type="dxa"/>
              <w:left w:w="0" w:type="dxa"/>
              <w:bottom w:w="0" w:type="dxa"/>
              <w:right w:w="0" w:type="dxa"/>
            </w:tcMar>
          </w:tcPr>
          <w:p w14:paraId="4A6754CE" w14:textId="77777777" w:rsidR="006547C6" w:rsidRPr="00E73031"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Cs/>
                <w:color w:val="000000"/>
              </w:rPr>
            </w:pPr>
            <w:r w:rsidRPr="00E73031">
              <w:rPr>
                <w:rFonts w:ascii="Tahoma" w:eastAsia="Arial" w:hAnsi="Tahoma" w:cs="Tahoma"/>
                <w:bCs/>
                <w:color w:val="000000"/>
              </w:rPr>
              <w:t>Pre-operative DVT confirmed</w:t>
            </w:r>
          </w:p>
        </w:tc>
        <w:tc>
          <w:tcPr>
            <w:tcW w:w="1487" w:type="dxa"/>
            <w:tcBorders>
              <w:bottom w:val="single" w:sz="8" w:space="0" w:color="000000" w:themeColor="text1"/>
            </w:tcBorders>
            <w:shd w:val="clear" w:color="auto" w:fill="FFFFFF"/>
            <w:tcMar>
              <w:top w:w="0" w:type="dxa"/>
              <w:left w:w="0" w:type="dxa"/>
              <w:bottom w:w="0" w:type="dxa"/>
              <w:right w:w="0" w:type="dxa"/>
            </w:tcMar>
          </w:tcPr>
          <w:p w14:paraId="792D5177"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43 (20.6%)</w:t>
            </w:r>
          </w:p>
        </w:tc>
        <w:tc>
          <w:tcPr>
            <w:tcW w:w="1487" w:type="dxa"/>
            <w:tcBorders>
              <w:bottom w:val="single" w:sz="8" w:space="0" w:color="000000" w:themeColor="text1"/>
            </w:tcBorders>
            <w:shd w:val="clear" w:color="auto" w:fill="FFFFFF"/>
            <w:tcMar>
              <w:top w:w="0" w:type="dxa"/>
              <w:left w:w="0" w:type="dxa"/>
              <w:bottom w:w="0" w:type="dxa"/>
              <w:right w:w="0" w:type="dxa"/>
            </w:tcMar>
          </w:tcPr>
          <w:p w14:paraId="5A9B36AB"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29 (29.0%)</w:t>
            </w:r>
          </w:p>
        </w:tc>
        <w:tc>
          <w:tcPr>
            <w:tcW w:w="1487" w:type="dxa"/>
            <w:tcBorders>
              <w:bottom w:val="single" w:sz="8" w:space="0" w:color="000000" w:themeColor="text1"/>
            </w:tcBorders>
            <w:shd w:val="clear" w:color="auto" w:fill="FFFFFF"/>
            <w:tcMar>
              <w:top w:w="0" w:type="dxa"/>
              <w:left w:w="0" w:type="dxa"/>
              <w:bottom w:w="0" w:type="dxa"/>
              <w:right w:w="0" w:type="dxa"/>
            </w:tcMar>
          </w:tcPr>
          <w:p w14:paraId="0F8D2274"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14 (12.8%)</w:t>
            </w:r>
          </w:p>
        </w:tc>
        <w:tc>
          <w:tcPr>
            <w:tcW w:w="1181" w:type="dxa"/>
            <w:tcBorders>
              <w:bottom w:val="single" w:sz="8" w:space="0" w:color="000000" w:themeColor="text1"/>
            </w:tcBorders>
            <w:shd w:val="clear" w:color="auto" w:fill="FFFFFF"/>
            <w:tcMar>
              <w:top w:w="0" w:type="dxa"/>
              <w:left w:w="0" w:type="dxa"/>
              <w:bottom w:w="0" w:type="dxa"/>
              <w:right w:w="0" w:type="dxa"/>
            </w:tcMar>
          </w:tcPr>
          <w:p w14:paraId="346F77EF"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jc w:val="center"/>
              <w:rPr>
                <w:rFonts w:ascii="Tahoma" w:eastAsia="Arial" w:hAnsi="Tahoma" w:cs="Tahoma"/>
                <w:color w:val="000000"/>
              </w:rPr>
            </w:pPr>
            <w:r w:rsidRPr="00772B16">
              <w:rPr>
                <w:rFonts w:ascii="Tahoma" w:eastAsia="Arial" w:hAnsi="Tahoma" w:cs="Tahoma"/>
                <w:color w:val="000000"/>
              </w:rPr>
              <w:t>0.007</w:t>
            </w:r>
          </w:p>
        </w:tc>
      </w:tr>
      <w:tr w:rsidR="006547C6" w:rsidRPr="00772B16" w14:paraId="40DEA032" w14:textId="77777777" w:rsidTr="00B226E7">
        <w:trPr>
          <w:jc w:val="center"/>
        </w:trPr>
        <w:tc>
          <w:tcPr>
            <w:tcW w:w="8901" w:type="dxa"/>
            <w:gridSpan w:val="5"/>
            <w:tcBorders>
              <w:bottom w:val="nil"/>
            </w:tcBorders>
            <w:shd w:val="clear" w:color="auto" w:fill="FFFFFF"/>
            <w:tcMar>
              <w:top w:w="0" w:type="dxa"/>
              <w:left w:w="0" w:type="dxa"/>
              <w:bottom w:w="0" w:type="dxa"/>
              <w:right w:w="0" w:type="dxa"/>
            </w:tcMar>
            <w:vAlign w:val="center"/>
          </w:tcPr>
          <w:p w14:paraId="7424BFCA"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772B16">
              <w:rPr>
                <w:rFonts w:ascii="Tahoma" w:eastAsia="Arial" w:hAnsi="Tahoma" w:cs="Tahoma"/>
                <w:color w:val="000000"/>
                <w:vertAlign w:val="superscript"/>
              </w:rPr>
              <w:t>1</w:t>
            </w:r>
            <w:r w:rsidRPr="00772B16">
              <w:rPr>
                <w:rFonts w:ascii="Tahoma" w:eastAsia="Arial" w:hAnsi="Tahoma" w:cs="Tahoma"/>
                <w:color w:val="000000"/>
              </w:rPr>
              <w:t>Mean (SD); n (%)</w:t>
            </w:r>
          </w:p>
        </w:tc>
      </w:tr>
      <w:tr w:rsidR="006547C6" w:rsidRPr="00772B16" w14:paraId="1E3C34C4" w14:textId="77777777" w:rsidTr="00B226E7">
        <w:trPr>
          <w:jc w:val="center"/>
        </w:trPr>
        <w:tc>
          <w:tcPr>
            <w:tcW w:w="8901" w:type="dxa"/>
            <w:gridSpan w:val="5"/>
            <w:tcBorders>
              <w:top w:val="nil"/>
            </w:tcBorders>
            <w:shd w:val="clear" w:color="auto" w:fill="FFFFFF"/>
            <w:tcMar>
              <w:top w:w="0" w:type="dxa"/>
              <w:left w:w="0" w:type="dxa"/>
              <w:bottom w:w="0" w:type="dxa"/>
              <w:right w:w="0" w:type="dxa"/>
            </w:tcMar>
            <w:vAlign w:val="center"/>
          </w:tcPr>
          <w:p w14:paraId="37B462B9" w14:textId="77777777" w:rsidR="006547C6" w:rsidRPr="00772B16" w:rsidRDefault="006547C6" w:rsidP="00B226E7">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772B16">
              <w:rPr>
                <w:rFonts w:ascii="Tahoma" w:eastAsia="Arial" w:hAnsi="Tahoma" w:cs="Tahoma"/>
                <w:color w:val="000000"/>
                <w:vertAlign w:val="superscript"/>
              </w:rPr>
              <w:t>2</w:t>
            </w:r>
            <w:r w:rsidRPr="00772B16">
              <w:rPr>
                <w:rFonts w:ascii="Tahoma" w:eastAsia="Arial" w:hAnsi="Tahoma" w:cs="Tahoma"/>
                <w:color w:val="000000"/>
              </w:rPr>
              <w:t>Welch two-sample t-test used for age; Pearson chi-squared test used for categorical variables; Fisher's exact test used for variables with expected cell count &lt;5 (chronic kidney disease, chronic pulmonary disease, peripheral vascular disease, prior DVT history, coagulation disorder, and malignancy)</w:t>
            </w:r>
          </w:p>
        </w:tc>
      </w:tr>
    </w:tbl>
    <w:p w14:paraId="1152F1C5" w14:textId="77777777" w:rsidR="006547C6" w:rsidRDefault="006547C6" w:rsidP="00F273C3">
      <w:pPr>
        <w:rPr>
          <w:rFonts w:ascii="Tahoma" w:hAnsi="Tahoma" w:cs="Tahoma"/>
          <w:sz w:val="24"/>
          <w:szCs w:val="24"/>
        </w:rPr>
      </w:pPr>
    </w:p>
    <w:p w14:paraId="636914C3" w14:textId="77777777" w:rsidR="00200CB0" w:rsidRDefault="00200CB0" w:rsidP="00F273C3">
      <w:pPr>
        <w:rPr>
          <w:rFonts w:ascii="Tahoma" w:hAnsi="Tahoma" w:cs="Tahoma"/>
          <w:sz w:val="24"/>
          <w:szCs w:val="24"/>
        </w:rPr>
      </w:pPr>
    </w:p>
    <w:p w14:paraId="49EF2E60" w14:textId="77777777" w:rsidR="00200CB0" w:rsidRDefault="00200CB0" w:rsidP="00F273C3">
      <w:pPr>
        <w:rPr>
          <w:rFonts w:ascii="Tahoma" w:hAnsi="Tahoma" w:cs="Tahoma"/>
          <w:sz w:val="24"/>
          <w:szCs w:val="24"/>
        </w:rPr>
      </w:pPr>
    </w:p>
    <w:tbl>
      <w:tblPr>
        <w:tblW w:w="0" w:type="auto"/>
        <w:jc w:val="center"/>
        <w:tblBorders>
          <w:top w:val="single" w:sz="12" w:space="0" w:color="666666"/>
          <w:left w:val="single" w:sz="12" w:space="0" w:color="666666"/>
          <w:bottom w:val="single" w:sz="12" w:space="0" w:color="666666"/>
          <w:right w:val="single" w:sz="12" w:space="0" w:color="666666"/>
          <w:insideH w:val="single" w:sz="12" w:space="0" w:color="666666"/>
          <w:insideV w:val="single" w:sz="12" w:space="0" w:color="666666"/>
        </w:tblBorders>
        <w:tblLayout w:type="fixed"/>
        <w:tblLook w:val="0420" w:firstRow="1" w:lastRow="0" w:firstColumn="0" w:lastColumn="0" w:noHBand="0" w:noVBand="1"/>
      </w:tblPr>
      <w:tblGrid>
        <w:gridCol w:w="2651"/>
        <w:gridCol w:w="2336"/>
        <w:gridCol w:w="2339"/>
      </w:tblGrid>
      <w:tr w:rsidR="00D71F80" w:rsidRPr="00D71F80" w14:paraId="1070F8F1" w14:textId="77777777" w:rsidTr="00D71F80">
        <w:trPr>
          <w:trHeight w:val="1028"/>
          <w:tblHeader/>
          <w:jc w:val="center"/>
        </w:trPr>
        <w:tc>
          <w:tcPr>
            <w:tcW w:w="7326" w:type="dxa"/>
            <w:gridSpan w:val="3"/>
            <w:shd w:val="clear" w:color="auto" w:fill="FFFFFF"/>
            <w:tcMar>
              <w:top w:w="0" w:type="dxa"/>
              <w:left w:w="0" w:type="dxa"/>
              <w:bottom w:w="0" w:type="dxa"/>
              <w:right w:w="0" w:type="dxa"/>
            </w:tcMar>
            <w:vAlign w:val="center"/>
          </w:tcPr>
          <w:p w14:paraId="051BA40B"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hAnsi="Tahoma" w:cs="Tahoma"/>
                <w:b/>
                <w:bCs/>
              </w:rPr>
              <w:lastRenderedPageBreak/>
              <w:t>Table 3</w:t>
            </w:r>
            <w:r w:rsidRPr="00D71F80">
              <w:rPr>
                <w:rFonts w:ascii="Tahoma" w:hAnsi="Tahoma" w:cs="Tahoma"/>
              </w:rPr>
              <w:t>: Distribution of fracture sites across Cycle 1 and Cycle 2</w:t>
            </w:r>
          </w:p>
        </w:tc>
      </w:tr>
      <w:tr w:rsidR="00D71F80" w:rsidRPr="00D71F80" w14:paraId="0EC505A4" w14:textId="77777777" w:rsidTr="00D71F80">
        <w:trPr>
          <w:trHeight w:val="1028"/>
          <w:tblHeader/>
          <w:jc w:val="center"/>
        </w:trPr>
        <w:tc>
          <w:tcPr>
            <w:tcW w:w="2651" w:type="dxa"/>
            <w:shd w:val="clear" w:color="auto" w:fill="FFFFFF"/>
            <w:tcMar>
              <w:top w:w="0" w:type="dxa"/>
              <w:left w:w="0" w:type="dxa"/>
              <w:bottom w:w="0" w:type="dxa"/>
              <w:right w:w="0" w:type="dxa"/>
            </w:tcMar>
            <w:vAlign w:val="center"/>
          </w:tcPr>
          <w:p w14:paraId="590AE456"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eastAsia="Arial" w:hAnsi="Tahoma" w:cs="Tahoma"/>
                <w:b/>
                <w:color w:val="000000"/>
              </w:rPr>
              <w:t>Fracture Site</w:t>
            </w:r>
          </w:p>
        </w:tc>
        <w:tc>
          <w:tcPr>
            <w:tcW w:w="2336" w:type="dxa"/>
            <w:shd w:val="clear" w:color="auto" w:fill="FFFFFF"/>
            <w:tcMar>
              <w:top w:w="0" w:type="dxa"/>
              <w:left w:w="0" w:type="dxa"/>
              <w:bottom w:w="0" w:type="dxa"/>
              <w:right w:w="0" w:type="dxa"/>
            </w:tcMar>
            <w:vAlign w:val="center"/>
          </w:tcPr>
          <w:p w14:paraId="11E6AD50"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eastAsia="Arial" w:hAnsi="Tahoma" w:cs="Tahoma"/>
                <w:b/>
                <w:color w:val="000000"/>
              </w:rPr>
              <w:t>Cycle 1</w:t>
            </w:r>
            <w:r w:rsidRPr="00D71F80">
              <w:rPr>
                <w:rFonts w:ascii="Tahoma" w:eastAsia="Arial" w:hAnsi="Tahoma" w:cs="Tahoma"/>
                <w:b/>
                <w:color w:val="000000"/>
              </w:rPr>
              <w:br/>
              <w:t>n (%)</w:t>
            </w:r>
          </w:p>
        </w:tc>
        <w:tc>
          <w:tcPr>
            <w:tcW w:w="2338" w:type="dxa"/>
            <w:shd w:val="clear" w:color="auto" w:fill="FFFFFF"/>
            <w:tcMar>
              <w:top w:w="0" w:type="dxa"/>
              <w:left w:w="0" w:type="dxa"/>
              <w:bottom w:w="0" w:type="dxa"/>
              <w:right w:w="0" w:type="dxa"/>
            </w:tcMar>
            <w:vAlign w:val="center"/>
          </w:tcPr>
          <w:p w14:paraId="59939B98"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eastAsia="Arial" w:hAnsi="Tahoma" w:cs="Tahoma"/>
                <w:b/>
                <w:color w:val="000000"/>
              </w:rPr>
              <w:t>Cycle 2</w:t>
            </w:r>
            <w:r w:rsidRPr="00D71F80">
              <w:rPr>
                <w:rFonts w:ascii="Tahoma" w:eastAsia="Arial" w:hAnsi="Tahoma" w:cs="Tahoma"/>
                <w:b/>
                <w:color w:val="000000"/>
              </w:rPr>
              <w:br/>
              <w:t>n (%)</w:t>
            </w:r>
          </w:p>
        </w:tc>
      </w:tr>
      <w:tr w:rsidR="00D71F80" w:rsidRPr="00D71F80" w14:paraId="52049E37" w14:textId="77777777" w:rsidTr="00D71F80">
        <w:trPr>
          <w:trHeight w:val="647"/>
          <w:jc w:val="center"/>
        </w:trPr>
        <w:tc>
          <w:tcPr>
            <w:tcW w:w="2651" w:type="dxa"/>
            <w:shd w:val="clear" w:color="auto" w:fill="FFFFFF"/>
            <w:tcMar>
              <w:top w:w="0" w:type="dxa"/>
              <w:left w:w="0" w:type="dxa"/>
              <w:bottom w:w="0" w:type="dxa"/>
              <w:right w:w="0" w:type="dxa"/>
            </w:tcMar>
            <w:vAlign w:val="center"/>
          </w:tcPr>
          <w:p w14:paraId="37761BE0"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Hip</w:t>
            </w:r>
          </w:p>
        </w:tc>
        <w:tc>
          <w:tcPr>
            <w:tcW w:w="2336" w:type="dxa"/>
            <w:shd w:val="clear" w:color="auto" w:fill="FFFFFF"/>
            <w:tcMar>
              <w:top w:w="0" w:type="dxa"/>
              <w:left w:w="0" w:type="dxa"/>
              <w:bottom w:w="0" w:type="dxa"/>
              <w:right w:w="0" w:type="dxa"/>
            </w:tcMar>
            <w:vAlign w:val="center"/>
          </w:tcPr>
          <w:p w14:paraId="49183C29"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40 (40%)</w:t>
            </w:r>
          </w:p>
        </w:tc>
        <w:tc>
          <w:tcPr>
            <w:tcW w:w="2338" w:type="dxa"/>
            <w:shd w:val="clear" w:color="auto" w:fill="FFFFFF"/>
            <w:tcMar>
              <w:top w:w="0" w:type="dxa"/>
              <w:left w:w="0" w:type="dxa"/>
              <w:bottom w:w="0" w:type="dxa"/>
              <w:right w:w="0" w:type="dxa"/>
            </w:tcMar>
            <w:vAlign w:val="center"/>
          </w:tcPr>
          <w:p w14:paraId="41C8DE4A"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28 (25.7%)</w:t>
            </w:r>
          </w:p>
        </w:tc>
      </w:tr>
      <w:tr w:rsidR="00D71F80" w:rsidRPr="00D71F80" w14:paraId="112BEBA3" w14:textId="77777777" w:rsidTr="00D71F80">
        <w:trPr>
          <w:trHeight w:val="647"/>
          <w:jc w:val="center"/>
        </w:trPr>
        <w:tc>
          <w:tcPr>
            <w:tcW w:w="2651" w:type="dxa"/>
            <w:shd w:val="clear" w:color="auto" w:fill="FFFFFF"/>
            <w:tcMar>
              <w:top w:w="0" w:type="dxa"/>
              <w:left w:w="0" w:type="dxa"/>
              <w:bottom w:w="0" w:type="dxa"/>
              <w:right w:w="0" w:type="dxa"/>
            </w:tcMar>
            <w:vAlign w:val="center"/>
          </w:tcPr>
          <w:p w14:paraId="16367BF3"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Leg</w:t>
            </w:r>
          </w:p>
        </w:tc>
        <w:tc>
          <w:tcPr>
            <w:tcW w:w="2336" w:type="dxa"/>
            <w:shd w:val="clear" w:color="auto" w:fill="FFFFFF"/>
            <w:tcMar>
              <w:top w:w="0" w:type="dxa"/>
              <w:left w:w="0" w:type="dxa"/>
              <w:bottom w:w="0" w:type="dxa"/>
              <w:right w:w="0" w:type="dxa"/>
            </w:tcMar>
            <w:vAlign w:val="center"/>
          </w:tcPr>
          <w:p w14:paraId="433DD632"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16 (16%)</w:t>
            </w:r>
          </w:p>
        </w:tc>
        <w:tc>
          <w:tcPr>
            <w:tcW w:w="2338" w:type="dxa"/>
            <w:shd w:val="clear" w:color="auto" w:fill="FFFFFF"/>
            <w:tcMar>
              <w:top w:w="0" w:type="dxa"/>
              <w:left w:w="0" w:type="dxa"/>
              <w:bottom w:w="0" w:type="dxa"/>
              <w:right w:w="0" w:type="dxa"/>
            </w:tcMar>
            <w:vAlign w:val="center"/>
          </w:tcPr>
          <w:p w14:paraId="364F097E"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28 (25.7%)</w:t>
            </w:r>
          </w:p>
        </w:tc>
      </w:tr>
      <w:tr w:rsidR="00D71F80" w:rsidRPr="00D71F80" w14:paraId="33B46A8E" w14:textId="77777777" w:rsidTr="00D71F80">
        <w:trPr>
          <w:trHeight w:val="647"/>
          <w:jc w:val="center"/>
        </w:trPr>
        <w:tc>
          <w:tcPr>
            <w:tcW w:w="2651" w:type="dxa"/>
            <w:shd w:val="clear" w:color="auto" w:fill="FFFFFF"/>
            <w:tcMar>
              <w:top w:w="0" w:type="dxa"/>
              <w:left w:w="0" w:type="dxa"/>
              <w:bottom w:w="0" w:type="dxa"/>
              <w:right w:w="0" w:type="dxa"/>
            </w:tcMar>
            <w:vAlign w:val="center"/>
          </w:tcPr>
          <w:p w14:paraId="5CFB7CEB"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Thigh</w:t>
            </w:r>
          </w:p>
        </w:tc>
        <w:tc>
          <w:tcPr>
            <w:tcW w:w="2336" w:type="dxa"/>
            <w:shd w:val="clear" w:color="auto" w:fill="FFFFFF"/>
            <w:tcMar>
              <w:top w:w="0" w:type="dxa"/>
              <w:left w:w="0" w:type="dxa"/>
              <w:bottom w:w="0" w:type="dxa"/>
              <w:right w:w="0" w:type="dxa"/>
            </w:tcMar>
            <w:vAlign w:val="center"/>
          </w:tcPr>
          <w:p w14:paraId="36F41FC2"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14 (14%)</w:t>
            </w:r>
          </w:p>
        </w:tc>
        <w:tc>
          <w:tcPr>
            <w:tcW w:w="2338" w:type="dxa"/>
            <w:shd w:val="clear" w:color="auto" w:fill="FFFFFF"/>
            <w:tcMar>
              <w:top w:w="0" w:type="dxa"/>
              <w:left w:w="0" w:type="dxa"/>
              <w:bottom w:w="0" w:type="dxa"/>
              <w:right w:w="0" w:type="dxa"/>
            </w:tcMar>
            <w:vAlign w:val="center"/>
          </w:tcPr>
          <w:p w14:paraId="4E732DE4"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19 (17.4%)</w:t>
            </w:r>
          </w:p>
        </w:tc>
      </w:tr>
      <w:tr w:rsidR="00D71F80" w:rsidRPr="00D71F80" w14:paraId="6F3547C5" w14:textId="77777777" w:rsidTr="00D71F80">
        <w:trPr>
          <w:trHeight w:val="632"/>
          <w:jc w:val="center"/>
        </w:trPr>
        <w:tc>
          <w:tcPr>
            <w:tcW w:w="2651" w:type="dxa"/>
            <w:shd w:val="clear" w:color="auto" w:fill="FFFFFF"/>
            <w:tcMar>
              <w:top w:w="0" w:type="dxa"/>
              <w:left w:w="0" w:type="dxa"/>
              <w:bottom w:w="0" w:type="dxa"/>
              <w:right w:w="0" w:type="dxa"/>
            </w:tcMar>
            <w:vAlign w:val="center"/>
          </w:tcPr>
          <w:p w14:paraId="2B68A48D"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Ankle</w:t>
            </w:r>
          </w:p>
        </w:tc>
        <w:tc>
          <w:tcPr>
            <w:tcW w:w="2336" w:type="dxa"/>
            <w:shd w:val="clear" w:color="auto" w:fill="FFFFFF"/>
            <w:tcMar>
              <w:top w:w="0" w:type="dxa"/>
              <w:left w:w="0" w:type="dxa"/>
              <w:bottom w:w="0" w:type="dxa"/>
              <w:right w:w="0" w:type="dxa"/>
            </w:tcMar>
            <w:vAlign w:val="center"/>
          </w:tcPr>
          <w:p w14:paraId="687D7C54"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18 (18%)</w:t>
            </w:r>
          </w:p>
        </w:tc>
        <w:tc>
          <w:tcPr>
            <w:tcW w:w="2338" w:type="dxa"/>
            <w:shd w:val="clear" w:color="auto" w:fill="FFFFFF"/>
            <w:tcMar>
              <w:top w:w="0" w:type="dxa"/>
              <w:left w:w="0" w:type="dxa"/>
              <w:bottom w:w="0" w:type="dxa"/>
              <w:right w:w="0" w:type="dxa"/>
            </w:tcMar>
            <w:vAlign w:val="center"/>
          </w:tcPr>
          <w:p w14:paraId="31178AD1"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19 (17.4%)</w:t>
            </w:r>
          </w:p>
        </w:tc>
      </w:tr>
      <w:tr w:rsidR="00D71F80" w:rsidRPr="00D71F80" w14:paraId="21EC2DFA" w14:textId="77777777" w:rsidTr="00D71F80">
        <w:trPr>
          <w:trHeight w:val="647"/>
          <w:jc w:val="center"/>
        </w:trPr>
        <w:tc>
          <w:tcPr>
            <w:tcW w:w="2651" w:type="dxa"/>
            <w:shd w:val="clear" w:color="auto" w:fill="FFFFFF"/>
            <w:tcMar>
              <w:top w:w="0" w:type="dxa"/>
              <w:left w:w="0" w:type="dxa"/>
              <w:bottom w:w="0" w:type="dxa"/>
              <w:right w:w="0" w:type="dxa"/>
            </w:tcMar>
            <w:vAlign w:val="center"/>
          </w:tcPr>
          <w:p w14:paraId="6A0F3438"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Knee</w:t>
            </w:r>
          </w:p>
        </w:tc>
        <w:tc>
          <w:tcPr>
            <w:tcW w:w="2336" w:type="dxa"/>
            <w:shd w:val="clear" w:color="auto" w:fill="FFFFFF"/>
            <w:tcMar>
              <w:top w:w="0" w:type="dxa"/>
              <w:left w:w="0" w:type="dxa"/>
              <w:bottom w:w="0" w:type="dxa"/>
              <w:right w:w="0" w:type="dxa"/>
            </w:tcMar>
            <w:vAlign w:val="center"/>
          </w:tcPr>
          <w:p w14:paraId="645338A9"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8 (8%)</w:t>
            </w:r>
          </w:p>
        </w:tc>
        <w:tc>
          <w:tcPr>
            <w:tcW w:w="2338" w:type="dxa"/>
            <w:shd w:val="clear" w:color="auto" w:fill="FFFFFF"/>
            <w:tcMar>
              <w:top w:w="0" w:type="dxa"/>
              <w:left w:w="0" w:type="dxa"/>
              <w:bottom w:w="0" w:type="dxa"/>
              <w:right w:w="0" w:type="dxa"/>
            </w:tcMar>
            <w:vAlign w:val="center"/>
          </w:tcPr>
          <w:p w14:paraId="67B18FF2"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8 (7.3%)</w:t>
            </w:r>
          </w:p>
        </w:tc>
      </w:tr>
      <w:tr w:rsidR="00D71F80" w:rsidRPr="00D71F80" w14:paraId="76769D0A" w14:textId="77777777" w:rsidTr="00D71F80">
        <w:trPr>
          <w:trHeight w:val="647"/>
          <w:jc w:val="center"/>
        </w:trPr>
        <w:tc>
          <w:tcPr>
            <w:tcW w:w="2651" w:type="dxa"/>
            <w:shd w:val="clear" w:color="auto" w:fill="FFFFFF"/>
            <w:tcMar>
              <w:top w:w="0" w:type="dxa"/>
              <w:left w:w="0" w:type="dxa"/>
              <w:bottom w:w="0" w:type="dxa"/>
              <w:right w:w="0" w:type="dxa"/>
            </w:tcMar>
            <w:vAlign w:val="center"/>
          </w:tcPr>
          <w:p w14:paraId="7CAC9B58"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Foot</w:t>
            </w:r>
          </w:p>
        </w:tc>
        <w:tc>
          <w:tcPr>
            <w:tcW w:w="2336" w:type="dxa"/>
            <w:shd w:val="clear" w:color="auto" w:fill="FFFFFF"/>
            <w:tcMar>
              <w:top w:w="0" w:type="dxa"/>
              <w:left w:w="0" w:type="dxa"/>
              <w:bottom w:w="0" w:type="dxa"/>
              <w:right w:w="0" w:type="dxa"/>
            </w:tcMar>
            <w:vAlign w:val="center"/>
          </w:tcPr>
          <w:p w14:paraId="04D082C6"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1 (1%)</w:t>
            </w:r>
          </w:p>
        </w:tc>
        <w:tc>
          <w:tcPr>
            <w:tcW w:w="2338" w:type="dxa"/>
            <w:shd w:val="clear" w:color="auto" w:fill="FFFFFF"/>
            <w:tcMar>
              <w:top w:w="0" w:type="dxa"/>
              <w:left w:w="0" w:type="dxa"/>
              <w:bottom w:w="0" w:type="dxa"/>
              <w:right w:w="0" w:type="dxa"/>
            </w:tcMar>
            <w:vAlign w:val="center"/>
          </w:tcPr>
          <w:p w14:paraId="4E358686"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5 (4.6%)</w:t>
            </w:r>
          </w:p>
        </w:tc>
      </w:tr>
      <w:tr w:rsidR="00D71F80" w:rsidRPr="00D71F80" w14:paraId="77EFE7C0" w14:textId="77777777" w:rsidTr="00D71F80">
        <w:trPr>
          <w:trHeight w:val="647"/>
          <w:jc w:val="center"/>
        </w:trPr>
        <w:tc>
          <w:tcPr>
            <w:tcW w:w="2651" w:type="dxa"/>
            <w:shd w:val="clear" w:color="auto" w:fill="FFFFFF"/>
            <w:tcMar>
              <w:top w:w="0" w:type="dxa"/>
              <w:left w:w="0" w:type="dxa"/>
              <w:bottom w:w="0" w:type="dxa"/>
              <w:right w:w="0" w:type="dxa"/>
            </w:tcMar>
            <w:vAlign w:val="center"/>
          </w:tcPr>
          <w:p w14:paraId="3F738B15"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Heel</w:t>
            </w:r>
          </w:p>
        </w:tc>
        <w:tc>
          <w:tcPr>
            <w:tcW w:w="2336" w:type="dxa"/>
            <w:shd w:val="clear" w:color="auto" w:fill="FFFFFF"/>
            <w:tcMar>
              <w:top w:w="0" w:type="dxa"/>
              <w:left w:w="0" w:type="dxa"/>
              <w:bottom w:w="0" w:type="dxa"/>
              <w:right w:w="0" w:type="dxa"/>
            </w:tcMar>
            <w:vAlign w:val="center"/>
          </w:tcPr>
          <w:p w14:paraId="4EAB879C"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3 (3%)</w:t>
            </w:r>
          </w:p>
        </w:tc>
        <w:tc>
          <w:tcPr>
            <w:tcW w:w="2338" w:type="dxa"/>
            <w:shd w:val="clear" w:color="auto" w:fill="FFFFFF"/>
            <w:tcMar>
              <w:top w:w="0" w:type="dxa"/>
              <w:left w:w="0" w:type="dxa"/>
              <w:bottom w:w="0" w:type="dxa"/>
              <w:right w:w="0" w:type="dxa"/>
            </w:tcMar>
            <w:vAlign w:val="center"/>
          </w:tcPr>
          <w:p w14:paraId="257E437D"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2 (1.8%)</w:t>
            </w:r>
          </w:p>
        </w:tc>
      </w:tr>
      <w:tr w:rsidR="00D71F80" w:rsidRPr="00D71F80" w14:paraId="0A1C4898" w14:textId="77777777" w:rsidTr="00D71F80">
        <w:trPr>
          <w:trHeight w:val="1028"/>
          <w:jc w:val="center"/>
        </w:trPr>
        <w:tc>
          <w:tcPr>
            <w:tcW w:w="2651" w:type="dxa"/>
            <w:shd w:val="clear" w:color="auto" w:fill="FFFFFF"/>
            <w:tcMar>
              <w:top w:w="0" w:type="dxa"/>
              <w:left w:w="0" w:type="dxa"/>
              <w:bottom w:w="0" w:type="dxa"/>
              <w:right w:w="0" w:type="dxa"/>
            </w:tcMar>
            <w:vAlign w:val="center"/>
          </w:tcPr>
          <w:p w14:paraId="499AACAE"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eastAsia="Arial" w:hAnsi="Tahoma" w:cs="Tahoma"/>
                <w:b/>
                <w:color w:val="000000"/>
              </w:rPr>
              <w:t>Total</w:t>
            </w:r>
          </w:p>
        </w:tc>
        <w:tc>
          <w:tcPr>
            <w:tcW w:w="2336" w:type="dxa"/>
            <w:shd w:val="clear" w:color="auto" w:fill="FFFFFF"/>
            <w:tcMar>
              <w:top w:w="0" w:type="dxa"/>
              <w:left w:w="0" w:type="dxa"/>
              <w:bottom w:w="0" w:type="dxa"/>
              <w:right w:w="0" w:type="dxa"/>
            </w:tcMar>
            <w:vAlign w:val="center"/>
          </w:tcPr>
          <w:p w14:paraId="4DDF79D5"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eastAsia="Arial" w:hAnsi="Tahoma" w:cs="Tahoma"/>
                <w:b/>
                <w:color w:val="000000"/>
              </w:rPr>
              <w:t>100 (100%)</w:t>
            </w:r>
          </w:p>
        </w:tc>
        <w:tc>
          <w:tcPr>
            <w:tcW w:w="2338" w:type="dxa"/>
            <w:shd w:val="clear" w:color="auto" w:fill="FFFFFF"/>
            <w:tcMar>
              <w:top w:w="0" w:type="dxa"/>
              <w:left w:w="0" w:type="dxa"/>
              <w:bottom w:w="0" w:type="dxa"/>
              <w:right w:w="0" w:type="dxa"/>
            </w:tcMar>
            <w:vAlign w:val="center"/>
          </w:tcPr>
          <w:p w14:paraId="1151CC6E"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b/>
                <w:color w:val="000000"/>
              </w:rPr>
            </w:pPr>
            <w:r w:rsidRPr="00D71F80">
              <w:rPr>
                <w:rFonts w:ascii="Tahoma" w:eastAsia="Arial" w:hAnsi="Tahoma" w:cs="Tahoma"/>
                <w:b/>
                <w:color w:val="000000"/>
              </w:rPr>
              <w:t>109 (100%)</w:t>
            </w:r>
          </w:p>
        </w:tc>
      </w:tr>
      <w:tr w:rsidR="00D71F80" w:rsidRPr="00D71F80" w14:paraId="6DEADCFB" w14:textId="77777777" w:rsidTr="00D71F80">
        <w:trPr>
          <w:trHeight w:val="632"/>
          <w:jc w:val="center"/>
        </w:trPr>
        <w:tc>
          <w:tcPr>
            <w:tcW w:w="2651" w:type="dxa"/>
            <w:shd w:val="clear" w:color="auto" w:fill="FFFFFF"/>
            <w:tcMar>
              <w:top w:w="0" w:type="dxa"/>
              <w:left w:w="0" w:type="dxa"/>
              <w:bottom w:w="0" w:type="dxa"/>
              <w:right w:w="0" w:type="dxa"/>
            </w:tcMar>
            <w:vAlign w:val="center"/>
          </w:tcPr>
          <w:p w14:paraId="7A199E45"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i/>
                <w:color w:val="000000"/>
              </w:rPr>
            </w:pPr>
            <w:r w:rsidRPr="00D71F80">
              <w:rPr>
                <w:rFonts w:ascii="Tahoma" w:eastAsia="Arial" w:hAnsi="Tahoma" w:cs="Tahoma"/>
                <w:i/>
                <w:color w:val="000000"/>
              </w:rPr>
              <w:t>p-value*</w:t>
            </w:r>
          </w:p>
        </w:tc>
        <w:tc>
          <w:tcPr>
            <w:tcW w:w="2336" w:type="dxa"/>
            <w:shd w:val="clear" w:color="auto" w:fill="FFFFFF"/>
            <w:tcMar>
              <w:top w:w="0" w:type="dxa"/>
              <w:left w:w="0" w:type="dxa"/>
              <w:bottom w:w="0" w:type="dxa"/>
              <w:right w:w="0" w:type="dxa"/>
            </w:tcMar>
            <w:vAlign w:val="center"/>
          </w:tcPr>
          <w:p w14:paraId="43D9BFF7"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i/>
                <w:color w:val="000000"/>
              </w:rPr>
            </w:pPr>
            <w:r w:rsidRPr="00D71F80">
              <w:rPr>
                <w:rFonts w:ascii="Tahoma" w:eastAsia="Arial" w:hAnsi="Tahoma" w:cs="Tahoma"/>
                <w:i/>
                <w:color w:val="000000"/>
              </w:rPr>
              <w:t>0.192</w:t>
            </w:r>
          </w:p>
        </w:tc>
        <w:tc>
          <w:tcPr>
            <w:tcW w:w="2338" w:type="dxa"/>
            <w:shd w:val="clear" w:color="auto" w:fill="FFFFFF"/>
            <w:tcMar>
              <w:top w:w="0" w:type="dxa"/>
              <w:left w:w="0" w:type="dxa"/>
              <w:bottom w:w="0" w:type="dxa"/>
              <w:right w:w="0" w:type="dxa"/>
            </w:tcMar>
            <w:vAlign w:val="center"/>
          </w:tcPr>
          <w:p w14:paraId="13A64D29"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i/>
                <w:color w:val="000000"/>
              </w:rPr>
            </w:pPr>
          </w:p>
        </w:tc>
      </w:tr>
      <w:tr w:rsidR="00D71F80" w:rsidRPr="00D71F80" w14:paraId="55493097" w14:textId="77777777" w:rsidTr="00D71F80">
        <w:trPr>
          <w:trHeight w:val="1424"/>
          <w:jc w:val="center"/>
        </w:trPr>
        <w:tc>
          <w:tcPr>
            <w:tcW w:w="7326" w:type="dxa"/>
            <w:gridSpan w:val="3"/>
            <w:shd w:val="clear" w:color="auto" w:fill="FFFFFF"/>
            <w:tcMar>
              <w:top w:w="0" w:type="dxa"/>
              <w:left w:w="0" w:type="dxa"/>
              <w:bottom w:w="0" w:type="dxa"/>
              <w:right w:w="0" w:type="dxa"/>
            </w:tcMar>
            <w:vAlign w:val="center"/>
          </w:tcPr>
          <w:p w14:paraId="662C8723" w14:textId="77777777" w:rsidR="00D71F80" w:rsidRPr="00D71F80" w:rsidRDefault="00D71F80" w:rsidP="007F7ADA">
            <w:pPr>
              <w:pBdr>
                <w:top w:val="none" w:sz="0" w:space="0" w:color="000000"/>
                <w:left w:val="none" w:sz="0" w:space="0" w:color="000000"/>
                <w:bottom w:val="none" w:sz="0" w:space="0" w:color="000000"/>
                <w:right w:val="none" w:sz="0" w:space="0" w:color="000000"/>
              </w:pBdr>
              <w:spacing w:before="100" w:after="100"/>
              <w:ind w:left="100" w:right="100"/>
              <w:rPr>
                <w:rFonts w:ascii="Tahoma" w:eastAsia="Arial" w:hAnsi="Tahoma" w:cs="Tahoma"/>
                <w:color w:val="000000"/>
              </w:rPr>
            </w:pPr>
            <w:r w:rsidRPr="00D71F80">
              <w:rPr>
                <w:rFonts w:ascii="Tahoma" w:eastAsia="Arial" w:hAnsi="Tahoma" w:cs="Tahoma"/>
                <w:color w:val="000000"/>
              </w:rPr>
              <w:t>*Fisher's exact test testing whether the distribution of fracture sites differed significantly between cycles. p = 0.192.</w:t>
            </w:r>
          </w:p>
        </w:tc>
      </w:tr>
    </w:tbl>
    <w:p w14:paraId="01751E64" w14:textId="77777777" w:rsidR="00D71F80" w:rsidRDefault="00D71F80" w:rsidP="001D67C6">
      <w:pPr>
        <w:rPr>
          <w:rFonts w:ascii="Tahoma" w:hAnsi="Tahoma" w:cs="Tahoma"/>
          <w:b/>
          <w:bCs/>
          <w:sz w:val="24"/>
          <w:szCs w:val="24"/>
        </w:rPr>
      </w:pPr>
    </w:p>
    <w:p w14:paraId="449929BA" w14:textId="77777777" w:rsidR="00D71F80" w:rsidRDefault="00D71F80" w:rsidP="001D67C6">
      <w:pPr>
        <w:rPr>
          <w:rFonts w:ascii="Tahoma" w:hAnsi="Tahoma" w:cs="Tahoma"/>
          <w:b/>
          <w:bCs/>
          <w:sz w:val="24"/>
          <w:szCs w:val="24"/>
        </w:rPr>
      </w:pPr>
    </w:p>
    <w:p w14:paraId="095FE547" w14:textId="77777777" w:rsidR="00D71F80" w:rsidRDefault="00D71F80" w:rsidP="001D67C6">
      <w:pPr>
        <w:rPr>
          <w:rFonts w:ascii="Tahoma" w:hAnsi="Tahoma" w:cs="Tahoma"/>
          <w:b/>
          <w:bCs/>
          <w:sz w:val="24"/>
          <w:szCs w:val="24"/>
        </w:rPr>
      </w:pPr>
    </w:p>
    <w:p w14:paraId="6FA91046" w14:textId="77777777" w:rsidR="00D71F80" w:rsidRDefault="00D71F80" w:rsidP="001D67C6">
      <w:pPr>
        <w:rPr>
          <w:rFonts w:ascii="Tahoma" w:hAnsi="Tahoma" w:cs="Tahoma"/>
          <w:b/>
          <w:bCs/>
          <w:sz w:val="24"/>
          <w:szCs w:val="24"/>
        </w:rPr>
      </w:pPr>
    </w:p>
    <w:p w14:paraId="6395320D" w14:textId="77777777" w:rsidR="00D71F80" w:rsidRDefault="00D71F80" w:rsidP="001D67C6">
      <w:pPr>
        <w:rPr>
          <w:rFonts w:ascii="Tahoma" w:hAnsi="Tahoma" w:cs="Tahoma"/>
          <w:b/>
          <w:bCs/>
          <w:sz w:val="24"/>
          <w:szCs w:val="24"/>
        </w:rPr>
      </w:pPr>
    </w:p>
    <w:p w14:paraId="45B07BE8" w14:textId="09189712" w:rsidR="00142EC4" w:rsidRDefault="00142EC4" w:rsidP="00142EC4">
      <w:pPr>
        <w:jc w:val="center"/>
        <w:rPr>
          <w:rFonts w:ascii="Tahoma" w:hAnsi="Tahoma" w:cs="Tahoma"/>
          <w:sz w:val="24"/>
          <w:szCs w:val="24"/>
        </w:rPr>
      </w:pPr>
      <w:r>
        <w:rPr>
          <w:rFonts w:ascii="Tahoma" w:hAnsi="Tahoma" w:cs="Tahoma"/>
          <w:noProof/>
          <w:sz w:val="24"/>
          <w:szCs w:val="24"/>
        </w:rPr>
        <w:lastRenderedPageBreak/>
        <w:drawing>
          <wp:inline distT="0" distB="0" distL="0" distR="0" wp14:anchorId="536493C1" wp14:editId="485A243C">
            <wp:extent cx="5939790" cy="5939790"/>
            <wp:effectExtent l="0" t="0" r="0" b="0"/>
            <wp:docPr id="9046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4880F97E" w14:textId="77777777" w:rsidR="00202809" w:rsidRDefault="00202809" w:rsidP="00202809">
      <w:pPr>
        <w:rPr>
          <w:rFonts w:ascii="Tahoma" w:hAnsi="Tahoma" w:cs="Tahoma"/>
          <w:sz w:val="24"/>
          <w:szCs w:val="24"/>
        </w:rPr>
      </w:pPr>
      <w:r w:rsidRPr="001D67C6">
        <w:rPr>
          <w:rFonts w:ascii="Tahoma" w:hAnsi="Tahoma" w:cs="Tahoma"/>
          <w:b/>
          <w:bCs/>
          <w:sz w:val="24"/>
          <w:szCs w:val="24"/>
        </w:rPr>
        <w:t>Figure 1:</w:t>
      </w:r>
      <w:r>
        <w:rPr>
          <w:rFonts w:ascii="Tahoma" w:hAnsi="Tahoma" w:cs="Tahoma"/>
          <w:sz w:val="24"/>
          <w:szCs w:val="24"/>
        </w:rPr>
        <w:t xml:space="preserve"> </w:t>
      </w:r>
      <w:r w:rsidRPr="00306199">
        <w:rPr>
          <w:rFonts w:ascii="Tahoma" w:hAnsi="Tahoma" w:cs="Tahoma"/>
          <w:sz w:val="24"/>
          <w:szCs w:val="24"/>
        </w:rPr>
        <w:t>Pre-operative DVT incidence in Cycle 1 versus Cycle 2, with 95% confidence intervals.</w:t>
      </w:r>
    </w:p>
    <w:p w14:paraId="2E1A61A2" w14:textId="77777777" w:rsidR="000679CA" w:rsidRDefault="000679CA" w:rsidP="00202809">
      <w:pPr>
        <w:rPr>
          <w:rFonts w:ascii="Tahoma" w:hAnsi="Tahoma" w:cs="Tahoma"/>
          <w:sz w:val="24"/>
          <w:szCs w:val="24"/>
        </w:rPr>
      </w:pPr>
    </w:p>
    <w:p w14:paraId="6A37CE66" w14:textId="77777777" w:rsidR="00200CB0" w:rsidRPr="006728C2" w:rsidRDefault="00200CB0" w:rsidP="00F273C3">
      <w:pPr>
        <w:rPr>
          <w:rFonts w:ascii="Tahoma" w:hAnsi="Tahoma" w:cs="Tahoma"/>
          <w:sz w:val="24"/>
          <w:szCs w:val="24"/>
        </w:rPr>
      </w:pPr>
    </w:p>
    <w:sectPr w:rsidR="00200CB0" w:rsidRPr="006728C2" w:rsidSect="00DB5C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57411" w14:textId="77777777" w:rsidR="00153AF2" w:rsidRDefault="00153AF2" w:rsidP="00F273C3">
      <w:pPr>
        <w:spacing w:after="0" w:line="240" w:lineRule="auto"/>
      </w:pPr>
      <w:r>
        <w:separator/>
      </w:r>
    </w:p>
  </w:endnote>
  <w:endnote w:type="continuationSeparator" w:id="0">
    <w:p w14:paraId="00E1381F" w14:textId="77777777" w:rsidR="00153AF2" w:rsidRDefault="00153AF2" w:rsidP="00F27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8ADA" w14:textId="77777777" w:rsidR="00153AF2" w:rsidRDefault="00153AF2" w:rsidP="00F273C3">
      <w:pPr>
        <w:spacing w:after="0" w:line="240" w:lineRule="auto"/>
      </w:pPr>
      <w:r>
        <w:separator/>
      </w:r>
    </w:p>
  </w:footnote>
  <w:footnote w:type="continuationSeparator" w:id="0">
    <w:p w14:paraId="7B91207C" w14:textId="77777777" w:rsidR="00153AF2" w:rsidRDefault="00153AF2" w:rsidP="00F27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167F"/>
    <w:multiLevelType w:val="multilevel"/>
    <w:tmpl w:val="808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273A9"/>
    <w:multiLevelType w:val="multilevel"/>
    <w:tmpl w:val="BA3A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07818"/>
    <w:multiLevelType w:val="multilevel"/>
    <w:tmpl w:val="01A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81273"/>
    <w:multiLevelType w:val="multilevel"/>
    <w:tmpl w:val="0FB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A6B0D"/>
    <w:multiLevelType w:val="multilevel"/>
    <w:tmpl w:val="43A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435E5"/>
    <w:multiLevelType w:val="multilevel"/>
    <w:tmpl w:val="9028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737994">
    <w:abstractNumId w:val="4"/>
  </w:num>
  <w:num w:numId="2" w16cid:durableId="1413235623">
    <w:abstractNumId w:val="0"/>
  </w:num>
  <w:num w:numId="3" w16cid:durableId="1980576749">
    <w:abstractNumId w:val="1"/>
  </w:num>
  <w:num w:numId="4" w16cid:durableId="1451513446">
    <w:abstractNumId w:val="5"/>
  </w:num>
  <w:num w:numId="5" w16cid:durableId="1996060029">
    <w:abstractNumId w:val="3"/>
  </w:num>
  <w:num w:numId="6" w16cid:durableId="477574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43C"/>
    <w:rsid w:val="00011087"/>
    <w:rsid w:val="00012136"/>
    <w:rsid w:val="000128EF"/>
    <w:rsid w:val="00027D50"/>
    <w:rsid w:val="00027FF2"/>
    <w:rsid w:val="00030C4F"/>
    <w:rsid w:val="00044D29"/>
    <w:rsid w:val="00060D0A"/>
    <w:rsid w:val="00061911"/>
    <w:rsid w:val="00063AFB"/>
    <w:rsid w:val="00064DBF"/>
    <w:rsid w:val="000679CA"/>
    <w:rsid w:val="000712E7"/>
    <w:rsid w:val="00076D0C"/>
    <w:rsid w:val="0008767D"/>
    <w:rsid w:val="00087A4B"/>
    <w:rsid w:val="00097A93"/>
    <w:rsid w:val="000A2D06"/>
    <w:rsid w:val="000B461E"/>
    <w:rsid w:val="000C08B2"/>
    <w:rsid w:val="000C0A7D"/>
    <w:rsid w:val="000D1A7E"/>
    <w:rsid w:val="000D4A34"/>
    <w:rsid w:val="000F2A1E"/>
    <w:rsid w:val="00111146"/>
    <w:rsid w:val="0011241B"/>
    <w:rsid w:val="00114741"/>
    <w:rsid w:val="00114C17"/>
    <w:rsid w:val="00142EC4"/>
    <w:rsid w:val="0014752C"/>
    <w:rsid w:val="00153AF2"/>
    <w:rsid w:val="00157051"/>
    <w:rsid w:val="00161940"/>
    <w:rsid w:val="00161FCF"/>
    <w:rsid w:val="00190903"/>
    <w:rsid w:val="00191209"/>
    <w:rsid w:val="001919E6"/>
    <w:rsid w:val="001A452C"/>
    <w:rsid w:val="001A4B2D"/>
    <w:rsid w:val="001C19B9"/>
    <w:rsid w:val="001D3F51"/>
    <w:rsid w:val="001D430C"/>
    <w:rsid w:val="001D67C6"/>
    <w:rsid w:val="001E1459"/>
    <w:rsid w:val="001E5ECD"/>
    <w:rsid w:val="00200CB0"/>
    <w:rsid w:val="00202809"/>
    <w:rsid w:val="0020547C"/>
    <w:rsid w:val="00217311"/>
    <w:rsid w:val="00232661"/>
    <w:rsid w:val="00232E64"/>
    <w:rsid w:val="00232FA9"/>
    <w:rsid w:val="002565B9"/>
    <w:rsid w:val="0026541E"/>
    <w:rsid w:val="002719C5"/>
    <w:rsid w:val="00293D01"/>
    <w:rsid w:val="002A1FCC"/>
    <w:rsid w:val="002A4B79"/>
    <w:rsid w:val="002A57DB"/>
    <w:rsid w:val="002B0BFE"/>
    <w:rsid w:val="002B0E90"/>
    <w:rsid w:val="002B45CF"/>
    <w:rsid w:val="002D041F"/>
    <w:rsid w:val="002E1409"/>
    <w:rsid w:val="00306199"/>
    <w:rsid w:val="003212A3"/>
    <w:rsid w:val="00322FB4"/>
    <w:rsid w:val="00325B08"/>
    <w:rsid w:val="0032708A"/>
    <w:rsid w:val="00347322"/>
    <w:rsid w:val="0036194C"/>
    <w:rsid w:val="003626C0"/>
    <w:rsid w:val="00363CCC"/>
    <w:rsid w:val="0037462B"/>
    <w:rsid w:val="003808B8"/>
    <w:rsid w:val="00381AAB"/>
    <w:rsid w:val="003A30F7"/>
    <w:rsid w:val="003C0470"/>
    <w:rsid w:val="004000A1"/>
    <w:rsid w:val="004232BE"/>
    <w:rsid w:val="004255A5"/>
    <w:rsid w:val="004271C5"/>
    <w:rsid w:val="004303C9"/>
    <w:rsid w:val="00433305"/>
    <w:rsid w:val="00444E7C"/>
    <w:rsid w:val="004527E3"/>
    <w:rsid w:val="00461FA8"/>
    <w:rsid w:val="0046216A"/>
    <w:rsid w:val="00462BE9"/>
    <w:rsid w:val="00471253"/>
    <w:rsid w:val="004712FD"/>
    <w:rsid w:val="00485050"/>
    <w:rsid w:val="0048701A"/>
    <w:rsid w:val="00487C83"/>
    <w:rsid w:val="00487F04"/>
    <w:rsid w:val="0049161C"/>
    <w:rsid w:val="004A6141"/>
    <w:rsid w:val="004B368C"/>
    <w:rsid w:val="004B6CCE"/>
    <w:rsid w:val="004C085D"/>
    <w:rsid w:val="004D78D1"/>
    <w:rsid w:val="00505A43"/>
    <w:rsid w:val="0055358F"/>
    <w:rsid w:val="00554B24"/>
    <w:rsid w:val="00570ADB"/>
    <w:rsid w:val="00582175"/>
    <w:rsid w:val="0058649B"/>
    <w:rsid w:val="00592200"/>
    <w:rsid w:val="005923DC"/>
    <w:rsid w:val="00594BCB"/>
    <w:rsid w:val="00596243"/>
    <w:rsid w:val="005A59DF"/>
    <w:rsid w:val="005A74A7"/>
    <w:rsid w:val="005B619E"/>
    <w:rsid w:val="005D7607"/>
    <w:rsid w:val="005D7AA9"/>
    <w:rsid w:val="005E2077"/>
    <w:rsid w:val="005F6676"/>
    <w:rsid w:val="00600121"/>
    <w:rsid w:val="00600198"/>
    <w:rsid w:val="00610724"/>
    <w:rsid w:val="00614205"/>
    <w:rsid w:val="0061478B"/>
    <w:rsid w:val="006547C6"/>
    <w:rsid w:val="00655D8F"/>
    <w:rsid w:val="0065740A"/>
    <w:rsid w:val="00663EF1"/>
    <w:rsid w:val="006728C2"/>
    <w:rsid w:val="00680A25"/>
    <w:rsid w:val="006A0DF0"/>
    <w:rsid w:val="006A1531"/>
    <w:rsid w:val="006B08E5"/>
    <w:rsid w:val="006C4716"/>
    <w:rsid w:val="006C4F67"/>
    <w:rsid w:val="006C53B9"/>
    <w:rsid w:val="006D61C3"/>
    <w:rsid w:val="00704570"/>
    <w:rsid w:val="007069D0"/>
    <w:rsid w:val="00710783"/>
    <w:rsid w:val="00710E15"/>
    <w:rsid w:val="00732463"/>
    <w:rsid w:val="00736498"/>
    <w:rsid w:val="00741430"/>
    <w:rsid w:val="007577EB"/>
    <w:rsid w:val="0076468D"/>
    <w:rsid w:val="00764D86"/>
    <w:rsid w:val="00774DAC"/>
    <w:rsid w:val="00774E18"/>
    <w:rsid w:val="0079522F"/>
    <w:rsid w:val="007978CF"/>
    <w:rsid w:val="007A67ED"/>
    <w:rsid w:val="007B0363"/>
    <w:rsid w:val="007C27F7"/>
    <w:rsid w:val="007C47C3"/>
    <w:rsid w:val="007C66C4"/>
    <w:rsid w:val="007C7AA4"/>
    <w:rsid w:val="00802000"/>
    <w:rsid w:val="00802D53"/>
    <w:rsid w:val="00804FD5"/>
    <w:rsid w:val="00811F39"/>
    <w:rsid w:val="00814B28"/>
    <w:rsid w:val="008240C2"/>
    <w:rsid w:val="008324AF"/>
    <w:rsid w:val="00840FBB"/>
    <w:rsid w:val="008459B8"/>
    <w:rsid w:val="008669B2"/>
    <w:rsid w:val="00867F4C"/>
    <w:rsid w:val="00896CA8"/>
    <w:rsid w:val="008A1FDF"/>
    <w:rsid w:val="008A494F"/>
    <w:rsid w:val="008B213A"/>
    <w:rsid w:val="008D54B7"/>
    <w:rsid w:val="008E5930"/>
    <w:rsid w:val="00902BE2"/>
    <w:rsid w:val="00912D39"/>
    <w:rsid w:val="00916803"/>
    <w:rsid w:val="009251EB"/>
    <w:rsid w:val="00932945"/>
    <w:rsid w:val="00935DDD"/>
    <w:rsid w:val="00940545"/>
    <w:rsid w:val="0094066E"/>
    <w:rsid w:val="00943177"/>
    <w:rsid w:val="00943461"/>
    <w:rsid w:val="009564FD"/>
    <w:rsid w:val="00966CF2"/>
    <w:rsid w:val="009751F9"/>
    <w:rsid w:val="00976845"/>
    <w:rsid w:val="009857BE"/>
    <w:rsid w:val="009909B3"/>
    <w:rsid w:val="009932F9"/>
    <w:rsid w:val="0099601D"/>
    <w:rsid w:val="009976FC"/>
    <w:rsid w:val="009A034F"/>
    <w:rsid w:val="009A12B1"/>
    <w:rsid w:val="009B666C"/>
    <w:rsid w:val="009E12F9"/>
    <w:rsid w:val="009F7566"/>
    <w:rsid w:val="00A14108"/>
    <w:rsid w:val="00A3366A"/>
    <w:rsid w:val="00A628AD"/>
    <w:rsid w:val="00A874D1"/>
    <w:rsid w:val="00A90B95"/>
    <w:rsid w:val="00AA1F7E"/>
    <w:rsid w:val="00AA62EA"/>
    <w:rsid w:val="00AB443C"/>
    <w:rsid w:val="00AB6A0A"/>
    <w:rsid w:val="00AB70A4"/>
    <w:rsid w:val="00AD2DAC"/>
    <w:rsid w:val="00B047A1"/>
    <w:rsid w:val="00B0632B"/>
    <w:rsid w:val="00B22AB9"/>
    <w:rsid w:val="00B33B89"/>
    <w:rsid w:val="00B33C92"/>
    <w:rsid w:val="00B520A7"/>
    <w:rsid w:val="00B70072"/>
    <w:rsid w:val="00BA1B9D"/>
    <w:rsid w:val="00BB39BA"/>
    <w:rsid w:val="00BC6C38"/>
    <w:rsid w:val="00BD3D7D"/>
    <w:rsid w:val="00BE0624"/>
    <w:rsid w:val="00C00F15"/>
    <w:rsid w:val="00C224DD"/>
    <w:rsid w:val="00C2690F"/>
    <w:rsid w:val="00C35899"/>
    <w:rsid w:val="00C40AD2"/>
    <w:rsid w:val="00C50FBA"/>
    <w:rsid w:val="00C55691"/>
    <w:rsid w:val="00C66D7A"/>
    <w:rsid w:val="00C7391A"/>
    <w:rsid w:val="00C76646"/>
    <w:rsid w:val="00C76AF9"/>
    <w:rsid w:val="00C8202C"/>
    <w:rsid w:val="00C90A06"/>
    <w:rsid w:val="00C93331"/>
    <w:rsid w:val="00C96DAE"/>
    <w:rsid w:val="00CA7530"/>
    <w:rsid w:val="00CB1219"/>
    <w:rsid w:val="00CB44DD"/>
    <w:rsid w:val="00CC2F74"/>
    <w:rsid w:val="00CC48AE"/>
    <w:rsid w:val="00CD6025"/>
    <w:rsid w:val="00CE2791"/>
    <w:rsid w:val="00CE7F74"/>
    <w:rsid w:val="00CF15AB"/>
    <w:rsid w:val="00D0343C"/>
    <w:rsid w:val="00D10A82"/>
    <w:rsid w:val="00D15832"/>
    <w:rsid w:val="00D2091E"/>
    <w:rsid w:val="00D458E1"/>
    <w:rsid w:val="00D55E57"/>
    <w:rsid w:val="00D6536C"/>
    <w:rsid w:val="00D71F80"/>
    <w:rsid w:val="00D72903"/>
    <w:rsid w:val="00D8539C"/>
    <w:rsid w:val="00DB5CCF"/>
    <w:rsid w:val="00DC21CE"/>
    <w:rsid w:val="00DD01D1"/>
    <w:rsid w:val="00DF33A3"/>
    <w:rsid w:val="00E132CE"/>
    <w:rsid w:val="00E13808"/>
    <w:rsid w:val="00E21EC5"/>
    <w:rsid w:val="00E33747"/>
    <w:rsid w:val="00E65F80"/>
    <w:rsid w:val="00E67111"/>
    <w:rsid w:val="00E71B0C"/>
    <w:rsid w:val="00E766CA"/>
    <w:rsid w:val="00E76CCC"/>
    <w:rsid w:val="00E80106"/>
    <w:rsid w:val="00E84221"/>
    <w:rsid w:val="00E85A02"/>
    <w:rsid w:val="00EB414E"/>
    <w:rsid w:val="00EB580C"/>
    <w:rsid w:val="00EC50AD"/>
    <w:rsid w:val="00ED4591"/>
    <w:rsid w:val="00F17A2A"/>
    <w:rsid w:val="00F23A30"/>
    <w:rsid w:val="00F273C3"/>
    <w:rsid w:val="00F32CFC"/>
    <w:rsid w:val="00F45C0B"/>
    <w:rsid w:val="00F54FC8"/>
    <w:rsid w:val="00F5527C"/>
    <w:rsid w:val="00F64EF5"/>
    <w:rsid w:val="00F65004"/>
    <w:rsid w:val="00F74E1B"/>
    <w:rsid w:val="00F83304"/>
    <w:rsid w:val="00F971D7"/>
    <w:rsid w:val="00FA39F4"/>
    <w:rsid w:val="00FB2762"/>
    <w:rsid w:val="00FB7AFF"/>
    <w:rsid w:val="00FC5301"/>
    <w:rsid w:val="00FE33DE"/>
    <w:rsid w:val="00FE4460"/>
    <w:rsid w:val="00FF00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3C4E"/>
  <w15:docId w15:val="{D3FAF6BA-E49B-4E53-9501-68509E07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2C"/>
  </w:style>
  <w:style w:type="paragraph" w:styleId="Heading3">
    <w:name w:val="heading 3"/>
    <w:basedOn w:val="Normal"/>
    <w:next w:val="Normal"/>
    <w:link w:val="Heading3Char"/>
    <w:uiPriority w:val="9"/>
    <w:semiHidden/>
    <w:unhideWhenUsed/>
    <w:qFormat/>
    <w:rsid w:val="007C66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5A59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FC530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A59D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7C66C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14741"/>
    <w:rPr>
      <w:color w:val="0000FF" w:themeColor="hyperlink"/>
      <w:u w:val="single"/>
    </w:rPr>
  </w:style>
  <w:style w:type="character" w:styleId="UnresolvedMention">
    <w:name w:val="Unresolved Mention"/>
    <w:basedOn w:val="DefaultParagraphFont"/>
    <w:uiPriority w:val="99"/>
    <w:semiHidden/>
    <w:unhideWhenUsed/>
    <w:rsid w:val="00114741"/>
    <w:rPr>
      <w:color w:val="605E5C"/>
      <w:shd w:val="clear" w:color="auto" w:fill="E1DFDD"/>
    </w:rPr>
  </w:style>
  <w:style w:type="paragraph" w:styleId="Header">
    <w:name w:val="header"/>
    <w:basedOn w:val="Normal"/>
    <w:link w:val="HeaderChar"/>
    <w:uiPriority w:val="99"/>
    <w:unhideWhenUsed/>
    <w:rsid w:val="00F27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3C3"/>
  </w:style>
  <w:style w:type="paragraph" w:styleId="Footer">
    <w:name w:val="footer"/>
    <w:basedOn w:val="Normal"/>
    <w:link w:val="FooterChar"/>
    <w:uiPriority w:val="99"/>
    <w:unhideWhenUsed/>
    <w:rsid w:val="00F27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3C3"/>
  </w:style>
  <w:style w:type="character" w:customStyle="1" w:styleId="Heading5Char">
    <w:name w:val="Heading 5 Char"/>
    <w:basedOn w:val="DefaultParagraphFont"/>
    <w:link w:val="Heading5"/>
    <w:uiPriority w:val="9"/>
    <w:semiHidden/>
    <w:rsid w:val="00FC5301"/>
    <w:rPr>
      <w:rFonts w:asciiTheme="majorHAnsi" w:eastAsiaTheme="majorEastAsia" w:hAnsiTheme="majorHAnsi" w:cstheme="majorBidi"/>
      <w:color w:val="365F91" w:themeColor="accent1" w:themeShade="BF"/>
    </w:rPr>
  </w:style>
  <w:style w:type="paragraph" w:styleId="Bibliography">
    <w:name w:val="Bibliography"/>
    <w:basedOn w:val="Normal"/>
    <w:next w:val="Normal"/>
    <w:uiPriority w:val="37"/>
    <w:unhideWhenUsed/>
    <w:rsid w:val="00C8202C"/>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584115">
      <w:bodyDiv w:val="1"/>
      <w:marLeft w:val="0"/>
      <w:marRight w:val="0"/>
      <w:marTop w:val="0"/>
      <w:marBottom w:val="0"/>
      <w:divBdr>
        <w:top w:val="none" w:sz="0" w:space="0" w:color="auto"/>
        <w:left w:val="none" w:sz="0" w:space="0" w:color="auto"/>
        <w:bottom w:val="none" w:sz="0" w:space="0" w:color="auto"/>
        <w:right w:val="none" w:sz="0" w:space="0" w:color="auto"/>
      </w:divBdr>
    </w:div>
    <w:div w:id="1279796283">
      <w:bodyDiv w:val="1"/>
      <w:marLeft w:val="0"/>
      <w:marRight w:val="0"/>
      <w:marTop w:val="0"/>
      <w:marBottom w:val="0"/>
      <w:divBdr>
        <w:top w:val="none" w:sz="0" w:space="0" w:color="auto"/>
        <w:left w:val="none" w:sz="0" w:space="0" w:color="auto"/>
        <w:bottom w:val="none" w:sz="0" w:space="0" w:color="auto"/>
        <w:right w:val="none" w:sz="0" w:space="0" w:color="auto"/>
      </w:divBdr>
    </w:div>
    <w:div w:id="131945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13114</TotalTime>
  <Pages>25</Pages>
  <Words>5657</Words>
  <Characters>32251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kamadjeur</dc:creator>
  <cp:lastModifiedBy>Youssef Adel</cp:lastModifiedBy>
  <cp:revision>231</cp:revision>
  <dcterms:created xsi:type="dcterms:W3CDTF">2012-10-23T07:36:00Z</dcterms:created>
  <dcterms:modified xsi:type="dcterms:W3CDTF">2026-06-30T14:44:00Z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id="zXwEm313"/&gt;&lt;style id="http://www.zotero.org/styles/the-pan-african-medical-journal" hasBibliography="1" bibliographyStyleHasBeenSet="1"/&gt;&lt;prefs&gt;&lt;pref name="fieldType" value="Field"/&gt;&lt;pref name="au</vt:lpwstr>
  </property>
  <property fmtid="{D5CDD505-2E9C-101B-9397-08002B2CF9AE}" pid="3" name="ZOTERO_PREF_2">
    <vt:lpwstr>tomaticJournalAbbreviations" value="true"/&gt;&lt;/prefs&gt;&lt;/data&gt;</vt:lpwstr>
  </property>
</Properties>
</file>