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 Audit Criteria Outcomes: Cycle 1 vs Cycle 2**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11"/>
        <w:gridCol w:w="1732"/>
        <w:gridCol w:w="1732"/>
        <w:gridCol w:w="1732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Audit Criterion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Cycle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Cycle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LMWH prophylaxis given within 12-24 hours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 (87.1%)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(73.0%)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(100.0%)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Correct prophylactic dose given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Correct route of administration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 assessment correctly 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Mechanical prophylaxis initiated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Patient education on DVT prevention provided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DVT screening by Doppler ultrasound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Pre-operative DVT confirmed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(20.6%)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(29.0%)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(12.8%)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Fisher's exact test used for variables where proportion reached 0% or 100% in either cycle. Pearson chi-squared test used for patient education and DVT incidence. No statistical test applied to criteria at 100% in both cycles (correct route of administration, risk assessment completion, and DVT screening by Doppler ultrasound) as there is no variation to test.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2026-06-28T12:44:16Z</dcterms:modified>
  <cp:category/>
</cp:coreProperties>
</file>