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B9B54" w14:textId="77777777" w:rsidR="00200DF4" w:rsidRDefault="00000000" w:rsidP="00C208BC">
      <w:pPr>
        <w:pStyle w:val="Title"/>
        <w:spacing w:after="120" w:line="360" w:lineRule="auto"/>
        <w:ind w:left="504"/>
        <w:jc w:val="center"/>
        <w:rPr>
          <w:rFonts w:ascii="Times New Roman" w:eastAsia="Times New Roman" w:hAnsi="Times New Roman" w:cs="Times New Roman"/>
          <w:b/>
          <w:bCs/>
          <w:sz w:val="30"/>
          <w:szCs w:val="30"/>
        </w:rPr>
      </w:pPr>
      <w:bookmarkStart w:id="0" w:name="_gqlr3m5nqlyx" w:colFirst="0" w:colLast="0"/>
      <w:bookmarkEnd w:id="0"/>
      <w:r>
        <w:rPr>
          <w:rFonts w:ascii="Times New Roman" w:eastAsia="Times New Roman" w:hAnsi="Times New Roman" w:cs="Times New Roman"/>
          <w:b/>
          <w:bCs/>
          <w:sz w:val="30"/>
          <w:szCs w:val="30"/>
        </w:rPr>
        <w:t xml:space="preserve">Do SGLT2 Inhibitors Improve Peripheral Nerve Function in Diabetic Neuropathy? A Systematic Review and Meta-Analysis </w:t>
      </w:r>
    </w:p>
    <w:p w14:paraId="47A29685" w14:textId="77777777" w:rsidR="00200DF4" w:rsidRDefault="00200DF4" w:rsidP="00C208BC">
      <w:pPr>
        <w:spacing w:after="120" w:line="360" w:lineRule="auto"/>
      </w:pPr>
    </w:p>
    <w:p w14:paraId="43753E37" w14:textId="77777777" w:rsidR="00200DF4" w:rsidRPr="000218A8" w:rsidRDefault="00200DF4" w:rsidP="00C208BC">
      <w:pPr>
        <w:spacing w:after="120" w:line="360" w:lineRule="auto"/>
        <w:rPr>
          <w:b/>
          <w:bCs/>
        </w:rPr>
      </w:pPr>
    </w:p>
    <w:p w14:paraId="03E08BEA" w14:textId="77777777" w:rsidR="00200DF4" w:rsidRPr="000218A8" w:rsidRDefault="00000000" w:rsidP="00C208BC">
      <w:pPr>
        <w:spacing w:after="120" w:line="360" w:lineRule="auto"/>
        <w:rPr>
          <w:rFonts w:asciiTheme="majorBidi" w:eastAsia="Times New Roman" w:hAnsiTheme="majorBidi" w:cstheme="majorBidi"/>
          <w:b/>
          <w:bCs/>
          <w:sz w:val="20"/>
          <w:szCs w:val="20"/>
        </w:rPr>
      </w:pPr>
      <w:r w:rsidRPr="000218A8">
        <w:rPr>
          <w:rFonts w:asciiTheme="majorBidi" w:eastAsia="Times New Roman" w:hAnsiTheme="majorBidi" w:cstheme="majorBidi"/>
          <w:b/>
          <w:bCs/>
          <w:sz w:val="20"/>
          <w:szCs w:val="20"/>
        </w:rPr>
        <w:t>Authors</w:t>
      </w:r>
    </w:p>
    <w:p w14:paraId="586451DE" w14:textId="77777777" w:rsidR="00200DF4" w:rsidRPr="000218A8" w:rsidRDefault="00200DF4" w:rsidP="00C208BC">
      <w:pPr>
        <w:spacing w:after="120" w:line="360" w:lineRule="auto"/>
        <w:rPr>
          <w:rFonts w:asciiTheme="majorBidi" w:eastAsia="Times New Roman" w:hAnsiTheme="majorBidi" w:cstheme="majorBidi"/>
          <w:b/>
          <w:bCs/>
          <w:sz w:val="20"/>
          <w:szCs w:val="20"/>
        </w:rPr>
      </w:pPr>
    </w:p>
    <w:p w14:paraId="1BA5A4E4" w14:textId="77777777" w:rsidR="00200DF4" w:rsidRPr="000218A8" w:rsidRDefault="00200DF4" w:rsidP="00C208BC">
      <w:pPr>
        <w:spacing w:after="120" w:line="360" w:lineRule="auto"/>
        <w:rPr>
          <w:rFonts w:asciiTheme="majorBidi" w:eastAsia="Times New Roman" w:hAnsiTheme="majorBidi" w:cstheme="majorBidi"/>
          <w:b/>
          <w:bCs/>
          <w:sz w:val="20"/>
          <w:szCs w:val="20"/>
        </w:rPr>
      </w:pPr>
    </w:p>
    <w:p w14:paraId="3CB3803E" w14:textId="77777777" w:rsidR="00200DF4" w:rsidRPr="000218A8" w:rsidRDefault="00200DF4" w:rsidP="00C208BC">
      <w:pPr>
        <w:spacing w:after="120" w:line="360" w:lineRule="auto"/>
        <w:rPr>
          <w:rFonts w:asciiTheme="majorBidi" w:eastAsia="Times New Roman" w:hAnsiTheme="majorBidi" w:cstheme="majorBidi"/>
          <w:b/>
          <w:bCs/>
          <w:sz w:val="20"/>
          <w:szCs w:val="20"/>
        </w:rPr>
      </w:pPr>
    </w:p>
    <w:p w14:paraId="4D4B93F4" w14:textId="77777777" w:rsidR="00200DF4" w:rsidRPr="000218A8" w:rsidRDefault="00000000" w:rsidP="00C208BC">
      <w:pPr>
        <w:spacing w:after="120" w:line="360" w:lineRule="auto"/>
        <w:rPr>
          <w:rFonts w:asciiTheme="majorBidi" w:eastAsia="Times New Roman" w:hAnsiTheme="majorBidi" w:cstheme="majorBidi"/>
          <w:b/>
          <w:bCs/>
          <w:sz w:val="20"/>
          <w:szCs w:val="20"/>
        </w:rPr>
      </w:pPr>
      <w:r w:rsidRPr="000218A8">
        <w:rPr>
          <w:rFonts w:asciiTheme="majorBidi" w:eastAsia="Times New Roman" w:hAnsiTheme="majorBidi" w:cstheme="majorBidi"/>
          <w:b/>
          <w:bCs/>
          <w:sz w:val="20"/>
          <w:szCs w:val="20"/>
        </w:rPr>
        <w:t>Affiliation</w:t>
      </w:r>
    </w:p>
    <w:p w14:paraId="6777D1C7" w14:textId="77777777" w:rsidR="00200DF4" w:rsidRPr="000218A8" w:rsidRDefault="00200DF4" w:rsidP="00C208BC">
      <w:pPr>
        <w:spacing w:after="120" w:line="360" w:lineRule="auto"/>
        <w:rPr>
          <w:rFonts w:asciiTheme="majorBidi" w:eastAsia="Times New Roman" w:hAnsiTheme="majorBidi" w:cstheme="majorBidi"/>
          <w:b/>
          <w:bCs/>
          <w:sz w:val="20"/>
          <w:szCs w:val="20"/>
        </w:rPr>
      </w:pPr>
    </w:p>
    <w:p w14:paraId="7AB7ACD6" w14:textId="77777777" w:rsidR="00200DF4" w:rsidRPr="000218A8" w:rsidRDefault="00200DF4" w:rsidP="00C208BC">
      <w:pPr>
        <w:spacing w:after="120" w:line="360" w:lineRule="auto"/>
        <w:rPr>
          <w:rFonts w:asciiTheme="majorBidi" w:eastAsia="Times New Roman" w:hAnsiTheme="majorBidi" w:cstheme="majorBidi"/>
          <w:b/>
          <w:bCs/>
          <w:sz w:val="20"/>
          <w:szCs w:val="20"/>
        </w:rPr>
      </w:pPr>
    </w:p>
    <w:p w14:paraId="736E7D02" w14:textId="77777777" w:rsidR="00200DF4" w:rsidRPr="000218A8" w:rsidRDefault="00200DF4" w:rsidP="00C208BC">
      <w:pPr>
        <w:spacing w:after="120" w:line="360" w:lineRule="auto"/>
        <w:rPr>
          <w:rFonts w:asciiTheme="majorBidi" w:eastAsia="Times New Roman" w:hAnsiTheme="majorBidi" w:cstheme="majorBidi"/>
          <w:b/>
          <w:bCs/>
          <w:sz w:val="20"/>
          <w:szCs w:val="20"/>
        </w:rPr>
      </w:pPr>
    </w:p>
    <w:p w14:paraId="70BEABE3" w14:textId="77777777" w:rsidR="00200DF4" w:rsidRPr="000218A8" w:rsidRDefault="00000000" w:rsidP="00C208BC">
      <w:pPr>
        <w:spacing w:after="120" w:line="360" w:lineRule="auto"/>
        <w:rPr>
          <w:rFonts w:asciiTheme="majorBidi" w:eastAsia="Times New Roman" w:hAnsiTheme="majorBidi" w:cstheme="majorBidi"/>
          <w:b/>
          <w:bCs/>
          <w:sz w:val="20"/>
          <w:szCs w:val="20"/>
        </w:rPr>
      </w:pPr>
      <w:r w:rsidRPr="000218A8">
        <w:rPr>
          <w:rFonts w:asciiTheme="majorBidi" w:eastAsia="Times New Roman" w:hAnsiTheme="majorBidi" w:cstheme="majorBidi"/>
          <w:b/>
          <w:bCs/>
          <w:sz w:val="20"/>
          <w:szCs w:val="20"/>
        </w:rPr>
        <w:t>Correspondence to</w:t>
      </w:r>
    </w:p>
    <w:p w14:paraId="5DD50E89" w14:textId="77777777" w:rsidR="00200DF4" w:rsidRPr="000218A8" w:rsidRDefault="00200DF4" w:rsidP="00C208BC">
      <w:pPr>
        <w:spacing w:after="120" w:line="360" w:lineRule="auto"/>
        <w:rPr>
          <w:rFonts w:ascii="Times New Roman" w:eastAsia="Times New Roman" w:hAnsi="Times New Roman" w:cs="Times New Roman"/>
          <w:b/>
          <w:bCs/>
        </w:rPr>
      </w:pPr>
    </w:p>
    <w:p w14:paraId="519B8D56" w14:textId="77777777" w:rsidR="00200DF4" w:rsidRDefault="00000000" w:rsidP="00C208BC">
      <w:pPr>
        <w:spacing w:after="120" w:line="360" w:lineRule="auto"/>
        <w:rPr>
          <w:rFonts w:ascii="Times New Roman" w:eastAsia="Times New Roman" w:hAnsi="Times New Roman" w:cs="Times New Roman"/>
        </w:rPr>
      </w:pPr>
      <w:r>
        <w:br w:type="page"/>
      </w:r>
    </w:p>
    <w:p w14:paraId="578A07D7" w14:textId="77777777" w:rsidR="00200DF4" w:rsidRDefault="00000000" w:rsidP="00C208BC">
      <w:pPr>
        <w:pStyle w:val="Heading1"/>
        <w:spacing w:line="360" w:lineRule="auto"/>
      </w:pPr>
      <w:r>
        <w:lastRenderedPageBreak/>
        <w:t>Abstract</w:t>
      </w:r>
    </w:p>
    <w:p w14:paraId="15F70D1E" w14:textId="77777777" w:rsidR="0056582B" w:rsidRPr="0056582B" w:rsidRDefault="0056582B" w:rsidP="0056582B">
      <w:pPr>
        <w:spacing w:after="120" w:line="360" w:lineRule="auto"/>
        <w:jc w:val="both"/>
        <w:rPr>
          <w:rFonts w:ascii="Times New Roman" w:eastAsia="Times New Roman" w:hAnsi="Times New Roman" w:cs="Times New Roman"/>
          <w:b/>
          <w:bCs/>
        </w:rPr>
      </w:pPr>
      <w:r w:rsidRPr="0056582B">
        <w:rPr>
          <w:rFonts w:ascii="Times New Roman" w:eastAsia="Times New Roman" w:hAnsi="Times New Roman" w:cs="Times New Roman"/>
          <w:b/>
          <w:bCs/>
        </w:rPr>
        <w:t>Background and Aims</w:t>
      </w:r>
    </w:p>
    <w:p w14:paraId="5815C87B" w14:textId="2B7079F9" w:rsidR="0056582B" w:rsidRPr="0056582B" w:rsidRDefault="0056582B" w:rsidP="0056582B">
      <w:pPr>
        <w:spacing w:after="120" w:line="360" w:lineRule="auto"/>
        <w:jc w:val="both"/>
        <w:rPr>
          <w:rFonts w:ascii="Times New Roman" w:eastAsia="Times New Roman" w:hAnsi="Times New Roman" w:cs="Times New Roman"/>
        </w:rPr>
      </w:pPr>
      <w:r w:rsidRPr="0056582B">
        <w:rPr>
          <w:rFonts w:ascii="Times New Roman" w:eastAsia="Times New Roman" w:hAnsi="Times New Roman" w:cs="Times New Roman"/>
        </w:rPr>
        <w:t>Peripheral diabetic neuropathy (PDN) affects up to 50% of people with diabetes and represents a leading cause of morbidity and lower-limb amputation, yet no approved disease-modifying therapy exists. This systematic review and meta-analysis evaluated the effect of SGLT2 inhibitors on peripheral nerve function and related biomarkers in patients with PDN.</w:t>
      </w:r>
    </w:p>
    <w:p w14:paraId="56B8F8D7" w14:textId="77777777" w:rsidR="0056582B" w:rsidRPr="0056582B" w:rsidRDefault="0056582B" w:rsidP="0056582B">
      <w:pPr>
        <w:spacing w:after="120" w:line="360" w:lineRule="auto"/>
        <w:jc w:val="both"/>
        <w:rPr>
          <w:rFonts w:ascii="Times New Roman" w:eastAsia="Times New Roman" w:hAnsi="Times New Roman" w:cs="Times New Roman"/>
          <w:b/>
          <w:bCs/>
        </w:rPr>
      </w:pPr>
      <w:r w:rsidRPr="0056582B">
        <w:rPr>
          <w:rFonts w:ascii="Times New Roman" w:eastAsia="Times New Roman" w:hAnsi="Times New Roman" w:cs="Times New Roman"/>
          <w:b/>
          <w:bCs/>
        </w:rPr>
        <w:t>Methods</w:t>
      </w:r>
    </w:p>
    <w:p w14:paraId="3360EC2F" w14:textId="17D42FC3" w:rsidR="00E63A13" w:rsidRDefault="00E63A13" w:rsidP="007C671D">
      <w:pPr>
        <w:spacing w:after="120" w:line="360" w:lineRule="auto"/>
        <w:jc w:val="both"/>
        <w:rPr>
          <w:rFonts w:ascii="Times New Roman" w:eastAsia="Times New Roman" w:hAnsi="Times New Roman" w:cs="Times New Roman"/>
        </w:rPr>
      </w:pPr>
      <w:r w:rsidRPr="00E63A13">
        <w:rPr>
          <w:rFonts w:ascii="Times New Roman" w:eastAsia="Times New Roman" w:hAnsi="Times New Roman" w:cs="Times New Roman"/>
        </w:rPr>
        <w:t>Following PRISMA 2020 guidelines and a registered PROSPERO protocol (ID:</w:t>
      </w:r>
      <w:r w:rsidR="007C671D" w:rsidRPr="007C671D">
        <w:rPr>
          <w:color w:val="212529"/>
          <w:sz w:val="23"/>
          <w:szCs w:val="23"/>
          <w:shd w:val="clear" w:color="auto" w:fill="FAFAFA"/>
        </w:rPr>
        <w:t xml:space="preserve"> </w:t>
      </w:r>
      <w:r w:rsidR="007C671D" w:rsidRPr="007C671D">
        <w:rPr>
          <w:rFonts w:ascii="Times New Roman" w:eastAsia="Times New Roman" w:hAnsi="Times New Roman" w:cs="Times New Roman"/>
        </w:rPr>
        <w:t>CRD420261407978</w:t>
      </w:r>
      <w:r w:rsidRPr="00E63A13">
        <w:rPr>
          <w:rFonts w:ascii="Times New Roman" w:eastAsia="Times New Roman" w:hAnsi="Times New Roman" w:cs="Times New Roman"/>
        </w:rPr>
        <w:t>), a systematic search was conducted across PubMed, EMBASE, Cochrane CENTRAL, and Scopus from inception to December 2025. The primary outcomes were peripheral nerve function parameters assessed by nerve conduction studies, encompassing sural nerve sensory conduction velocity (SNCV) and amplitude, and peroneal nerve motor conduction velocity, amplitude, and latency. Secondary outcomes included corneal confocal microscopy metrics and oxidative stress markers including malondialdehyde (MDA). Fixed or random-effects meta-analyses were performed where two or more studies reported a common outcome, with narrative synthesis applied where pooling was inappropriate.</w:t>
      </w:r>
    </w:p>
    <w:p w14:paraId="783B64B9" w14:textId="29C98786" w:rsidR="0056582B" w:rsidRPr="0056582B" w:rsidRDefault="0056582B" w:rsidP="0056582B">
      <w:pPr>
        <w:spacing w:after="120" w:line="360" w:lineRule="auto"/>
        <w:jc w:val="both"/>
        <w:rPr>
          <w:rFonts w:ascii="Times New Roman" w:eastAsia="Times New Roman" w:hAnsi="Times New Roman" w:cs="Times New Roman"/>
          <w:b/>
          <w:bCs/>
        </w:rPr>
      </w:pPr>
      <w:r w:rsidRPr="0056582B">
        <w:rPr>
          <w:rFonts w:ascii="Times New Roman" w:eastAsia="Times New Roman" w:hAnsi="Times New Roman" w:cs="Times New Roman"/>
          <w:b/>
          <w:bCs/>
        </w:rPr>
        <w:t>Results</w:t>
      </w:r>
    </w:p>
    <w:p w14:paraId="495CB2B0" w14:textId="645E5854" w:rsidR="00E63A13" w:rsidRDefault="00E63A13" w:rsidP="00E63A13">
      <w:pPr>
        <w:spacing w:after="120" w:line="360" w:lineRule="auto"/>
        <w:jc w:val="both"/>
        <w:rPr>
          <w:rFonts w:ascii="Times New Roman" w:eastAsia="Times New Roman" w:hAnsi="Times New Roman" w:cs="Times New Roman"/>
        </w:rPr>
      </w:pPr>
      <w:r w:rsidRPr="00E63A13">
        <w:rPr>
          <w:rFonts w:ascii="Times New Roman" w:eastAsia="Times New Roman" w:hAnsi="Times New Roman" w:cs="Times New Roman"/>
        </w:rPr>
        <w:t xml:space="preserve">Seven studies met inclusion criteria: five RCTs, one prospective cohort, and one single-arm study. Meta-analysis demonstrated a statistically significant improvement in sural SNCV </w:t>
      </w:r>
      <w:proofErr w:type="spellStart"/>
      <w:r w:rsidRPr="00E63A13">
        <w:rPr>
          <w:rFonts w:ascii="Times New Roman" w:eastAsia="Times New Roman" w:hAnsi="Times New Roman" w:cs="Times New Roman"/>
        </w:rPr>
        <w:t>favouring</w:t>
      </w:r>
      <w:proofErr w:type="spellEnd"/>
      <w:r w:rsidRPr="00E63A13">
        <w:rPr>
          <w:rFonts w:ascii="Times New Roman" w:eastAsia="Times New Roman" w:hAnsi="Times New Roman" w:cs="Times New Roman"/>
        </w:rPr>
        <w:t xml:space="preserve"> SGLT2 inhibitors (MD 2.92 m/s; 95% CI 1.43</w:t>
      </w:r>
      <w:r w:rsidR="00632352">
        <w:rPr>
          <w:rFonts w:ascii="Times New Roman" w:eastAsia="Times New Roman" w:hAnsi="Times New Roman" w:cs="Times New Roman"/>
        </w:rPr>
        <w:t xml:space="preserve"> to </w:t>
      </w:r>
      <w:r w:rsidRPr="00E63A13">
        <w:rPr>
          <w:rFonts w:ascii="Times New Roman" w:eastAsia="Times New Roman" w:hAnsi="Times New Roman" w:cs="Times New Roman"/>
        </w:rPr>
        <w:t>4.42; p &lt; 0.01; I² = 0%), with a sensitivity analysis restricted to RCTs yielding a consistent result (MD 3.38 m/s; 95% CI 1.63</w:t>
      </w:r>
      <w:r w:rsidR="00632352">
        <w:rPr>
          <w:rFonts w:ascii="Times New Roman" w:eastAsia="Times New Roman" w:hAnsi="Times New Roman" w:cs="Times New Roman"/>
        </w:rPr>
        <w:t xml:space="preserve"> to </w:t>
      </w:r>
      <w:r w:rsidRPr="00E63A13">
        <w:rPr>
          <w:rFonts w:ascii="Times New Roman" w:eastAsia="Times New Roman" w:hAnsi="Times New Roman" w:cs="Times New Roman"/>
        </w:rPr>
        <w:t xml:space="preserve">5.13; p = 0.0002; I² = 0%). Peroneal nerve motor latency was also significantly reduced (MD </w:t>
      </w:r>
      <w:r w:rsidR="00632352">
        <w:rPr>
          <w:rFonts w:ascii="Times New Roman" w:eastAsia="Times New Roman" w:hAnsi="Times New Roman" w:cs="Times New Roman"/>
        </w:rPr>
        <w:t>-</w:t>
      </w:r>
      <w:r w:rsidRPr="00E63A13">
        <w:rPr>
          <w:rFonts w:ascii="Times New Roman" w:eastAsia="Times New Roman" w:hAnsi="Times New Roman" w:cs="Times New Roman"/>
        </w:rPr>
        <w:t xml:space="preserve">0.29 </w:t>
      </w:r>
      <w:proofErr w:type="spellStart"/>
      <w:r w:rsidRPr="00E63A13">
        <w:rPr>
          <w:rFonts w:ascii="Times New Roman" w:eastAsia="Times New Roman" w:hAnsi="Times New Roman" w:cs="Times New Roman"/>
        </w:rPr>
        <w:t>ms</w:t>
      </w:r>
      <w:proofErr w:type="spellEnd"/>
      <w:r w:rsidRPr="00E63A13">
        <w:rPr>
          <w:rFonts w:ascii="Times New Roman" w:eastAsia="Times New Roman" w:hAnsi="Times New Roman" w:cs="Times New Roman"/>
        </w:rPr>
        <w:t xml:space="preserve">; 95% CI </w:t>
      </w:r>
      <w:r w:rsidR="00632352">
        <w:rPr>
          <w:rFonts w:ascii="Times New Roman" w:eastAsia="Times New Roman" w:hAnsi="Times New Roman" w:cs="Times New Roman"/>
        </w:rPr>
        <w:t>-</w:t>
      </w:r>
      <w:r w:rsidRPr="00E63A13">
        <w:rPr>
          <w:rFonts w:ascii="Times New Roman" w:eastAsia="Times New Roman" w:hAnsi="Times New Roman" w:cs="Times New Roman"/>
        </w:rPr>
        <w:t xml:space="preserve">0.38 to </w:t>
      </w:r>
      <w:r w:rsidR="00632352">
        <w:rPr>
          <w:rFonts w:ascii="Times New Roman" w:eastAsia="Times New Roman" w:hAnsi="Times New Roman" w:cs="Times New Roman"/>
        </w:rPr>
        <w:t>-</w:t>
      </w:r>
      <w:r w:rsidRPr="00E63A13">
        <w:rPr>
          <w:rFonts w:ascii="Times New Roman" w:eastAsia="Times New Roman" w:hAnsi="Times New Roman" w:cs="Times New Roman"/>
        </w:rPr>
        <w:t xml:space="preserve">0.20; p &lt; 0.01; I² </w:t>
      </w:r>
      <w:r w:rsidR="00632352">
        <w:rPr>
          <w:rFonts w:ascii="Times New Roman" w:eastAsia="Times New Roman" w:hAnsi="Times New Roman" w:cs="Times New Roman"/>
        </w:rPr>
        <w:t>=</w:t>
      </w:r>
      <w:r w:rsidRPr="00E63A13">
        <w:rPr>
          <w:rFonts w:ascii="Times New Roman" w:eastAsia="Times New Roman" w:hAnsi="Times New Roman" w:cs="Times New Roman"/>
        </w:rPr>
        <w:t xml:space="preserve"> 0%). Sural nerve amplitude showed a significant pooled result that was not sustained on RCT</w:t>
      </w:r>
      <w:r w:rsidR="00632352">
        <w:rPr>
          <w:rFonts w:ascii="Times New Roman" w:eastAsia="Times New Roman" w:hAnsi="Times New Roman" w:cs="Times New Roman"/>
        </w:rPr>
        <w:t>-</w:t>
      </w:r>
      <w:r w:rsidRPr="00E63A13">
        <w:rPr>
          <w:rFonts w:ascii="Times New Roman" w:eastAsia="Times New Roman" w:hAnsi="Times New Roman" w:cs="Times New Roman"/>
        </w:rPr>
        <w:t>restricted analysis and is considered inconclusive. No significant between-group differences were identified in peroneal motor conduction velocity or amplitude. MDA and corneal confocal microscopy outcomes showed no significant between-group differences.</w:t>
      </w:r>
    </w:p>
    <w:p w14:paraId="02F27639" w14:textId="45DCF981" w:rsidR="0056582B" w:rsidRPr="0056582B" w:rsidRDefault="0056582B" w:rsidP="0056582B">
      <w:pPr>
        <w:spacing w:after="120" w:line="360" w:lineRule="auto"/>
        <w:jc w:val="both"/>
        <w:rPr>
          <w:rFonts w:ascii="Times New Roman" w:eastAsia="Times New Roman" w:hAnsi="Times New Roman" w:cs="Times New Roman"/>
          <w:b/>
          <w:bCs/>
        </w:rPr>
      </w:pPr>
      <w:r w:rsidRPr="0056582B">
        <w:rPr>
          <w:rFonts w:ascii="Times New Roman" w:eastAsia="Times New Roman" w:hAnsi="Times New Roman" w:cs="Times New Roman"/>
          <w:b/>
          <w:bCs/>
        </w:rPr>
        <w:t>Conclusion</w:t>
      </w:r>
    </w:p>
    <w:p w14:paraId="45C8DFB5" w14:textId="2AAE10A5" w:rsidR="00200DF4" w:rsidRPr="00765D7B" w:rsidRDefault="0056582B" w:rsidP="0056582B">
      <w:pPr>
        <w:spacing w:after="120" w:line="360" w:lineRule="auto"/>
        <w:jc w:val="both"/>
        <w:rPr>
          <w:rFonts w:ascii="Times New Roman" w:eastAsia="Times New Roman" w:hAnsi="Times New Roman" w:cs="Times New Roman"/>
          <w:lang w:val="en-US"/>
        </w:rPr>
      </w:pPr>
      <w:r w:rsidRPr="0056582B">
        <w:rPr>
          <w:rFonts w:ascii="Times New Roman" w:eastAsia="Times New Roman" w:hAnsi="Times New Roman" w:cs="Times New Roman"/>
        </w:rPr>
        <w:t xml:space="preserve">SGLT2 inhibitors demonstrated consistent and significant improvements in sural nerve sensory conduction velocity and peroneal nerve motor latency, suggesting a neuroprotective effect mediated through mechanisms beyond </w:t>
      </w:r>
      <w:proofErr w:type="spellStart"/>
      <w:r w:rsidRPr="0056582B">
        <w:rPr>
          <w:rFonts w:ascii="Times New Roman" w:eastAsia="Times New Roman" w:hAnsi="Times New Roman" w:cs="Times New Roman"/>
        </w:rPr>
        <w:t>glycaemic</w:t>
      </w:r>
      <w:proofErr w:type="spellEnd"/>
      <w:r w:rsidRPr="0056582B">
        <w:rPr>
          <w:rFonts w:ascii="Times New Roman" w:eastAsia="Times New Roman" w:hAnsi="Times New Roman" w:cs="Times New Roman"/>
        </w:rPr>
        <w:t xml:space="preserve"> control; however, evidence for effects on nerve amplitude, corneal morphology, and oxidative stress markers remains inconclusive, and larger </w:t>
      </w:r>
      <w:proofErr w:type="spellStart"/>
      <w:r w:rsidRPr="0056582B">
        <w:rPr>
          <w:rFonts w:ascii="Times New Roman" w:eastAsia="Times New Roman" w:hAnsi="Times New Roman" w:cs="Times New Roman"/>
        </w:rPr>
        <w:t>randomised</w:t>
      </w:r>
      <w:proofErr w:type="spellEnd"/>
      <w:r w:rsidRPr="0056582B">
        <w:rPr>
          <w:rFonts w:ascii="Times New Roman" w:eastAsia="Times New Roman" w:hAnsi="Times New Roman" w:cs="Times New Roman"/>
        </w:rPr>
        <w:t xml:space="preserve"> controlled trials with pre-specified electrodiagnostic endpoints are needed to establish SGLT2 inhibitors as a disease-modifying therapy for PDN.</w:t>
      </w:r>
      <w:r w:rsidR="00765D7B">
        <w:br w:type="page"/>
      </w:r>
    </w:p>
    <w:p w14:paraId="463B0E3D" w14:textId="0082CF0D" w:rsidR="00200DF4" w:rsidRDefault="00CC260B" w:rsidP="00C208BC">
      <w:pPr>
        <w:pStyle w:val="Heading1"/>
        <w:spacing w:line="360" w:lineRule="auto"/>
        <w:rPr>
          <w:rFonts w:ascii="Times New Roman" w:eastAsia="Times New Roman" w:hAnsi="Times New Roman" w:cs="Times New Roman"/>
          <w:sz w:val="22"/>
          <w:szCs w:val="22"/>
        </w:rPr>
      </w:pPr>
      <w:bookmarkStart w:id="1" w:name="_p2ew7bqicju2" w:colFirst="0" w:colLast="0"/>
      <w:bookmarkEnd w:id="1"/>
      <w:r>
        <w:lastRenderedPageBreak/>
        <w:t xml:space="preserve">1. </w:t>
      </w:r>
      <w:r w:rsidRPr="00CC260B">
        <w:t>Introduction</w:t>
      </w:r>
    </w:p>
    <w:p w14:paraId="4FD13061" w14:textId="1FAD2137" w:rsidR="00814CE3" w:rsidRPr="00814CE3" w:rsidRDefault="00814CE3" w:rsidP="00845779">
      <w:pPr>
        <w:spacing w:after="120" w:line="360" w:lineRule="auto"/>
        <w:jc w:val="both"/>
        <w:rPr>
          <w:rFonts w:ascii="Times New Roman" w:eastAsia="Times New Roman" w:hAnsi="Times New Roman" w:cs="Times New Roman"/>
        </w:rPr>
      </w:pPr>
      <w:r w:rsidRPr="00814CE3">
        <w:rPr>
          <w:rFonts w:ascii="Times New Roman" w:eastAsia="Times New Roman" w:hAnsi="Times New Roman" w:cs="Times New Roman"/>
        </w:rPr>
        <w:t xml:space="preserve">Diabetes mellitus represents one of the foremost global health challenges of the 21st century, with its prevalence continuing to rise across both high-income and low-to-middle-income countries. Among its many chronic complications, peripheral diabetic neuropathy (PDN) is the most common, manifesting predominantly as a distal symmetric polyneuropathy with early involvement of small </w:t>
      </w:r>
      <w:proofErr w:type="spellStart"/>
      <w:r w:rsidRPr="00814CE3">
        <w:rPr>
          <w:rFonts w:ascii="Times New Roman" w:eastAsia="Times New Roman" w:hAnsi="Times New Roman" w:cs="Times New Roman"/>
        </w:rPr>
        <w:t>fibres</w:t>
      </w:r>
      <w:proofErr w:type="spellEnd"/>
      <w:r w:rsidRPr="00814CE3">
        <w:rPr>
          <w:rFonts w:ascii="Times New Roman" w:eastAsia="Times New Roman" w:hAnsi="Times New Roman" w:cs="Times New Roman"/>
        </w:rPr>
        <w:t xml:space="preserve"> and progressive sensory loss</w:t>
      </w:r>
      <w:r w:rsidR="00320191">
        <w:rPr>
          <w:rFonts w:ascii="Times New Roman" w:eastAsia="Times New Roman" w:hAnsi="Times New Roman" w:cs="Times New Roman"/>
        </w:rPr>
        <w:t xml:space="preserve"> </w:t>
      </w:r>
      <w:r w:rsidR="00320191">
        <w:rPr>
          <w:rFonts w:ascii="Times New Roman" w:eastAsia="Times New Roman" w:hAnsi="Times New Roman" w:cs="Times New Roman"/>
        </w:rPr>
        <w:fldChar w:fldCharType="begin"/>
      </w:r>
      <w:r w:rsidR="00320191">
        <w:rPr>
          <w:rFonts w:ascii="Times New Roman" w:eastAsia="Times New Roman" w:hAnsi="Times New Roman" w:cs="Times New Roman"/>
        </w:rPr>
        <w:instrText xml:space="preserve"> ADDIN ZOTERO_ITEM CSL_CITATION {"citationID":"h4WDlOOF","properties":{"formattedCitation":"[1]","plainCitation":"[1]","noteIndex":0},"citationItems":[{"id":157,"uris":["http://zotero.org/groups/6437514/items/7HGX3BSU"],"itemData":{"id":157,"type":"article-journal","abstract":"Diabetic peripheral neuropathy (DPN) is one of the most common and disabling complications of diabetes mellitus (DM), affecting up to 50% of patients during the course of their disease. The condition manifests predominantly as a distal symmetric polyneuropathy, with early involvement of small fibers and progressive sensory loss. Epidemiological data show high prevalence not only in type 1 and type 2 diabetes but also in prediabetic populations, highlighting the need for early detection. The pathophysiology of DPN is complex, involving metabolic dysregulation, oxidative stress, vascular insufficiency, inflammation, and mitochondrial dysfunction. Diagnostic tools range from clinical examination and nerve conduction studies (NCS) to magnetic resonance imaging. Recent advances in plasma and neuroimaging biomarkers offer promising avenues for earlier and more accurate diagnosis. Management focuses on strict glycemic control, risk factor modification, symptomatic treatment of neuropathic pain, and lifestyle interventions. Despite ongoing research, no curative therapy currently exists, underscoring the urgent need for disease‐modifying strategies. A multidisciplinary, patient‐centered approach is essential to mitigate complications and improve quality of life. This review provides a comprehensive overview of DPN, covering its epidemiology, pathogenesis, diagnostic approaches, emerging biomarkers, and current management strategies. Future research should emphasize biomarker validation, longitudinal monitoring, and personalized therapeutic interventions.","container-title":"Journal of Diabetes Research","DOI":"10.1155/jdr/9080699","ISSN":"2314-6745, 2314-6753","issue":"1","journalAbbreviation":"Journal of Diabetes Research","language":"en","page":"9080699","source":"DOI.org (Crossref)","title":"Diabetic Peripheral Neuropathy: Current Epidemiology, Diagnostic Advances, Biomarkers, and Management Strategies","title-short":"Diabetic Peripheral Neuropathy","volume":"2026","author":[{"family":"Kurz","given":"Felix T."},{"family":"Jende","given":"Johann M."},{"family":"Salomir","given":"Rares"},{"family":"Lövblad","given":"Karl-Olof"},{"family":"Lascano","given":"Agustina"},{"family":"Gariani","given":"Karim"}],"editor":[{"family":"Spallone","given":"Vincenza"}],"issued":{"date-parts":[["2026",1]]}}}],"schema":"https://github.com/citation-style-language/schema/raw/master/csl-citation.json"} </w:instrText>
      </w:r>
      <w:r w:rsidR="00320191">
        <w:rPr>
          <w:rFonts w:ascii="Times New Roman" w:eastAsia="Times New Roman" w:hAnsi="Times New Roman" w:cs="Times New Roman"/>
        </w:rPr>
        <w:fldChar w:fldCharType="separate"/>
      </w:r>
      <w:r w:rsidR="00320191" w:rsidRPr="00320191">
        <w:rPr>
          <w:rFonts w:ascii="Times New Roman" w:hAnsi="Times New Roman" w:cs="Times New Roman"/>
        </w:rPr>
        <w:t>[1]</w:t>
      </w:r>
      <w:r w:rsidR="00320191">
        <w:rPr>
          <w:rFonts w:ascii="Times New Roman" w:eastAsia="Times New Roman" w:hAnsi="Times New Roman" w:cs="Times New Roman"/>
        </w:rPr>
        <w:fldChar w:fldCharType="end"/>
      </w:r>
      <w:r w:rsidRPr="00814CE3">
        <w:rPr>
          <w:rFonts w:ascii="Times New Roman" w:eastAsia="Times New Roman" w:hAnsi="Times New Roman" w:cs="Times New Roman"/>
        </w:rPr>
        <w:t>. Beyond its high prevalence, PDN carries a substantial clinical burden: it is a leading driver of neuropathic pain, diabetic foot ulceration, and lower-limb amputation, and is associated with markedly impaired quality of life</w:t>
      </w:r>
      <w:r w:rsidR="00845779">
        <w:rPr>
          <w:rFonts w:ascii="Times New Roman" w:eastAsia="Times New Roman" w:hAnsi="Times New Roman" w:cs="Times New Roman"/>
        </w:rPr>
        <w:t xml:space="preserve"> </w:t>
      </w:r>
      <w:r w:rsidR="00845779">
        <w:rPr>
          <w:rFonts w:ascii="Times New Roman" w:eastAsia="Times New Roman" w:hAnsi="Times New Roman" w:cs="Times New Roman"/>
        </w:rPr>
        <w:fldChar w:fldCharType="begin"/>
      </w:r>
      <w:r w:rsidR="00845779">
        <w:rPr>
          <w:rFonts w:ascii="Times New Roman" w:eastAsia="Times New Roman" w:hAnsi="Times New Roman" w:cs="Times New Roman"/>
        </w:rPr>
        <w:instrText xml:space="preserve"> ADDIN ZOTERO_ITEM CSL_CITATION {"citationID":"0yOFCsyg","properties":{"unsorted":false,"formattedCitation":"[2, 3]","plainCitation":"[2, 3]","noteIndex":0},"citationItems":[{"id":175,"uris":["http://zotero.org/groups/6437514/items/JXAQMJAR"],"itemData":{"id":175,"type":"article-journal","abstract":"ABSTRACT\n            \n              OBJECTIVE\n              To analyze the associations among and contributions of sociodemographic, clinical, and psychological variables to quality of life (QoL) related to diabetic foot ulcers (DFUs; DFUQoL).\n            \n            \n              METHODS\n              The sample comprised 70 patients with DFUs who answered the following questionnaires: the Hospital Anxiety and Depression Scale, Illness Perception Questionnaire-Brief, Diabetic Foot Ulcer-Short Form, Medical Term Recognition test, and a sociodemographic and clinical questionnaire. Pearson and biserial correlation coefficients, hierarchical regressions, and moderation analyses were conducted to study the relationships among variables.\n            \n            \n              RESULTS\n              The results showed that a large DFU, threatening representations about DFU, and more psychological distress were associated with lower DFUQoL. Also, more psychological distress, more threatening DFU representations, and taking antibiotics contributed to worse DFUQoL. Clinically significant levels of psychological distress moderated the relationship between the DFU extent and negative emotions.\n            \n            \n              CONCLUSIONS\n              This study showed that QoL and its domains were associated with psychological distress and that QoL was more influenced by DFU representations than by a larger-sized wound, emphasizing the importance of psychological interventions in the treatment of patients with DFUs.","container-title":"Advances in Skin &amp; Wound Care","DOI":"10.1097/01.ASW.0000891864.37619.34","ISSN":"1538-8654, 1527-7941","issue":"12","journalAbbreviation":"Adv Skin Wound Care","language":"en","page":"661-668","source":"DOI.org (Crossref)","title":"Quality of Life in Patients with Diabetic Foot Ulcers: A Cross-sectional Study","title-short":"Quality of Life in Patients with Diabetic Foot Ulcers","volume":"35","author":[{"family":"Dias","given":"Ângela"},{"family":"Ferreira","given":"Gabriela"},{"family":"Vilaça","given":"Margarida"},{"family":"Pereira","given":"M. Graça"}],"issued":{"date-parts":[["2022",12]]}}},{"id":174,"uris":["http://zotero.org/groups/6437514/items/SPLFUMIF"],"itemData":{"id":174,"type":"article-journal","abstract":"Abstract\n            \n              Quality of life (QOL) may be impacted by foot ulcer‐related factors, with prevention of diabetes‐related foot ulcers or more effective early healing helping to improve overall patient QOL. This study, which examined the relationship between foot ulcer‐related factors and QOL in patients with diabetes, was conducted as a secondary analysis of a prospective observational study entitled: “Factors associated with the discontinuation of wound care specialist clinic visits in patients with diabetic foot ulcers”. We investigated EQ‐5D‐5L, patient characteristics and foot ulcer‐related factors of 73 patients with diabetes‐related foot ulcers who visited one wound clinic in Indonesia between August 2020 and February 2021. Results showed that the mean health utility was 0.294 ± 0.371. Factors selected for the multiple regression analysis included inflammation/infection of DMIST, first‐ever foot ulcer, and size of DMIST. First‐ever foot ulcer (\n              β\n               = 0.309,\n              p\n               = 0.003) and size of DMIST (\n              β\n               = −0.316,\n              p\n               = 0.015) were significantly associated with the health utility (\n              p\n               &lt; 0.001). Significant improvement in the health utility of 15 patients was observed when the ulcer healed (Wilcoxon signed‐rank sum test,\n              p\n               = 0.001). In conclusion, not only ulcer severity but also the first‐ever foot ulcer itself affected the QOL in patients with diabetes. These results suggest there will be a greater impact on the QOL of patients who develop diabetes‐related foot ulcers for the first time, along with the importance of prevention and early healing, through early infection control and wound size reduction.","container-title":"International Wound Journal","DOI":"10.1111/iwj.14895","ISSN":"1742-4801, 1742-481X","issue":"5","journalAbbreviation":"International Wound Journal","language":"en","page":"e14895","source":"DOI.org (Crossref)","title":"Impact of foot ulcer‐related factors on quality of life in patients with diabetes: Prospective observational study","title-short":"Impact of foot ulcer‐related factors on quality of life in patients with diabetes","volume":"21","author":[{"family":"Oe","given":"Makoto"},{"family":"Saad","given":"Supriadi Syafiie"},{"family":"Jais","given":"Suriadi"},{"family":"Sugama","given":"Junko"}],"issued":{"date-parts":[["2024",5]]}}}],"schema":"https://github.com/citation-style-language/schema/raw/master/csl-citation.json"} </w:instrText>
      </w:r>
      <w:r w:rsidR="00845779">
        <w:rPr>
          <w:rFonts w:ascii="Times New Roman" w:eastAsia="Times New Roman" w:hAnsi="Times New Roman" w:cs="Times New Roman"/>
        </w:rPr>
        <w:fldChar w:fldCharType="separate"/>
      </w:r>
      <w:r w:rsidR="00845779" w:rsidRPr="00845779">
        <w:rPr>
          <w:rFonts w:ascii="Times New Roman" w:hAnsi="Times New Roman" w:cs="Times New Roman"/>
        </w:rPr>
        <w:t>[2, 3]</w:t>
      </w:r>
      <w:r w:rsidR="00845779">
        <w:rPr>
          <w:rFonts w:ascii="Times New Roman" w:eastAsia="Times New Roman" w:hAnsi="Times New Roman" w:cs="Times New Roman"/>
        </w:rPr>
        <w:fldChar w:fldCharType="end"/>
      </w:r>
      <w:r w:rsidRPr="00814CE3">
        <w:rPr>
          <w:rFonts w:ascii="Times New Roman" w:eastAsia="Times New Roman" w:hAnsi="Times New Roman" w:cs="Times New Roman"/>
        </w:rPr>
        <w:t>.</w:t>
      </w:r>
    </w:p>
    <w:p w14:paraId="2739EBF5" w14:textId="0E70F523" w:rsidR="00814CE3" w:rsidRPr="00814CE3" w:rsidRDefault="00814CE3" w:rsidP="00796E7F">
      <w:pPr>
        <w:spacing w:after="120" w:line="360" w:lineRule="auto"/>
        <w:jc w:val="both"/>
        <w:rPr>
          <w:rFonts w:ascii="Times New Roman" w:eastAsia="Times New Roman" w:hAnsi="Times New Roman" w:cs="Times New Roman"/>
        </w:rPr>
      </w:pPr>
      <w:r w:rsidRPr="00814CE3">
        <w:rPr>
          <w:rFonts w:ascii="Times New Roman" w:eastAsia="Times New Roman" w:hAnsi="Times New Roman" w:cs="Times New Roman"/>
        </w:rPr>
        <w:t xml:space="preserve">The pathophysiology of PDN is multifactorial and incompletely understood. The pathophysiological processes involved in its development are complex and appear to involve sustained </w:t>
      </w:r>
      <w:proofErr w:type="spellStart"/>
      <w:r w:rsidRPr="00814CE3">
        <w:rPr>
          <w:rFonts w:ascii="Times New Roman" w:eastAsia="Times New Roman" w:hAnsi="Times New Roman" w:cs="Times New Roman"/>
        </w:rPr>
        <w:t>hyperglycaemia</w:t>
      </w:r>
      <w:proofErr w:type="spellEnd"/>
      <w:r w:rsidRPr="00814CE3">
        <w:rPr>
          <w:rFonts w:ascii="Times New Roman" w:eastAsia="Times New Roman" w:hAnsi="Times New Roman" w:cs="Times New Roman"/>
        </w:rPr>
        <w:t xml:space="preserve">, </w:t>
      </w:r>
      <w:proofErr w:type="spellStart"/>
      <w:r w:rsidRPr="00814CE3">
        <w:rPr>
          <w:rFonts w:ascii="Times New Roman" w:eastAsia="Times New Roman" w:hAnsi="Times New Roman" w:cs="Times New Roman"/>
        </w:rPr>
        <w:t>dyslipidaemia</w:t>
      </w:r>
      <w:proofErr w:type="spellEnd"/>
      <w:r w:rsidRPr="00814CE3">
        <w:rPr>
          <w:rFonts w:ascii="Times New Roman" w:eastAsia="Times New Roman" w:hAnsi="Times New Roman" w:cs="Times New Roman"/>
        </w:rPr>
        <w:t xml:space="preserve">, and altered insulin </w:t>
      </w:r>
      <w:r w:rsidR="00320191" w:rsidRPr="00814CE3">
        <w:rPr>
          <w:rFonts w:ascii="Times New Roman" w:eastAsia="Times New Roman" w:hAnsi="Times New Roman" w:cs="Times New Roman"/>
        </w:rPr>
        <w:t>signaling</w:t>
      </w:r>
      <w:r w:rsidRPr="00814CE3">
        <w:rPr>
          <w:rFonts w:ascii="Times New Roman" w:eastAsia="Times New Roman" w:hAnsi="Times New Roman" w:cs="Times New Roman"/>
        </w:rPr>
        <w:t xml:space="preserve">, leading to several pathological alterations including mitochondrial dysfunction, DNA damage, macrophage activation, endoplasmic reticulum stress, neurodegeneration, and loss of neurotrophic </w:t>
      </w:r>
      <w:r w:rsidR="00320191" w:rsidRPr="00814CE3">
        <w:rPr>
          <w:rFonts w:ascii="Times New Roman" w:eastAsia="Times New Roman" w:hAnsi="Times New Roman" w:cs="Times New Roman"/>
        </w:rPr>
        <w:t>signaling</w:t>
      </w:r>
      <w:r w:rsidRPr="00814CE3">
        <w:rPr>
          <w:rFonts w:ascii="Times New Roman" w:eastAsia="Times New Roman" w:hAnsi="Times New Roman" w:cs="Times New Roman"/>
        </w:rPr>
        <w:t xml:space="preserve"> in neurons and cells critical to normal nerve function</w:t>
      </w:r>
      <w:r w:rsidR="00796E7F">
        <w:rPr>
          <w:rFonts w:ascii="Times New Roman" w:eastAsia="Times New Roman" w:hAnsi="Times New Roman" w:cs="Times New Roman"/>
        </w:rPr>
        <w:t xml:space="preserve"> </w:t>
      </w:r>
      <w:r w:rsidR="00796E7F">
        <w:rPr>
          <w:rFonts w:ascii="Times New Roman" w:eastAsia="Times New Roman" w:hAnsi="Times New Roman" w:cs="Times New Roman"/>
        </w:rPr>
        <w:fldChar w:fldCharType="begin"/>
      </w:r>
      <w:r w:rsidR="00845779">
        <w:rPr>
          <w:rFonts w:ascii="Times New Roman" w:eastAsia="Times New Roman" w:hAnsi="Times New Roman" w:cs="Times New Roman"/>
        </w:rPr>
        <w:instrText xml:space="preserve"> ADDIN ZOTERO_ITEM CSL_CITATION {"citationID":"CmoekJAn","properties":{"formattedCitation":"[4\\uc0\\u8211{}6]","plainCitation":"[4–6]","noteIndex":0},"citationItems":[{"id":163,"uris":["http://zotero.org/groups/6437514/items/K2Y45LRH"],"itemData":{"id":163,"type":"article-journal","abstract":"The pathogenesis of diabetic neuropathy is complex, and various pathogenic pathways have been proposed. A better understanding of the pathophysiology is warranted for developing novel therapeutic strategies. Here, we summarize recent evidence from experiments using animal models of type 1 and type 2 diabetes showing that low-grade intraneural inflammation is a facet of diabetic neuropathy. Our experimental data suggest that these mild inflammatory processes are a likely common terminal pathway in diabetic neuropathy associated with the degeneration of intraepidermal nerve fibers. In contrast to earlier reports claiming toxic effects of high-iron content, we found the opposite, i.e., nutritional iron deficiency caused low-grade inflammation and fiber degeneration while in normal or high non-heme iron nutrition no or only extremely mild inflammatory signs were identified in nerve tissue. Obesity and dyslipidemia also appear to trigger mild inflammation of peripheral nerves, associated with neuropathy even in the absence of overt diabetes mellitus. Our finding may be the experimental analog of recent observations identifying systemic proinflammatory activity in human sensorimotor diabetic neuropathy. In a rat model of type 1 diabetes, a mild neuropathy with inflammatory components could be induced by insulin treatment causing an abrupt reduction in HbA1c. This is in line with observations in patients with severe diabetes developing a small fiber neuropathy upon treatment-induced rapid HbA1c reduction. If the inflammatory pathogenesis could be further substantiated by data from human tissues and intervention studies, anti-inflammatory compounds with different modes of action may become candidates for the treatment or prevention of diabetic neuropathy.","container-title":"International Journal of Molecular Sciences","DOI":"10.3390/ijms221910835","ISSN":"1422-0067","issue":"19","journalAbbreviation":"IJMS","language":"en","page":"10835","source":"DOI.org (Crossref)","title":"Inflammatory Mechanisms in the Pathophysiology of Diabetic Peripheral Neuropathy (DN)—New Aspects","volume":"22","author":[{"family":"Baum","given":"Petra"},{"family":"Toyka","given":"Klaus V."},{"family":"Blüher","given":"Matthias"},{"family":"Kosacka","given":"Joanna"},{"family":"Nowicki","given":"Marcin"}],"issued":{"date-parts":[["2021",10,7]]}}},{"id":164,"uris":["http://zotero.org/groups/6437514/items/G83HVEVC"],"itemData":{"id":164,"type":"article-journal","container-title":"Frontiers in Neurology","DOI":"10.3389/fneur.2020.558758","ISSN":"1664-2295","journalAbbreviation":"Front. Neurol.","page":"558758","source":"DOI.org (Crossref)","title":"Emerging Roles of microRNAs as Biomarkers and Therapeutic Targets for Diabetic Neuropathy","volume":"11","author":[{"family":"Fan","given":"Baoyan"},{"family":"Chopp","given":"Michael"},{"family":"Zhang","given":"Zheng Gang"},{"family":"Liu","given":"Xian Shuang"}],"issued":{"date-parts":[["2020",10,22]]}}},{"id":166,"uris":["http://zotero.org/groups/6437514/items/JIN24B8G"],"itemData":{"id":166,"type":"article-journal","container-title":"Cell Reports","DOI":"10.1016/j.celrep.2018.09.046","ISSN":"22111247","issue":"2","journalAbbreviation":"Cell Reports","language":"en","page":"271-277.e4","source":"DOI.org (Crossref)","title":"Liver X Receptors Protect Dorsal Root Ganglia from Obesity-Induced Endoplasmic Reticulum Stress and Mechanical Allodynia","volume":"25","author":[{"family":"Gavini","given":"Chaitanya K."},{"family":"Bookout","given":"Angie L."},{"family":"Bonomo","given":"Raiza"},{"family":"Gautron","given":"Laurent"},{"family":"Lee","given":"Syann"},{"family":"Mansuy-Aubert","given":"Virginie"}],"issued":{"date-parts":[["2018",10]]}}}],"schema":"https://github.com/citation-style-language/schema/raw/master/csl-citation.json"} </w:instrText>
      </w:r>
      <w:r w:rsidR="00796E7F">
        <w:rPr>
          <w:rFonts w:ascii="Times New Roman" w:eastAsia="Times New Roman" w:hAnsi="Times New Roman" w:cs="Times New Roman"/>
        </w:rPr>
        <w:fldChar w:fldCharType="separate"/>
      </w:r>
      <w:r w:rsidR="00845779" w:rsidRPr="00845779">
        <w:rPr>
          <w:rFonts w:ascii="Times New Roman" w:hAnsi="Times New Roman" w:cs="Times New Roman"/>
        </w:rPr>
        <w:t>[4–6]</w:t>
      </w:r>
      <w:r w:rsidR="00796E7F">
        <w:rPr>
          <w:rFonts w:ascii="Times New Roman" w:eastAsia="Times New Roman" w:hAnsi="Times New Roman" w:cs="Times New Roman"/>
        </w:rPr>
        <w:fldChar w:fldCharType="end"/>
      </w:r>
      <w:r w:rsidRPr="00814CE3">
        <w:rPr>
          <w:rFonts w:ascii="Times New Roman" w:eastAsia="Times New Roman" w:hAnsi="Times New Roman" w:cs="Times New Roman"/>
        </w:rPr>
        <w:t xml:space="preserve">. This complexity has hampered the development of effective disease-modifying therapies. In most cases, treatment remains restricted to achieving optimal glucose control, and management of the painful form of diabetic neuropathy, addressing symptoms without influencing the underlying neuropathological process. Despite the advent of relatively reliable modalities for diagnosing PDN, such as nerve conduction studies, there remains a significant knowledge gap regarding pathophysiology and a </w:t>
      </w:r>
      <w:r w:rsidR="00320191">
        <w:rPr>
          <w:rFonts w:ascii="Times New Roman" w:eastAsia="Times New Roman" w:hAnsi="Times New Roman" w:cs="Times New Roman"/>
        </w:rPr>
        <w:t>lack</w:t>
      </w:r>
      <w:r w:rsidRPr="00814CE3">
        <w:rPr>
          <w:rFonts w:ascii="Times New Roman" w:eastAsia="Times New Roman" w:hAnsi="Times New Roman" w:cs="Times New Roman"/>
        </w:rPr>
        <w:t xml:space="preserve"> of available interventions for </w:t>
      </w:r>
      <w:r w:rsidR="00320191">
        <w:rPr>
          <w:rFonts w:ascii="Times New Roman" w:eastAsia="Times New Roman" w:hAnsi="Times New Roman" w:cs="Times New Roman"/>
        </w:rPr>
        <w:t xml:space="preserve">slowing down </w:t>
      </w:r>
      <w:r w:rsidRPr="00814CE3">
        <w:rPr>
          <w:rFonts w:ascii="Times New Roman" w:eastAsia="Times New Roman" w:hAnsi="Times New Roman" w:cs="Times New Roman"/>
        </w:rPr>
        <w:t xml:space="preserve">disease progression. No pharmacological agent currently holds regulatory approval as a disease-modifying therapy for PDN, representing a critical and unmet clinical need. </w:t>
      </w:r>
    </w:p>
    <w:p w14:paraId="741DCD00" w14:textId="1C75944C" w:rsidR="00814CE3" w:rsidRPr="00814CE3" w:rsidRDefault="00814CE3" w:rsidP="00BD0B35">
      <w:pPr>
        <w:spacing w:after="120" w:line="360" w:lineRule="auto"/>
        <w:jc w:val="both"/>
        <w:rPr>
          <w:rFonts w:ascii="Times New Roman" w:eastAsia="Times New Roman" w:hAnsi="Times New Roman" w:cs="Times New Roman"/>
        </w:rPr>
      </w:pPr>
      <w:r w:rsidRPr="00814CE3">
        <w:rPr>
          <w:rFonts w:ascii="Times New Roman" w:eastAsia="Times New Roman" w:hAnsi="Times New Roman" w:cs="Times New Roman"/>
        </w:rPr>
        <w:t>Sodium-glucose cotransporter-2 inhibitors (SGLT2i) were originally developed as glucose-lowering agents for type 2 diabetes mellitus, acting by inhibiting renal glucose reabsorption</w:t>
      </w:r>
      <w:r w:rsidR="00320191">
        <w:rPr>
          <w:rFonts w:ascii="Times New Roman" w:eastAsia="Times New Roman" w:hAnsi="Times New Roman" w:cs="Times New Roman"/>
        </w:rPr>
        <w:t xml:space="preserve"> </w:t>
      </w:r>
      <w:r w:rsidRPr="00814CE3">
        <w:rPr>
          <w:rFonts w:ascii="Times New Roman" w:eastAsia="Times New Roman" w:hAnsi="Times New Roman" w:cs="Times New Roman"/>
        </w:rPr>
        <w:t>and inducing glucosuria independently of insulin</w:t>
      </w:r>
      <w:r w:rsidR="00BD0B35">
        <w:rPr>
          <w:rFonts w:ascii="Times New Roman" w:eastAsia="Times New Roman" w:hAnsi="Times New Roman" w:cs="Times New Roman"/>
        </w:rPr>
        <w:t xml:space="preserve"> </w:t>
      </w:r>
      <w:r w:rsidR="00BD0B35">
        <w:rPr>
          <w:rFonts w:ascii="Times New Roman" w:eastAsia="Times New Roman" w:hAnsi="Times New Roman" w:cs="Times New Roman"/>
        </w:rPr>
        <w:fldChar w:fldCharType="begin"/>
      </w:r>
      <w:r w:rsidR="00BD0B35">
        <w:rPr>
          <w:rFonts w:ascii="Times New Roman" w:eastAsia="Times New Roman" w:hAnsi="Times New Roman" w:cs="Times New Roman"/>
        </w:rPr>
        <w:instrText xml:space="preserve"> ADDIN ZOTERO_ITEM CSL_CITATION {"citationID":"JNBS1WKL","properties":{"unsorted":false,"formattedCitation":"[7]","plainCitation":"[7]","noteIndex":0},"citationItems":[{"id":176,"uris":["http://zotero.org/groups/6437514/items/FNZ44LAX"],"itemData":{"id":176,"type":"article-journal","abstract":"Sodium-Glucose Cotransporter 2 inhibitors (SGLT2i), or gliflozins, are a group of antidiabetic drugs that have shown improvement in renal and cardiovascular outcomes in patients with kidney disease, with and without diabetes. In this review, we will describe the different proposed mechanisms of action of SGLT2i. Gliflozins inhibit renal glucose reabsorption by blocking the SGLT2 cotransporters in the proximal tubules and causing glucosuria. This reduces glycemia and lowers HbA\n              1c\n              by ~1.0%. The accompanying sodium excretion reverts the tubuloglomerular feedback and reduces intraglomerular pressure, which is central to the nephroprotective effects of SGLT2i. The caloric loss reduces weight, increases insulin sensitivity, lipid metabolism, and likely reduces lipotoxicity. Metabolism shifts toward gluconeogenesis and ketogenesis, thought to be protective for the heart and kidneys. Additionally, there is evidence of a reduction in tubular cell glucotoxicity through reduced mitochondrial dysfunction and inflammation. SGLT2i likely reduce kidney hypoxia by reducing tubular energy and oxygen demand. SGLT2i improve blood pressure through a negative sodium and water balance and possibly by inhibiting the sympathetic nervous system. These changes contribute to the improvement of cardiovascular function and are thought to be central in the cardiovascular benefits of SGLT2i. Gliflozins also reduce hepcidin levels, improving erythropoiesis and anemia. Finally, other possible mechanisms include a reduction in inflammatory markers, fibrosis, podocyte injury, and other related mechanisms. SGLT2i have shown significant and highly consistent benefits in renal and cardiovascular protection. The complexity and interconnectedness of the primary and secondary mechanisms of action make them a most interesting and exciting pharmacologic group.","container-title":"Frontiers in Medicine","DOI":"10.3389/fmed.2021.777861","ISSN":"2296-858X","journalAbbreviation":"Front. Med.","page":"777861","source":"DOI.org (Crossref)","title":"Sodium-Glucose Cotransporter 2 Inhibitors Mechanisms of Action: A Review","title-short":"Sodium-Glucose Cotransporter 2 Inhibitors Mechanisms of Action","volume":"8","author":[{"family":"Fonseca-Correa","given":"Jorge I."},{"family":"Correa-Rotter","given":"Ricardo"}],"issued":{"date-parts":[["2021",12,20]]}}}],"schema":"https://github.com/citation-style-language/schema/raw/master/csl-citation.json"} </w:instrText>
      </w:r>
      <w:r w:rsidR="00BD0B35">
        <w:rPr>
          <w:rFonts w:ascii="Times New Roman" w:eastAsia="Times New Roman" w:hAnsi="Times New Roman" w:cs="Times New Roman"/>
        </w:rPr>
        <w:fldChar w:fldCharType="separate"/>
      </w:r>
      <w:r w:rsidR="00BD0B35" w:rsidRPr="00BD0B35">
        <w:rPr>
          <w:rFonts w:ascii="Times New Roman" w:hAnsi="Times New Roman" w:cs="Times New Roman"/>
        </w:rPr>
        <w:t>[7]</w:t>
      </w:r>
      <w:r w:rsidR="00BD0B35">
        <w:rPr>
          <w:rFonts w:ascii="Times New Roman" w:eastAsia="Times New Roman" w:hAnsi="Times New Roman" w:cs="Times New Roman"/>
        </w:rPr>
        <w:fldChar w:fldCharType="end"/>
      </w:r>
      <w:r w:rsidRPr="00814CE3">
        <w:rPr>
          <w:rFonts w:ascii="Times New Roman" w:eastAsia="Times New Roman" w:hAnsi="Times New Roman" w:cs="Times New Roman"/>
        </w:rPr>
        <w:t xml:space="preserve">. However, their clinical profile has expanded considerably beyond </w:t>
      </w:r>
      <w:proofErr w:type="spellStart"/>
      <w:r w:rsidRPr="00814CE3">
        <w:rPr>
          <w:rFonts w:ascii="Times New Roman" w:eastAsia="Times New Roman" w:hAnsi="Times New Roman" w:cs="Times New Roman"/>
        </w:rPr>
        <w:t>glycaemic</w:t>
      </w:r>
      <w:proofErr w:type="spellEnd"/>
      <w:r w:rsidRPr="00814CE3">
        <w:rPr>
          <w:rFonts w:ascii="Times New Roman" w:eastAsia="Times New Roman" w:hAnsi="Times New Roman" w:cs="Times New Roman"/>
        </w:rPr>
        <w:t xml:space="preserve"> control. SGLT2 inhibitors have been shown to improve cardiovascular and renal outcomes in patients with established cardiovascular disease, chronic kidney disease, and heart failure</w:t>
      </w:r>
      <w:r w:rsidR="007C7B27">
        <w:rPr>
          <w:rFonts w:ascii="Times New Roman" w:eastAsia="Times New Roman" w:hAnsi="Times New Roman" w:cs="Times New Roman"/>
        </w:rPr>
        <w:t xml:space="preserve"> </w:t>
      </w:r>
      <w:r w:rsidR="007C7B27">
        <w:rPr>
          <w:rFonts w:ascii="Times New Roman" w:eastAsia="Times New Roman" w:hAnsi="Times New Roman" w:cs="Times New Roman"/>
        </w:rPr>
        <w:fldChar w:fldCharType="begin"/>
      </w:r>
      <w:r w:rsidR="00BD0B35">
        <w:rPr>
          <w:rFonts w:ascii="Times New Roman" w:eastAsia="Times New Roman" w:hAnsi="Times New Roman" w:cs="Times New Roman"/>
        </w:rPr>
        <w:instrText xml:space="preserve"> ADDIN ZOTERO_ITEM CSL_CITATION {"citationID":"6iECBLtf","properties":{"formattedCitation":"[8]","plainCitation":"[8]","noteIndex":0},"citationItems":[{"id":168,"uris":["http://zotero.org/groups/6437514/items/TLXTAFJW"],"itemData":{"id":168,"type":"article-journal","container-title":"Nature Reviews Cardiology","DOI":"10.1038/s41569-020-0406-8","ISSN":"1759-5002, 1759-5010","issue":"12","journalAbbreviation":"Nat Rev Cardiol","language":"en","page":"761-772","source":"DOI.org (Crossref)","title":"SGLT2 inhibitors: mechanisms of cardiovascular benefit beyond glycaemic control","title-short":"SGLT2 inhibitors","volume":"17","author":[{"family":"Cowie","given":"Martin R."},{"family":"Fisher","given":"Miles"}],"issued":{"date-parts":[["2020",12]]}}}],"schema":"https://github.com/citation-style-language/schema/raw/master/csl-citation.json"} </w:instrText>
      </w:r>
      <w:r w:rsidR="007C7B27">
        <w:rPr>
          <w:rFonts w:ascii="Times New Roman" w:eastAsia="Times New Roman" w:hAnsi="Times New Roman" w:cs="Times New Roman"/>
        </w:rPr>
        <w:fldChar w:fldCharType="separate"/>
      </w:r>
      <w:r w:rsidR="00BD0B35" w:rsidRPr="00BD0B35">
        <w:rPr>
          <w:rFonts w:ascii="Times New Roman" w:hAnsi="Times New Roman" w:cs="Times New Roman"/>
        </w:rPr>
        <w:t>[8]</w:t>
      </w:r>
      <w:r w:rsidR="007C7B27">
        <w:rPr>
          <w:rFonts w:ascii="Times New Roman" w:eastAsia="Times New Roman" w:hAnsi="Times New Roman" w:cs="Times New Roman"/>
        </w:rPr>
        <w:fldChar w:fldCharType="end"/>
      </w:r>
      <w:r w:rsidR="007C7B27">
        <w:rPr>
          <w:rFonts w:ascii="Times New Roman" w:eastAsia="Times New Roman" w:hAnsi="Times New Roman" w:cs="Times New Roman"/>
        </w:rPr>
        <w:t xml:space="preserve">. </w:t>
      </w:r>
      <w:r w:rsidRPr="00814CE3">
        <w:rPr>
          <w:rFonts w:ascii="Times New Roman" w:eastAsia="Times New Roman" w:hAnsi="Times New Roman" w:cs="Times New Roman"/>
        </w:rPr>
        <w:t>The mechanisms underlying these benefits are broad and interrelated, encompassing anti-inflammatory</w:t>
      </w:r>
      <w:r w:rsidR="004D7FCA">
        <w:rPr>
          <w:rFonts w:ascii="Times New Roman" w:eastAsia="Times New Roman" w:hAnsi="Times New Roman" w:cs="Times New Roman"/>
        </w:rPr>
        <w:t xml:space="preserve"> and </w:t>
      </w:r>
      <w:r w:rsidRPr="00814CE3">
        <w:rPr>
          <w:rFonts w:ascii="Times New Roman" w:eastAsia="Times New Roman" w:hAnsi="Times New Roman" w:cs="Times New Roman"/>
        </w:rPr>
        <w:t xml:space="preserve">antifibrotic effects, and improvements in the metabolic profile including reductions in uric acid, blood glucose, and body weight. Of particular relevance to neurological tissues, SGLT2 inhibitors promote mild </w:t>
      </w:r>
      <w:proofErr w:type="spellStart"/>
      <w:r w:rsidRPr="00814CE3">
        <w:rPr>
          <w:rFonts w:ascii="Times New Roman" w:eastAsia="Times New Roman" w:hAnsi="Times New Roman" w:cs="Times New Roman"/>
        </w:rPr>
        <w:t>ketonaemia</w:t>
      </w:r>
      <w:proofErr w:type="spellEnd"/>
      <w:r w:rsidRPr="00814CE3">
        <w:rPr>
          <w:rFonts w:ascii="Times New Roman" w:eastAsia="Times New Roman" w:hAnsi="Times New Roman" w:cs="Times New Roman"/>
        </w:rPr>
        <w:t>, with ketone bodies serving as a</w:t>
      </w:r>
      <w:r w:rsidR="00842493">
        <w:rPr>
          <w:rFonts w:ascii="Times New Roman" w:eastAsia="Times New Roman" w:hAnsi="Times New Roman" w:cs="Times New Roman"/>
        </w:rPr>
        <w:t>n</w:t>
      </w:r>
      <w:r w:rsidR="004D7FCA">
        <w:rPr>
          <w:rFonts w:ascii="Times New Roman" w:eastAsia="Times New Roman" w:hAnsi="Times New Roman" w:cs="Times New Roman"/>
        </w:rPr>
        <w:t xml:space="preserve"> energy</w:t>
      </w:r>
      <w:r w:rsidRPr="00814CE3">
        <w:rPr>
          <w:rFonts w:ascii="Times New Roman" w:eastAsia="Times New Roman" w:hAnsi="Times New Roman" w:cs="Times New Roman"/>
        </w:rPr>
        <w:t xml:space="preserve"> source substituting for glucose in tissues where metabolic dysregulation impairs normal glucose </w:t>
      </w:r>
      <w:proofErr w:type="spellStart"/>
      <w:r w:rsidRPr="00814CE3">
        <w:rPr>
          <w:rFonts w:ascii="Times New Roman" w:eastAsia="Times New Roman" w:hAnsi="Times New Roman" w:cs="Times New Roman"/>
        </w:rPr>
        <w:t>utilisation</w:t>
      </w:r>
      <w:proofErr w:type="spellEnd"/>
      <w:r w:rsidRPr="00814CE3">
        <w:rPr>
          <w:rFonts w:ascii="Times New Roman" w:eastAsia="Times New Roman" w:hAnsi="Times New Roman" w:cs="Times New Roman"/>
        </w:rPr>
        <w:t>, a mechanism with potential neuroprotective implications given the energy deficit characteristic of diabetic peripheral nerves</w:t>
      </w:r>
      <w:r w:rsidR="004D7FCA">
        <w:rPr>
          <w:rFonts w:ascii="Times New Roman" w:eastAsia="Times New Roman" w:hAnsi="Times New Roman" w:cs="Times New Roman"/>
        </w:rPr>
        <w:t xml:space="preserve"> </w:t>
      </w:r>
      <w:r w:rsidR="004D7FCA">
        <w:rPr>
          <w:rFonts w:ascii="Times New Roman" w:eastAsia="Times New Roman" w:hAnsi="Times New Roman" w:cs="Times New Roman"/>
        </w:rPr>
        <w:fldChar w:fldCharType="begin"/>
      </w:r>
      <w:r w:rsidR="00BD0B35">
        <w:rPr>
          <w:rFonts w:ascii="Times New Roman" w:eastAsia="Times New Roman" w:hAnsi="Times New Roman" w:cs="Times New Roman"/>
        </w:rPr>
        <w:instrText xml:space="preserve"> ADDIN ZOTERO_ITEM CSL_CITATION {"citationID":"gOcrZb79","properties":{"formattedCitation":"[9]","plainCitation":"[9]","noteIndex":0},"citationItems":[{"id":171,"uris":["http://zotero.org/groups/6437514/items/9YPPI3Z3"],"itemData":{"id":171,"type":"article-journal","container-title":"Diabetologia","DOI":"10.1007/s00125-022-05815-1","ISSN":"0012-186X, 1432-0428","issue":"1","journalAbbreviation":"Diabetologia","language":"en","page":"23-32","source":"DOI.org (Crossref)","title":"Ketones: the double-edged sword of SGLT2 inhibitors?","title-short":"Ketones","volume":"66","author":[{"family":"Lupsa","given":"Beatrice C."},{"family":"Kibbey","given":"Richard G."},{"family":"Inzucchi","given":"Silvio E."}],"issued":{"date-parts":[["2023",1]]}}}],"schema":"https://github.com/citation-style-language/schema/raw/master/csl-citation.json"} </w:instrText>
      </w:r>
      <w:r w:rsidR="004D7FCA">
        <w:rPr>
          <w:rFonts w:ascii="Times New Roman" w:eastAsia="Times New Roman" w:hAnsi="Times New Roman" w:cs="Times New Roman"/>
        </w:rPr>
        <w:fldChar w:fldCharType="separate"/>
      </w:r>
      <w:r w:rsidR="00BD0B35" w:rsidRPr="00BD0B35">
        <w:rPr>
          <w:rFonts w:ascii="Times New Roman" w:hAnsi="Times New Roman" w:cs="Times New Roman"/>
        </w:rPr>
        <w:t>[9]</w:t>
      </w:r>
      <w:r w:rsidR="004D7FCA">
        <w:rPr>
          <w:rFonts w:ascii="Times New Roman" w:eastAsia="Times New Roman" w:hAnsi="Times New Roman" w:cs="Times New Roman"/>
        </w:rPr>
        <w:fldChar w:fldCharType="end"/>
      </w:r>
      <w:r w:rsidRPr="00814CE3">
        <w:rPr>
          <w:rFonts w:ascii="Times New Roman" w:eastAsia="Times New Roman" w:hAnsi="Times New Roman" w:cs="Times New Roman"/>
        </w:rPr>
        <w:t xml:space="preserve">. Additionally, SGLT2 inhibitors activate AMPK via both shared and drug-specific mechanisms, with AMPK activation coordinating a protective network that includes PGC-1α-mediated </w:t>
      </w:r>
      <w:r w:rsidRPr="00814CE3">
        <w:rPr>
          <w:rFonts w:ascii="Times New Roman" w:eastAsia="Times New Roman" w:hAnsi="Times New Roman" w:cs="Times New Roman"/>
        </w:rPr>
        <w:lastRenderedPageBreak/>
        <w:t>mitochondrial biogenesis, ULK1-driven autophagy, and Nrf2-antioxidant responses, all of which are relevant to peripheral nerve homeostasis in the diabetic state</w:t>
      </w:r>
      <w:r w:rsidR="002E4AFD">
        <w:rPr>
          <w:rFonts w:ascii="Times New Roman" w:eastAsia="Times New Roman" w:hAnsi="Times New Roman" w:cs="Times New Roman"/>
        </w:rPr>
        <w:t xml:space="preserve"> </w:t>
      </w:r>
      <w:r w:rsidR="002E4AFD">
        <w:rPr>
          <w:rFonts w:ascii="Times New Roman" w:eastAsia="Times New Roman" w:hAnsi="Times New Roman" w:cs="Times New Roman"/>
        </w:rPr>
        <w:fldChar w:fldCharType="begin"/>
      </w:r>
      <w:r w:rsidR="00BD0B35">
        <w:rPr>
          <w:rFonts w:ascii="Times New Roman" w:eastAsia="Times New Roman" w:hAnsi="Times New Roman" w:cs="Times New Roman"/>
        </w:rPr>
        <w:instrText xml:space="preserve"> ADDIN ZOTERO_ITEM CSL_CITATION {"citationID":"aL4ya3GH","properties":{"formattedCitation":"[10]","plainCitation":"[10]","noteIndex":0},"citationItems":[{"id":170,"uris":["http://zotero.org/groups/6437514/items/M8JFKC3W"],"itemData":{"id":170,"type":"article-journal","container-title":"Journal of Diabetes &amp; Metabolic Disorders","DOI":"10.1007/s40200-025-01824-0","ISSN":"2251-6581","issue":"1","journalAbbreviation":"J Diabetes Metab Disord","language":"en","page":"114","source":"DOI.org (Crossref)","title":"SGLT2 inhibitors and AMPK crosstalk in diabetes mellitus: mechanistic insights and therapeutic applications","title-short":"SGLT2 inhibitors and AMPK crosstalk in diabetes mellitus","volume":"25","author":[{"family":"Hushmandi","given":"Kiavash"},{"family":"Salarizadeh","given":"Navvabeh"},{"family":"Einollahi","given":"Behzad"},{"family":"Izadi","given":"Morteza"},{"family":"Doosti","given":"Pardis"},{"family":"Behzadnia","given":"Mohammad Javad"},{"family":"Cho","given":"William C."},{"family":"Yousefi","given":"Tooba"},{"family":"Khoshnazar","given":"Seyedeh Mahdieh"},{"family":"Alimohammadi","given":"Mina"},{"family":"Farahani","given":"Najma"}],"issued":{"date-parts":[["2026",3,12]]}}}],"schema":"https://github.com/citation-style-language/schema/raw/master/csl-citation.json"} </w:instrText>
      </w:r>
      <w:r w:rsidR="002E4AFD">
        <w:rPr>
          <w:rFonts w:ascii="Times New Roman" w:eastAsia="Times New Roman" w:hAnsi="Times New Roman" w:cs="Times New Roman"/>
        </w:rPr>
        <w:fldChar w:fldCharType="separate"/>
      </w:r>
      <w:r w:rsidR="00BD0B35" w:rsidRPr="00BD0B35">
        <w:rPr>
          <w:rFonts w:ascii="Times New Roman" w:hAnsi="Times New Roman" w:cs="Times New Roman"/>
        </w:rPr>
        <w:t>[10]</w:t>
      </w:r>
      <w:r w:rsidR="002E4AFD">
        <w:rPr>
          <w:rFonts w:ascii="Times New Roman" w:eastAsia="Times New Roman" w:hAnsi="Times New Roman" w:cs="Times New Roman"/>
        </w:rPr>
        <w:fldChar w:fldCharType="end"/>
      </w:r>
      <w:r w:rsidRPr="00814CE3">
        <w:rPr>
          <w:rFonts w:ascii="Times New Roman" w:eastAsia="Times New Roman" w:hAnsi="Times New Roman" w:cs="Times New Roman"/>
        </w:rPr>
        <w:t xml:space="preserve">. </w:t>
      </w:r>
    </w:p>
    <w:p w14:paraId="364E5F47" w14:textId="65F5F25D" w:rsidR="00814CE3" w:rsidRPr="00814CE3" w:rsidRDefault="00814CE3" w:rsidP="000A3992">
      <w:pPr>
        <w:spacing w:after="120" w:line="360" w:lineRule="auto"/>
        <w:jc w:val="both"/>
        <w:rPr>
          <w:rFonts w:ascii="Times New Roman" w:eastAsia="Times New Roman" w:hAnsi="Times New Roman" w:cs="Times New Roman"/>
        </w:rPr>
      </w:pPr>
      <w:r w:rsidRPr="00814CE3">
        <w:rPr>
          <w:rFonts w:ascii="Times New Roman" w:eastAsia="Times New Roman" w:hAnsi="Times New Roman" w:cs="Times New Roman"/>
        </w:rPr>
        <w:t xml:space="preserve">These mechanistic properties have generated growing interest in the potential neuroprotective effects of SGLT2 inhibitors across both autonomic and peripheral domains of diabetic neuropathy. Prior quantitative syntheses have predominantly addressed the autonomic compartment: </w:t>
      </w:r>
      <w:proofErr w:type="spellStart"/>
      <w:r w:rsidRPr="00814CE3">
        <w:rPr>
          <w:rFonts w:ascii="Times New Roman" w:eastAsia="Times New Roman" w:hAnsi="Times New Roman" w:cs="Times New Roman"/>
        </w:rPr>
        <w:t>Patoulias</w:t>
      </w:r>
      <w:proofErr w:type="spellEnd"/>
      <w:r w:rsidRPr="00814CE3">
        <w:rPr>
          <w:rFonts w:ascii="Times New Roman" w:eastAsia="Times New Roman" w:hAnsi="Times New Roman" w:cs="Times New Roman"/>
        </w:rPr>
        <w:t xml:space="preserve"> et al.</w:t>
      </w:r>
      <w:r w:rsidR="000A3992">
        <w:rPr>
          <w:rFonts w:ascii="Times New Roman" w:eastAsia="Times New Roman" w:hAnsi="Times New Roman" w:cs="Times New Roman"/>
        </w:rPr>
        <w:t xml:space="preserve"> </w:t>
      </w:r>
      <w:r w:rsidR="000A3992">
        <w:rPr>
          <w:rFonts w:ascii="Times New Roman" w:eastAsia="Times New Roman" w:hAnsi="Times New Roman" w:cs="Times New Roman"/>
        </w:rPr>
        <w:fldChar w:fldCharType="begin"/>
      </w:r>
      <w:r w:rsidR="000A3992">
        <w:rPr>
          <w:rFonts w:ascii="Times New Roman" w:eastAsia="Times New Roman" w:hAnsi="Times New Roman" w:cs="Times New Roman"/>
        </w:rPr>
        <w:instrText xml:space="preserve"> ADDIN ZOTERO_ITEM CSL_CITATION {"citationID":"gq3ekmyD","properties":{"unsorted":false,"formattedCitation":"[11]","plainCitation":"[11]","noteIndex":0},"citationItems":[{"id":159,"uris":["http://zotero.org/groups/6437514/items/EZTSNY3Q"],"itemData":{"id":159,"type":"article-journal","container-title":"Acta Diabetologica","DOI":"10.1007/s00592-022-01958-0","ISSN":"1432-5233","issue":"1","journalAbbreviation":"Acta Diabetol","language":"en","page":"1-8","source":"DOI.org (Crossref)","title":"Effect of SGLT-2 inhibitors on cardiac autonomic function in type 2 diabetes mellitus: a meta-analysis of randomized controlled trials","title-short":"Effect of SGLT-2 inhibitors on cardiac autonomic function in type 2 diabetes mellitus","volume":"60","author":[{"family":"Patoulias","given":"Dimitrios"},{"family":"Katsimardou","given":"Alexandra"},{"family":"Fragakis","given":"Nikolaos"},{"family":"Papadopoulos","given":"Christodoulos"},{"family":"Doumas","given":"Michael"}],"issued":{"date-parts":[["2022",8,19]]}}}],"schema":"https://github.com/citation-style-language/schema/raw/master/csl-citation.json"} </w:instrText>
      </w:r>
      <w:r w:rsidR="000A3992">
        <w:rPr>
          <w:rFonts w:ascii="Times New Roman" w:eastAsia="Times New Roman" w:hAnsi="Times New Roman" w:cs="Times New Roman"/>
        </w:rPr>
        <w:fldChar w:fldCharType="separate"/>
      </w:r>
      <w:r w:rsidR="000A3992" w:rsidRPr="000A3992">
        <w:rPr>
          <w:rFonts w:ascii="Times New Roman" w:hAnsi="Times New Roman" w:cs="Times New Roman"/>
        </w:rPr>
        <w:t>[11]</w:t>
      </w:r>
      <w:r w:rsidR="000A3992">
        <w:rPr>
          <w:rFonts w:ascii="Times New Roman" w:eastAsia="Times New Roman" w:hAnsi="Times New Roman" w:cs="Times New Roman"/>
        </w:rPr>
        <w:fldChar w:fldCharType="end"/>
      </w:r>
      <w:r w:rsidR="00C208BC">
        <w:rPr>
          <w:rFonts w:ascii="Times New Roman" w:eastAsia="Times New Roman" w:hAnsi="Times New Roman" w:cs="Times New Roman"/>
        </w:rPr>
        <w:t xml:space="preserve"> </w:t>
      </w:r>
      <w:r w:rsidRPr="00814CE3">
        <w:rPr>
          <w:rFonts w:ascii="Times New Roman" w:eastAsia="Times New Roman" w:hAnsi="Times New Roman" w:cs="Times New Roman"/>
        </w:rPr>
        <w:t xml:space="preserve"> conducted a meta-analysis of </w:t>
      </w:r>
      <w:proofErr w:type="spellStart"/>
      <w:r w:rsidRPr="00814CE3">
        <w:rPr>
          <w:rFonts w:ascii="Times New Roman" w:eastAsia="Times New Roman" w:hAnsi="Times New Roman" w:cs="Times New Roman"/>
        </w:rPr>
        <w:t>randomised</w:t>
      </w:r>
      <w:proofErr w:type="spellEnd"/>
      <w:r w:rsidRPr="00814CE3">
        <w:rPr>
          <w:rFonts w:ascii="Times New Roman" w:eastAsia="Times New Roman" w:hAnsi="Times New Roman" w:cs="Times New Roman"/>
        </w:rPr>
        <w:t xml:space="preserve"> controlled trials specifically examining the effect of SGLT2 inhibitors on cardiac autonomic function in type 2 diabetes mellitus. Similarly, Kandeel </w:t>
      </w:r>
      <w:r w:rsidR="009930EC">
        <w:rPr>
          <w:rFonts w:ascii="Times New Roman" w:eastAsia="Times New Roman" w:hAnsi="Times New Roman" w:cs="Times New Roman"/>
        </w:rPr>
        <w:fldChar w:fldCharType="begin"/>
      </w:r>
      <w:r w:rsidR="009930EC">
        <w:rPr>
          <w:rFonts w:ascii="Times New Roman" w:eastAsia="Times New Roman" w:hAnsi="Times New Roman" w:cs="Times New Roman"/>
        </w:rPr>
        <w:instrText xml:space="preserve"> ADDIN ZOTERO_ITEM CSL_CITATION {"citationID":"l08BY4tw","properties":{"unsorted":false,"formattedCitation":"[12]","plainCitation":"[12]","noteIndex":0},"citationItems":[{"id":160,"uris":["http://zotero.org/groups/6437514/items/3PPSKXGM"],"itemData":{"id":160,"type":"article-journal","abstract":"Diabetes mellitus (DM) is one of the leading causes of morbidity and mortality worldwide. DM patients with diabetic neuropathy (DN) usually present with distal pain, sensorimotor polyneuropathy, postural hypotension, or erectile dysfunction. They also may present with other nerve pathologies such as inflammatory neuropathies and carpal tunnel syndrome. We conducted a systematic review and meta-analysis to assess the benefits of using sodium–glucose co-transporter-2 inhibitors (SGLT2Is) to manage DN. An extensive systematic literature review was conducted to include all articles published up to 24 February 2022. All clinical studies included patients with DM and reported the outcomes of SGLT2I on diabetes-associated neuropathy. Six studies were identified for meta-analysis, including a total of 5312 diabetic patients. The average age of the included patients ranged from 41 to 74 years and 34–73 years in the SGLT2I treatment and control groups, respectively. SGLT2I moderately improved the manifestations of diabetic peripheral neuropathy events and nerve conduction velocity. Furthermore, the SGLT2I treatment group had a statistically significant higher mean heart-to-mediastinum ratio (MD 0.41; 95% 0.17, 0.64;\n              p\n              = 0.0006). However, the mean heart rates (MD −4.51; 95% −10.05, 1.04;\n              p\n              = 0.11) and wash out rates (MD 2.13; 95% −8.48, 12.75;\n              p\n              = 0.69) were not significantly different between the two groups. SGLT2Is could therefore be considered neuroprotective in patients with DN, possibly by considerably increasing the sensory and motor nerve conduction velocity, improving the clinical manifestations of DPN, and reducing sympathetic nervous system activity.\n            \n            \n              Systematic Review Registration:\n              http://www.crd.york.ac.uk/prospero/\n              , identifier CRD42022312828","container-title":"Frontiers in Pharmacology","DOI":"10.3389/fphar.2022.926717","ISSN":"1663-9812","journalAbbreviation":"Front. Pharmacol.","page":"926717","source":"DOI.org (Crossref)","title":"The Outcomes of Sodium-Glucose Co-transporter 2 Inhibitors (SGLT2I) on Diabetes-Associated Neuropathy: A Systematic Review and meta-Analysis","title-short":"The Outcomes of Sodium-Glucose Co-transporter 2 Inhibitors (SGLT2I) on Diabetes-Associated Neuropathy","volume":"13","author":[{"family":"Kandeel","given":"Mahmoud"}],"issued":{"date-parts":[["2022",7,11]]}}}],"schema":"https://github.com/citation-style-language/schema/raw/master/csl-citation.json"} </w:instrText>
      </w:r>
      <w:r w:rsidR="009930EC">
        <w:rPr>
          <w:rFonts w:ascii="Times New Roman" w:eastAsia="Times New Roman" w:hAnsi="Times New Roman" w:cs="Times New Roman"/>
        </w:rPr>
        <w:fldChar w:fldCharType="separate"/>
      </w:r>
      <w:r w:rsidR="009930EC" w:rsidRPr="009930EC">
        <w:rPr>
          <w:rFonts w:ascii="Times New Roman" w:hAnsi="Times New Roman" w:cs="Times New Roman"/>
        </w:rPr>
        <w:t>[12]</w:t>
      </w:r>
      <w:r w:rsidR="009930EC">
        <w:rPr>
          <w:rFonts w:ascii="Times New Roman" w:eastAsia="Times New Roman" w:hAnsi="Times New Roman" w:cs="Times New Roman"/>
        </w:rPr>
        <w:fldChar w:fldCharType="end"/>
      </w:r>
      <w:r w:rsidR="009930EC">
        <w:rPr>
          <w:rFonts w:ascii="Times New Roman" w:eastAsia="Times New Roman" w:hAnsi="Times New Roman" w:cs="Times New Roman"/>
        </w:rPr>
        <w:t xml:space="preserve"> </w:t>
      </w:r>
      <w:r w:rsidRPr="00814CE3">
        <w:rPr>
          <w:rFonts w:ascii="Times New Roman" w:eastAsia="Times New Roman" w:hAnsi="Times New Roman" w:cs="Times New Roman"/>
        </w:rPr>
        <w:t xml:space="preserve">conducted a systematic review and meta-analysis assessing the broader outcomes of SGLT2 inhibitors on diabetes-associated neuropathy, with pooled analyses </w:t>
      </w:r>
      <w:proofErr w:type="spellStart"/>
      <w:r w:rsidRPr="00814CE3">
        <w:rPr>
          <w:rFonts w:ascii="Times New Roman" w:eastAsia="Times New Roman" w:hAnsi="Times New Roman" w:cs="Times New Roman"/>
        </w:rPr>
        <w:t>centred</w:t>
      </w:r>
      <w:proofErr w:type="spellEnd"/>
      <w:r w:rsidRPr="00814CE3">
        <w:rPr>
          <w:rFonts w:ascii="Times New Roman" w:eastAsia="Times New Roman" w:hAnsi="Times New Roman" w:cs="Times New Roman"/>
        </w:rPr>
        <w:t xml:space="preserve"> on autonomic endpoints. More recently, a narrative review </w:t>
      </w:r>
      <w:r w:rsidR="00896C8B">
        <w:rPr>
          <w:rFonts w:ascii="Times New Roman" w:eastAsia="Times New Roman" w:hAnsi="Times New Roman" w:cs="Times New Roman"/>
        </w:rPr>
        <w:t>by Panou et al.</w:t>
      </w:r>
      <w:r w:rsidR="00BA7A67">
        <w:rPr>
          <w:rFonts w:ascii="Times New Roman" w:eastAsia="Times New Roman" w:hAnsi="Times New Roman" w:cs="Times New Roman"/>
        </w:rPr>
        <w:t xml:space="preserve"> </w:t>
      </w:r>
      <w:r w:rsidR="00032176">
        <w:rPr>
          <w:rFonts w:ascii="Times New Roman" w:eastAsia="Times New Roman" w:hAnsi="Times New Roman" w:cs="Times New Roman"/>
        </w:rPr>
        <w:fldChar w:fldCharType="begin"/>
      </w:r>
      <w:r w:rsidR="00032176">
        <w:rPr>
          <w:rFonts w:ascii="Times New Roman" w:eastAsia="Times New Roman" w:hAnsi="Times New Roman" w:cs="Times New Roman"/>
        </w:rPr>
        <w:instrText xml:space="preserve"> ADDIN ZOTERO_ITEM CSL_CITATION {"citationID":"7jMnFKyW","properties":{"unsorted":false,"formattedCitation":"[13]","plainCitation":"[13]","noteIndex":0},"citationItems":[{"id":162,"uris":["http://zotero.org/groups/6437514/items/J5S4FE2M"],"itemData":{"id":162,"type":"article-journal","abstract":"Abstract\n            Diabetic neuropathy is a serious complication of diabetes mellitus (DM). Its\n                    commonest manifestation is diabetic peripheral neuropathy (DPN). Diabetic\n                    neuropathy may also affect the autonomic nervous system, cardiac autonomic\n                    neuropathy (CAN) being its most widely studied manifestation. Treatment of DPN\n                    and CAN relies on glycaemic control and symptom alleviation, emphasizing the\n                    need for improvement. To this purpose, the novel antidiabetic oral agents\n                    sodium-glucose cotransporter-2 inhibitors (SGLT-2is) have been studied. Beyond\n                    their favourable effects on metabolic control and cardiovascular and renal\n                    outcomes, these agents appear to harbour some beneficial actions in DPN and CAN\n                    as well. The underlying mechanisms are not entirely clear, but appear to involve\n                    the 5&amp;apos; adenosine monophosphate-activated protein kinase (AMPK)-pathway.\n                    So far, clinical experience has been limited. Significant improvement in\n                    electrophysiological parameters and thermal perception has been observed among\n                    subjects with type 2 diabetes mellitus (T2DM) in small studies. However,\n                    contradictory findings have also been reported. The same ambiguous effect of\n                    SGLT-2is has been observed in CAN. Thus, future large studies are required to\n                    delineate the utility of SGLT-2is in DPN and/or CAN.","container-title":"Experimental and Clinical Endocrinology &amp; Diabetes","DOI":"10.1055/a-2640-9411","ISSN":"0947-7349, 1439-3646","issue":"08","journalAbbreviation":"Exp Clin Endocrinol Diabetes","language":"en","page":"425-436","source":"DOI.org (Crossref)","title":"The Therapeutic Potential of Sodium-Glucose Cotransporter-2 Inhibitors in Diabetic Neuropathy","volume":"133","author":[{"family":"Panou","given":"Theodoros"},{"family":"Gouveri","given":"Evanthia"},{"family":"Popovic","given":"Djordje S"},{"family":"Papazoglou","given":"Dimitrios"},{"family":"Papanas","given":"Nikolaos"}],"issued":{"date-parts":[["2025",8]]}}}],"schema":"https://github.com/citation-style-language/schema/raw/master/csl-citation.json"} </w:instrText>
      </w:r>
      <w:r w:rsidR="00032176">
        <w:rPr>
          <w:rFonts w:ascii="Times New Roman" w:eastAsia="Times New Roman" w:hAnsi="Times New Roman" w:cs="Times New Roman"/>
        </w:rPr>
        <w:fldChar w:fldCharType="separate"/>
      </w:r>
      <w:r w:rsidR="00032176" w:rsidRPr="00032176">
        <w:rPr>
          <w:rFonts w:ascii="Times New Roman" w:hAnsi="Times New Roman" w:cs="Times New Roman"/>
        </w:rPr>
        <w:t>[13]</w:t>
      </w:r>
      <w:r w:rsidR="00032176">
        <w:rPr>
          <w:rFonts w:ascii="Times New Roman" w:eastAsia="Times New Roman" w:hAnsi="Times New Roman" w:cs="Times New Roman"/>
        </w:rPr>
        <w:fldChar w:fldCharType="end"/>
      </w:r>
      <w:r w:rsidR="00032176">
        <w:rPr>
          <w:rFonts w:ascii="Times New Roman" w:eastAsia="Times New Roman" w:hAnsi="Times New Roman" w:cs="Times New Roman"/>
        </w:rPr>
        <w:t xml:space="preserve"> </w:t>
      </w:r>
      <w:r w:rsidRPr="00814CE3">
        <w:rPr>
          <w:rFonts w:ascii="Times New Roman" w:eastAsia="Times New Roman" w:hAnsi="Times New Roman" w:cs="Times New Roman"/>
        </w:rPr>
        <w:t xml:space="preserve">examined the potential impact </w:t>
      </w:r>
      <w:r w:rsidR="00896C8B">
        <w:rPr>
          <w:rFonts w:ascii="Times New Roman" w:eastAsia="Times New Roman" w:hAnsi="Times New Roman" w:cs="Times New Roman"/>
        </w:rPr>
        <w:t xml:space="preserve">of </w:t>
      </w:r>
      <w:r w:rsidRPr="00814CE3">
        <w:rPr>
          <w:rFonts w:ascii="Times New Roman" w:eastAsia="Times New Roman" w:hAnsi="Times New Roman" w:cs="Times New Roman"/>
        </w:rPr>
        <w:t xml:space="preserve">SGLT2 inhibitors on both peripheral and autonomic diabetic neuropathies; however, this review </w:t>
      </w:r>
      <w:proofErr w:type="spellStart"/>
      <w:r w:rsidRPr="00814CE3">
        <w:rPr>
          <w:rFonts w:ascii="Times New Roman" w:eastAsia="Times New Roman" w:hAnsi="Times New Roman" w:cs="Times New Roman"/>
        </w:rPr>
        <w:t>synthesised</w:t>
      </w:r>
      <w:proofErr w:type="spellEnd"/>
      <w:r w:rsidRPr="00814CE3">
        <w:rPr>
          <w:rFonts w:ascii="Times New Roman" w:eastAsia="Times New Roman" w:hAnsi="Times New Roman" w:cs="Times New Roman"/>
        </w:rPr>
        <w:t xml:space="preserve"> evidence narratively across both neuropathy domains without performing quantitative pooling of peripheral nerve conduction outcomes, limiting the strength of conclusions that could be drawn specifically regarding the peripheral neuropathy evidence base.</w:t>
      </w:r>
      <w:r w:rsidR="00896C8B">
        <w:rPr>
          <w:rFonts w:ascii="Times New Roman" w:eastAsia="Times New Roman" w:hAnsi="Times New Roman" w:cs="Times New Roman"/>
        </w:rPr>
        <w:t xml:space="preserve"> In addition</w:t>
      </w:r>
      <w:r w:rsidRPr="00814CE3">
        <w:rPr>
          <w:rFonts w:ascii="Times New Roman" w:eastAsia="Times New Roman" w:hAnsi="Times New Roman" w:cs="Times New Roman"/>
        </w:rPr>
        <w:t xml:space="preserve">, </w:t>
      </w:r>
      <w:r w:rsidR="00896C8B">
        <w:rPr>
          <w:rFonts w:ascii="Times New Roman" w:eastAsia="Times New Roman" w:hAnsi="Times New Roman" w:cs="Times New Roman"/>
        </w:rPr>
        <w:t xml:space="preserve">there are more </w:t>
      </w:r>
      <w:r w:rsidRPr="00814CE3">
        <w:rPr>
          <w:rFonts w:ascii="Times New Roman" w:eastAsia="Times New Roman" w:hAnsi="Times New Roman" w:cs="Times New Roman"/>
        </w:rPr>
        <w:t xml:space="preserve">recent </w:t>
      </w:r>
      <w:proofErr w:type="spellStart"/>
      <w:r w:rsidRPr="00814CE3">
        <w:rPr>
          <w:rFonts w:ascii="Times New Roman" w:eastAsia="Times New Roman" w:hAnsi="Times New Roman" w:cs="Times New Roman"/>
        </w:rPr>
        <w:t>randomised</w:t>
      </w:r>
      <w:proofErr w:type="spellEnd"/>
      <w:r w:rsidRPr="00814CE3">
        <w:rPr>
          <w:rFonts w:ascii="Times New Roman" w:eastAsia="Times New Roman" w:hAnsi="Times New Roman" w:cs="Times New Roman"/>
        </w:rPr>
        <w:t xml:space="preserve"> controlled trials</w:t>
      </w:r>
      <w:r w:rsidR="00896C8B">
        <w:rPr>
          <w:rFonts w:ascii="Times New Roman" w:eastAsia="Times New Roman" w:hAnsi="Times New Roman" w:cs="Times New Roman"/>
        </w:rPr>
        <w:t xml:space="preserve"> that provide valuable insights</w:t>
      </w:r>
      <w:r w:rsidRPr="00814CE3">
        <w:rPr>
          <w:rFonts w:ascii="Times New Roman" w:eastAsia="Times New Roman" w:hAnsi="Times New Roman" w:cs="Times New Roman"/>
        </w:rPr>
        <w:t xml:space="preserve">. There therefore remains a gap in the literature for a systematic review with meta-analysis focused exclusively on peripheral diabetic neuropathy, with quantitative pooling of nerve conduction study parameters across </w:t>
      </w:r>
      <w:r w:rsidR="00BD0B35">
        <w:rPr>
          <w:rFonts w:ascii="Times New Roman" w:eastAsia="Times New Roman" w:hAnsi="Times New Roman" w:cs="Times New Roman"/>
        </w:rPr>
        <w:t>studies</w:t>
      </w:r>
      <w:r w:rsidRPr="00814CE3">
        <w:rPr>
          <w:rFonts w:ascii="Times New Roman" w:eastAsia="Times New Roman" w:hAnsi="Times New Roman" w:cs="Times New Roman"/>
        </w:rPr>
        <w:t xml:space="preserve"> and inclusion of the most current evidence. </w:t>
      </w:r>
    </w:p>
    <w:p w14:paraId="2D9318EB" w14:textId="77A9FE62" w:rsidR="00200DF4" w:rsidRDefault="00814CE3" w:rsidP="00C208BC">
      <w:pPr>
        <w:spacing w:after="120" w:line="360" w:lineRule="auto"/>
        <w:jc w:val="both"/>
        <w:rPr>
          <w:rFonts w:ascii="Times New Roman" w:eastAsia="Times New Roman" w:hAnsi="Times New Roman" w:cs="Times New Roman"/>
        </w:rPr>
      </w:pPr>
      <w:r w:rsidRPr="00814CE3">
        <w:rPr>
          <w:rFonts w:ascii="Times New Roman" w:eastAsia="Times New Roman" w:hAnsi="Times New Roman" w:cs="Times New Roman"/>
        </w:rPr>
        <w:t xml:space="preserve">The present systematic review and meta-analysis therefore aims to address this gap by evaluating the totality of available clinical evidence on the effect of SGLT2 inhibitors specifically on peripheral nerve function and related biomarkers in patients with diabetic peripheral neuropathy, quantitatively pooling electrodiagnostic outcomes across </w:t>
      </w:r>
      <w:proofErr w:type="spellStart"/>
      <w:r w:rsidRPr="00814CE3">
        <w:rPr>
          <w:rFonts w:ascii="Times New Roman" w:eastAsia="Times New Roman" w:hAnsi="Times New Roman" w:cs="Times New Roman"/>
        </w:rPr>
        <w:t>randomised</w:t>
      </w:r>
      <w:proofErr w:type="spellEnd"/>
      <w:r w:rsidRPr="00814CE3">
        <w:rPr>
          <w:rFonts w:ascii="Times New Roman" w:eastAsia="Times New Roman" w:hAnsi="Times New Roman" w:cs="Times New Roman"/>
        </w:rPr>
        <w:t xml:space="preserve"> controlled trials where feasible, and incorporating the most recently published studies not captured by previous reviews, in order to provide the most comprehensive and up-to-date synthesis of this evidence base to date.</w:t>
      </w:r>
    </w:p>
    <w:p w14:paraId="7F2FC157" w14:textId="77777777" w:rsidR="00200DF4" w:rsidRDefault="00200DF4" w:rsidP="00C208BC">
      <w:pPr>
        <w:spacing w:after="120" w:line="360" w:lineRule="auto"/>
        <w:rPr>
          <w:rFonts w:ascii="Times New Roman" w:eastAsia="Times New Roman" w:hAnsi="Times New Roman" w:cs="Times New Roman"/>
        </w:rPr>
      </w:pPr>
    </w:p>
    <w:p w14:paraId="66191BDE" w14:textId="77777777" w:rsidR="00200DF4" w:rsidRDefault="00000000" w:rsidP="00C208BC">
      <w:pPr>
        <w:spacing w:after="120" w:line="360" w:lineRule="auto"/>
        <w:rPr>
          <w:rFonts w:ascii="Times New Roman" w:eastAsia="Times New Roman" w:hAnsi="Times New Roman" w:cs="Times New Roman"/>
        </w:rPr>
      </w:pPr>
      <w:r>
        <w:br w:type="page"/>
      </w:r>
    </w:p>
    <w:p w14:paraId="6C4EF7D3" w14:textId="25ECD5DA" w:rsidR="00200DF4" w:rsidRPr="00CC260B" w:rsidRDefault="00CC260B" w:rsidP="00C208BC">
      <w:pPr>
        <w:pStyle w:val="Heading1"/>
        <w:spacing w:line="360" w:lineRule="auto"/>
      </w:pPr>
      <w:r>
        <w:lastRenderedPageBreak/>
        <w:t xml:space="preserve">2. </w:t>
      </w:r>
      <w:r w:rsidRPr="00CC260B">
        <w:t>Methodology</w:t>
      </w:r>
    </w:p>
    <w:p w14:paraId="2C86543D" w14:textId="27B2F73B" w:rsidR="00200DF4" w:rsidRPr="00265329" w:rsidRDefault="00000000" w:rsidP="00BD0B35">
      <w:pPr>
        <w:spacing w:after="240" w:line="360" w:lineRule="auto"/>
        <w:jc w:val="both"/>
        <w:rPr>
          <w:rFonts w:asciiTheme="majorBidi" w:eastAsia="Times New Roman" w:hAnsiTheme="majorBidi" w:cstheme="majorBidi"/>
          <w:i/>
          <w:iCs/>
        </w:rPr>
      </w:pPr>
      <w:r w:rsidRPr="00265329">
        <w:rPr>
          <w:rFonts w:asciiTheme="majorBidi" w:eastAsia="Times New Roman" w:hAnsiTheme="majorBidi" w:cstheme="majorBidi"/>
        </w:rPr>
        <w:t xml:space="preserve">While carrying out this systematic review and meta-analysis, we used the guidelines of Cochrane Handbook of Systematic Reviews and Meta-analysis (version 6.5) </w:t>
      </w:r>
      <w:r w:rsidR="00AC58D8" w:rsidRPr="00265329">
        <w:rPr>
          <w:rFonts w:asciiTheme="majorBidi" w:hAnsiTheme="majorBidi" w:cstheme="majorBidi"/>
        </w:rPr>
        <w:fldChar w:fldCharType="begin"/>
      </w:r>
      <w:r w:rsidR="00BD0B35">
        <w:rPr>
          <w:rFonts w:asciiTheme="majorBidi" w:hAnsiTheme="majorBidi" w:cstheme="majorBidi"/>
        </w:rPr>
        <w:instrText xml:space="preserve"> ADDIN ZOTERO_ITEM CSL_CITATION {"citationID":"KYDHUhZs","properties":{"formattedCitation":"[14]","plainCitation":"[14]","noteIndex":0},"citationItems":[{"id":96,"uris":["http://zotero.org/groups/6417726/items/LND4DMUL"],"itemData":{"id":96,"type":"book","edition":"Version 6.5 (updated August 2024)","publisher":"Cochrane","title":"Cochrane Handbook for Systematic Reviews of Interventions","URL":"www.cochrane.org/handbook","author":[{"literal":"Higgins JPT"},{"literal":"Thomas J"},{"literal":"Chandler J"},{"literal":"Cumpston M"},{"literal":"Li T"},{"literal":"Page MJ"},{"literal":"et al"},{"literal":"editor (s)"}],"issued":{"date-parts":[["2024"]]}}}],"schema":"https://github.com/citation-style-language/schema/raw/master/csl-citation.json"} </w:instrText>
      </w:r>
      <w:r w:rsidR="00AC58D8" w:rsidRPr="00265329">
        <w:rPr>
          <w:rFonts w:asciiTheme="majorBidi" w:hAnsiTheme="majorBidi" w:cstheme="majorBidi"/>
        </w:rPr>
        <w:fldChar w:fldCharType="separate"/>
      </w:r>
      <w:r w:rsidR="00BD0B35" w:rsidRPr="00BD0B35">
        <w:rPr>
          <w:rFonts w:ascii="Times New Roman" w:hAnsi="Times New Roman" w:cs="Times New Roman"/>
        </w:rPr>
        <w:t>[14]</w:t>
      </w:r>
      <w:r w:rsidR="00AC58D8" w:rsidRPr="00265329">
        <w:rPr>
          <w:rFonts w:asciiTheme="majorBidi" w:hAnsiTheme="majorBidi" w:cstheme="majorBidi"/>
        </w:rPr>
        <w:fldChar w:fldCharType="end"/>
      </w:r>
      <w:r w:rsidRPr="00265329">
        <w:rPr>
          <w:rFonts w:asciiTheme="majorBidi" w:eastAsia="Times New Roman" w:hAnsiTheme="majorBidi" w:cstheme="majorBidi"/>
        </w:rPr>
        <w:t xml:space="preserve">. We reported this study according to the Preferred Reporting items of Systematic Reviews and Meta-Analysis (PRISMA statement 2020) </w:t>
      </w:r>
      <w:r w:rsidR="00AC58D8" w:rsidRPr="00265329">
        <w:rPr>
          <w:rFonts w:asciiTheme="majorBidi" w:hAnsiTheme="majorBidi" w:cstheme="majorBidi"/>
        </w:rPr>
        <w:fldChar w:fldCharType="begin"/>
      </w:r>
      <w:r w:rsidR="00BD0B35">
        <w:rPr>
          <w:rFonts w:asciiTheme="majorBidi" w:hAnsiTheme="majorBidi" w:cstheme="majorBidi"/>
        </w:rPr>
        <w:instrText xml:space="preserve"> ADDIN ZOTERO_ITEM CSL_CITATION {"citationID":"2wlfPaaq","properties":{"formattedCitation":"[15]","plainCitation":"[15]","noteIndex":0},"citationItems":[{"id":116,"uris":["http://zotero.org/groups/6437514/items/V5VVDHJQ"],"itemData":{"id":116,"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AC58D8" w:rsidRPr="00265329">
        <w:rPr>
          <w:rFonts w:asciiTheme="majorBidi" w:hAnsiTheme="majorBidi" w:cstheme="majorBidi"/>
        </w:rPr>
        <w:fldChar w:fldCharType="separate"/>
      </w:r>
      <w:r w:rsidR="00BD0B35" w:rsidRPr="00BD0B35">
        <w:rPr>
          <w:rFonts w:ascii="Times New Roman" w:hAnsi="Times New Roman" w:cs="Times New Roman"/>
        </w:rPr>
        <w:t>[15]</w:t>
      </w:r>
      <w:r w:rsidR="00AC58D8" w:rsidRPr="00265329">
        <w:rPr>
          <w:rFonts w:asciiTheme="majorBidi" w:hAnsiTheme="majorBidi" w:cstheme="majorBidi"/>
        </w:rPr>
        <w:fldChar w:fldCharType="end"/>
      </w:r>
      <w:r w:rsidRPr="00265329">
        <w:rPr>
          <w:rFonts w:asciiTheme="majorBidi" w:eastAsia="Times New Roman" w:hAnsiTheme="majorBidi" w:cstheme="majorBidi"/>
        </w:rPr>
        <w:t xml:space="preserve">. </w:t>
      </w:r>
    </w:p>
    <w:p w14:paraId="7E6BC305" w14:textId="63942252" w:rsidR="00200DF4" w:rsidRPr="00CC260B" w:rsidRDefault="00CC260B" w:rsidP="006A5F7F">
      <w:pPr>
        <w:spacing w:after="240" w:line="360" w:lineRule="auto"/>
        <w:jc w:val="both"/>
        <w:rPr>
          <w:rFonts w:ascii="Times New Roman" w:eastAsia="Times New Roman" w:hAnsi="Times New Roman" w:cs="Times New Roman"/>
          <w:b/>
          <w:bCs/>
          <w:i/>
          <w:iCs/>
        </w:rPr>
      </w:pPr>
      <w:r w:rsidRPr="00CC260B">
        <w:rPr>
          <w:rFonts w:ascii="Times New Roman" w:eastAsia="Times New Roman" w:hAnsi="Times New Roman" w:cs="Times New Roman"/>
          <w:b/>
          <w:bCs/>
          <w:i/>
          <w:iCs/>
        </w:rPr>
        <w:t>2.1 Eligibility criteria</w:t>
      </w:r>
    </w:p>
    <w:p w14:paraId="47EBAEE4" w14:textId="70FBFFDC" w:rsidR="00200DF4" w:rsidRDefault="00000000" w:rsidP="006A5F7F">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Studies were considered eligible for inclusion in this systematic review if they met the following pre-specified criteria, defined according to the PICOS framework. With respect to </w:t>
      </w:r>
      <w:r w:rsidRPr="00CC260B">
        <w:rPr>
          <w:rFonts w:ascii="Times New Roman" w:eastAsia="Times New Roman" w:hAnsi="Times New Roman" w:cs="Times New Roman"/>
        </w:rPr>
        <w:t xml:space="preserve">population, studies were required to </w:t>
      </w:r>
      <w:r w:rsidR="00CC260B" w:rsidRPr="00CC260B">
        <w:rPr>
          <w:rFonts w:ascii="Times New Roman" w:eastAsia="Times New Roman" w:hAnsi="Times New Roman" w:cs="Times New Roman"/>
        </w:rPr>
        <w:t>enroll</w:t>
      </w:r>
      <w:r w:rsidRPr="00CC260B">
        <w:rPr>
          <w:rFonts w:ascii="Times New Roman" w:eastAsia="Times New Roman" w:hAnsi="Times New Roman" w:cs="Times New Roman"/>
        </w:rPr>
        <w:t xml:space="preserve"> adult patients (aged ≥18 years) with a confirmed diagnosis of diabetes mellitus (type 1 or type 2) and established peripheral diabetic neuropathy, defined by either electrodiagnostic criteria, clinical neuropathy scoring, or objective small </w:t>
      </w:r>
      <w:r w:rsidR="00CC260B" w:rsidRPr="00CC260B">
        <w:rPr>
          <w:rFonts w:ascii="Times New Roman" w:eastAsia="Times New Roman" w:hAnsi="Times New Roman" w:cs="Times New Roman"/>
        </w:rPr>
        <w:t>fiber</w:t>
      </w:r>
      <w:r w:rsidRPr="00CC260B">
        <w:rPr>
          <w:rFonts w:ascii="Times New Roman" w:eastAsia="Times New Roman" w:hAnsi="Times New Roman" w:cs="Times New Roman"/>
        </w:rPr>
        <w:t xml:space="preserve"> assessment. No restrictions were placed on diabetes duration, HbA1c level, or neuropathy severity at baseline. Regarding intervention</w:t>
      </w:r>
      <w:r>
        <w:rPr>
          <w:rFonts w:ascii="Times New Roman" w:eastAsia="Times New Roman" w:hAnsi="Times New Roman" w:cs="Times New Roman"/>
        </w:rPr>
        <w:t>, eligible studies were required to include at least one arm receiving an SGLT2 inhibitor</w:t>
      </w:r>
      <w:r w:rsidR="000C7469">
        <w:rPr>
          <w:rFonts w:ascii="Times New Roman" w:eastAsia="Times New Roman" w:hAnsi="Times New Roman" w:cs="Times New Roman"/>
        </w:rPr>
        <w:t xml:space="preserve"> </w:t>
      </w:r>
      <w:r>
        <w:rPr>
          <w:rFonts w:ascii="Times New Roman" w:eastAsia="Times New Roman" w:hAnsi="Times New Roman" w:cs="Times New Roman"/>
        </w:rPr>
        <w:t xml:space="preserve">at any licensed dose and for any duration of follow-up. For </w:t>
      </w:r>
      <w:r w:rsidR="00265329" w:rsidRPr="00CC260B">
        <w:rPr>
          <w:rFonts w:ascii="Times New Roman" w:eastAsia="Times New Roman" w:hAnsi="Times New Roman" w:cs="Times New Roman"/>
        </w:rPr>
        <w:t>comparators</w:t>
      </w:r>
      <w:r>
        <w:rPr>
          <w:rFonts w:ascii="Times New Roman" w:eastAsia="Times New Roman" w:hAnsi="Times New Roman" w:cs="Times New Roman"/>
        </w:rPr>
        <w:t>, studies were required to include a placebo group, standard care arm, or active comparator; however, single-arm studies were retained for narrative synthesis given the scarcity of evidence in this field,</w:t>
      </w:r>
      <w:r w:rsidR="00265329">
        <w:rPr>
          <w:rFonts w:ascii="Times New Roman" w:eastAsia="Times New Roman" w:hAnsi="Times New Roman" w:cs="Times New Roman"/>
        </w:rPr>
        <w:t xml:space="preserve"> </w:t>
      </w:r>
      <w:r>
        <w:rPr>
          <w:rFonts w:ascii="Times New Roman" w:eastAsia="Times New Roman" w:hAnsi="Times New Roman" w:cs="Times New Roman"/>
        </w:rPr>
        <w:t xml:space="preserve">and were explicitly excluded from all pooled meta-analyses. </w:t>
      </w:r>
      <w:r w:rsidR="00CC260B">
        <w:rPr>
          <w:rFonts w:ascii="Times New Roman" w:eastAsia="Times New Roman" w:hAnsi="Times New Roman" w:cs="Times New Roman"/>
        </w:rPr>
        <w:t>Regarding</w:t>
      </w:r>
      <w:r>
        <w:rPr>
          <w:rFonts w:ascii="Times New Roman" w:eastAsia="Times New Roman" w:hAnsi="Times New Roman" w:cs="Times New Roman"/>
        </w:rPr>
        <w:t xml:space="preserve"> </w:t>
      </w:r>
      <w:r w:rsidRPr="00CC260B">
        <w:rPr>
          <w:rFonts w:ascii="Times New Roman" w:eastAsia="Times New Roman" w:hAnsi="Times New Roman" w:cs="Times New Roman"/>
        </w:rPr>
        <w:t>outcomes</w:t>
      </w:r>
      <w:r>
        <w:rPr>
          <w:rFonts w:ascii="Times New Roman" w:eastAsia="Times New Roman" w:hAnsi="Times New Roman" w:cs="Times New Roman"/>
        </w:rPr>
        <w:t xml:space="preserve">, studies were eligible if they reported at least one quantitative measure of peripheral nerve function or neuropathy severity, including but not limited to nerve conduction study parameters (sensory or motor conduction velocity, amplitude, or latency), corneal confocal microscopy metrics, neuropathy symptom or disability scores, or biomarkers of oxidative stress. With respect to </w:t>
      </w:r>
      <w:r w:rsidRPr="00CC260B">
        <w:rPr>
          <w:rFonts w:ascii="Times New Roman" w:eastAsia="Times New Roman" w:hAnsi="Times New Roman" w:cs="Times New Roman"/>
        </w:rPr>
        <w:t>study design</w:t>
      </w:r>
      <w:r>
        <w:rPr>
          <w:rFonts w:ascii="Times New Roman" w:eastAsia="Times New Roman" w:hAnsi="Times New Roman" w:cs="Times New Roman"/>
        </w:rPr>
        <w:t xml:space="preserve">, </w:t>
      </w:r>
      <w:proofErr w:type="spellStart"/>
      <w:r>
        <w:rPr>
          <w:rFonts w:ascii="Times New Roman" w:eastAsia="Times New Roman" w:hAnsi="Times New Roman" w:cs="Times New Roman"/>
        </w:rPr>
        <w:t>randomised</w:t>
      </w:r>
      <w:proofErr w:type="spellEnd"/>
      <w:r>
        <w:rPr>
          <w:rFonts w:ascii="Times New Roman" w:eastAsia="Times New Roman" w:hAnsi="Times New Roman" w:cs="Times New Roman"/>
        </w:rPr>
        <w:t xml:space="preserve"> controlled trials (RCTs) and prospective observational studies were eligible for inclusion. Cross-sectional studies, case reports, case series, editorials, review articles, conference abstracts without full-text availability, and animal or in vitro studies were excluded. Studies in which SGLT2 inhibitor therapy could not be isolated as the primary intervention </w:t>
      </w:r>
      <w:r w:rsidR="0080314D">
        <w:rPr>
          <w:rFonts w:ascii="Times New Roman" w:eastAsia="Times New Roman" w:hAnsi="Times New Roman" w:cs="Times New Roman"/>
        </w:rPr>
        <w:t>(</w:t>
      </w:r>
      <w:r>
        <w:rPr>
          <w:rFonts w:ascii="Times New Roman" w:eastAsia="Times New Roman" w:hAnsi="Times New Roman" w:cs="Times New Roman"/>
        </w:rPr>
        <w:t>for instance where it was combined with another agent in all arms without a corresponding comparator</w:t>
      </w:r>
      <w:r w:rsidR="0080314D">
        <w:rPr>
          <w:rFonts w:ascii="Times New Roman" w:eastAsia="Times New Roman" w:hAnsi="Times New Roman" w:cs="Times New Roman"/>
        </w:rPr>
        <w:t>)</w:t>
      </w:r>
      <w:r>
        <w:rPr>
          <w:rFonts w:ascii="Times New Roman" w:eastAsia="Times New Roman" w:hAnsi="Times New Roman" w:cs="Times New Roman"/>
        </w:rPr>
        <w:t xml:space="preserve"> were excluded to avoid confounding of effect estimates. </w:t>
      </w:r>
    </w:p>
    <w:p w14:paraId="37A13EA4" w14:textId="1BDC83BD" w:rsidR="00200DF4" w:rsidRPr="00CC260B" w:rsidRDefault="00CC260B" w:rsidP="006A5F7F">
      <w:pPr>
        <w:spacing w:after="240" w:line="360" w:lineRule="auto"/>
        <w:jc w:val="both"/>
        <w:rPr>
          <w:rFonts w:ascii="Times New Roman" w:eastAsia="Times New Roman" w:hAnsi="Times New Roman" w:cs="Times New Roman"/>
          <w:b/>
          <w:bCs/>
          <w:i/>
          <w:iCs/>
        </w:rPr>
      </w:pPr>
      <w:r w:rsidRPr="00CC260B">
        <w:rPr>
          <w:rFonts w:ascii="Times New Roman" w:eastAsia="Times New Roman" w:hAnsi="Times New Roman" w:cs="Times New Roman"/>
          <w:b/>
          <w:bCs/>
          <w:i/>
          <w:iCs/>
        </w:rPr>
        <w:t>2.2 Information sources and Search strategy</w:t>
      </w:r>
    </w:p>
    <w:p w14:paraId="3FECDCF0" w14:textId="66568E6E" w:rsidR="00200DF4" w:rsidRDefault="00000000" w:rsidP="006A5F7F">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Pub</w:t>
      </w:r>
      <w:r w:rsidR="006A5F7F">
        <w:rPr>
          <w:rFonts w:ascii="Times New Roman" w:eastAsia="Times New Roman" w:hAnsi="Times New Roman" w:cs="Times New Roman"/>
        </w:rPr>
        <w:t>M</w:t>
      </w:r>
      <w:r>
        <w:rPr>
          <w:rFonts w:ascii="Times New Roman" w:eastAsia="Times New Roman" w:hAnsi="Times New Roman" w:cs="Times New Roman"/>
        </w:rPr>
        <w:t>ed:</w:t>
      </w:r>
    </w:p>
    <w:p w14:paraId="6FE693AF" w14:textId="75B6B64F" w:rsidR="00200DF4" w:rsidRDefault="00000000" w:rsidP="006A5F7F">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("Sodium-Glucose Transporter 2 Inhibitors"[Mesh] OR "sodium-glucose cotransporter 2 inhibitor*" OR "sodium glucose cotransporter 2 inhibitor*" OR SGLT2 OR SGLT2i OR canagliflozin OR dapagliflozin OR empagliflozin OR ertugliflozin OR ipragliflozin OR </w:t>
      </w:r>
      <w:proofErr w:type="spellStart"/>
      <w:r>
        <w:rPr>
          <w:rFonts w:ascii="Times New Roman" w:eastAsia="Times New Roman" w:hAnsi="Times New Roman" w:cs="Times New Roman"/>
        </w:rPr>
        <w:t>luseogliflozin</w:t>
      </w:r>
      <w:proofErr w:type="spellEnd"/>
      <w:r>
        <w:rPr>
          <w:rFonts w:ascii="Times New Roman" w:eastAsia="Times New Roman" w:hAnsi="Times New Roman" w:cs="Times New Roman"/>
        </w:rPr>
        <w:t xml:space="preserve"> OR tofogliflozin OR </w:t>
      </w:r>
      <w:proofErr w:type="spellStart"/>
      <w:r>
        <w:rPr>
          <w:rFonts w:ascii="Times New Roman" w:eastAsia="Times New Roman" w:hAnsi="Times New Roman" w:cs="Times New Roman"/>
        </w:rPr>
        <w:t>bexagliflozin</w:t>
      </w:r>
      <w:proofErr w:type="spellEnd"/>
      <w:r>
        <w:rPr>
          <w:rFonts w:ascii="Times New Roman" w:eastAsia="Times New Roman" w:hAnsi="Times New Roman" w:cs="Times New Roman"/>
        </w:rPr>
        <w:t xml:space="preserve">) AND ("Diabetic Neuropathies"[Mesh] OR "Peripheral Nervous System </w:t>
      </w:r>
      <w:r>
        <w:rPr>
          <w:rFonts w:ascii="Times New Roman" w:eastAsia="Times New Roman" w:hAnsi="Times New Roman" w:cs="Times New Roman"/>
        </w:rPr>
        <w:lastRenderedPageBreak/>
        <w:t xml:space="preserve">Diseases"[Mesh] OR "diabetic neuropath*" OR "diabetic peripheral neuropath*" OR "diabetic </w:t>
      </w:r>
      <w:proofErr w:type="spellStart"/>
      <w:r>
        <w:rPr>
          <w:rFonts w:ascii="Times New Roman" w:eastAsia="Times New Roman" w:hAnsi="Times New Roman" w:cs="Times New Roman"/>
        </w:rPr>
        <w:t>polyneuropath</w:t>
      </w:r>
      <w:proofErr w:type="spellEnd"/>
      <w:r>
        <w:rPr>
          <w:rFonts w:ascii="Times New Roman" w:eastAsia="Times New Roman" w:hAnsi="Times New Roman" w:cs="Times New Roman"/>
        </w:rPr>
        <w:t xml:space="preserve">*" OR "distal symmetric </w:t>
      </w:r>
      <w:proofErr w:type="spellStart"/>
      <w:r>
        <w:rPr>
          <w:rFonts w:ascii="Times New Roman" w:eastAsia="Times New Roman" w:hAnsi="Times New Roman" w:cs="Times New Roman"/>
        </w:rPr>
        <w:t>polyneuropath</w:t>
      </w:r>
      <w:proofErr w:type="spellEnd"/>
      <w:r>
        <w:rPr>
          <w:rFonts w:ascii="Times New Roman" w:eastAsia="Times New Roman" w:hAnsi="Times New Roman" w:cs="Times New Roman"/>
        </w:rPr>
        <w:t>*" OR "peripheral neuropath*" OR "</w:t>
      </w:r>
      <w:proofErr w:type="spellStart"/>
      <w:r>
        <w:rPr>
          <w:rFonts w:ascii="Times New Roman" w:eastAsia="Times New Roman" w:hAnsi="Times New Roman" w:cs="Times New Roman"/>
        </w:rPr>
        <w:t>polyneuropath</w:t>
      </w:r>
      <w:proofErr w:type="spellEnd"/>
      <w:r>
        <w:rPr>
          <w:rFonts w:ascii="Times New Roman" w:eastAsia="Times New Roman" w:hAnsi="Times New Roman" w:cs="Times New Roman"/>
        </w:rPr>
        <w:t xml:space="preserve">*" OR "small fiber neuropath*" OR "small </w:t>
      </w:r>
      <w:proofErr w:type="spellStart"/>
      <w:r>
        <w:rPr>
          <w:rFonts w:ascii="Times New Roman" w:eastAsia="Times New Roman" w:hAnsi="Times New Roman" w:cs="Times New Roman"/>
        </w:rPr>
        <w:t>fibre</w:t>
      </w:r>
      <w:proofErr w:type="spellEnd"/>
      <w:r>
        <w:rPr>
          <w:rFonts w:ascii="Times New Roman" w:eastAsia="Times New Roman" w:hAnsi="Times New Roman" w:cs="Times New Roman"/>
        </w:rPr>
        <w:t xml:space="preserve"> neuropath*" OR "autonomic neuropath*")</w:t>
      </w:r>
    </w:p>
    <w:p w14:paraId="7BBC97EF" w14:textId="77777777" w:rsidR="00200DF4" w:rsidRDefault="00000000" w:rsidP="006A5F7F">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Web of Science:</w:t>
      </w:r>
    </w:p>
    <w:p w14:paraId="42A8C4F8" w14:textId="21217EB9" w:rsidR="00200DF4" w:rsidRDefault="00000000" w:rsidP="006A5F7F">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("Sodium-Glucose Transporter 2 Inhibitors" OR "sodium-glucose cotransporter 2 inhibitor*" OR "sodium glucose cotransporter 2 inhibitor*" OR SGLT2 OR SGLT2i OR canagliflozin OR dapagliflozin OR empagliflozin OR ertugliflozin OR ipragliflozin OR </w:t>
      </w:r>
      <w:proofErr w:type="spellStart"/>
      <w:r>
        <w:rPr>
          <w:rFonts w:ascii="Times New Roman" w:eastAsia="Times New Roman" w:hAnsi="Times New Roman" w:cs="Times New Roman"/>
        </w:rPr>
        <w:t>luseogliflozin</w:t>
      </w:r>
      <w:proofErr w:type="spellEnd"/>
      <w:r>
        <w:rPr>
          <w:rFonts w:ascii="Times New Roman" w:eastAsia="Times New Roman" w:hAnsi="Times New Roman" w:cs="Times New Roman"/>
        </w:rPr>
        <w:t xml:space="preserve"> OR tofogliflozin OR </w:t>
      </w:r>
      <w:proofErr w:type="spellStart"/>
      <w:r>
        <w:rPr>
          <w:rFonts w:ascii="Times New Roman" w:eastAsia="Times New Roman" w:hAnsi="Times New Roman" w:cs="Times New Roman"/>
        </w:rPr>
        <w:t>bexagliflozin</w:t>
      </w:r>
      <w:proofErr w:type="spellEnd"/>
      <w:r>
        <w:rPr>
          <w:rFonts w:ascii="Times New Roman" w:eastAsia="Times New Roman" w:hAnsi="Times New Roman" w:cs="Times New Roman"/>
        </w:rPr>
        <w:t xml:space="preserve">) AND ("Diabetic Neuropathies" OR "Peripheral Nervous System Diseases" OR "diabetic neuropath*" OR "diabetic peripheral neuropath*" OR "diabetic </w:t>
      </w:r>
      <w:proofErr w:type="spellStart"/>
      <w:r>
        <w:rPr>
          <w:rFonts w:ascii="Times New Roman" w:eastAsia="Times New Roman" w:hAnsi="Times New Roman" w:cs="Times New Roman"/>
        </w:rPr>
        <w:t>polyneuropath</w:t>
      </w:r>
      <w:proofErr w:type="spellEnd"/>
      <w:r>
        <w:rPr>
          <w:rFonts w:ascii="Times New Roman" w:eastAsia="Times New Roman" w:hAnsi="Times New Roman" w:cs="Times New Roman"/>
        </w:rPr>
        <w:t xml:space="preserve">*" OR "distal symmetric </w:t>
      </w:r>
      <w:proofErr w:type="spellStart"/>
      <w:r>
        <w:rPr>
          <w:rFonts w:ascii="Times New Roman" w:eastAsia="Times New Roman" w:hAnsi="Times New Roman" w:cs="Times New Roman"/>
        </w:rPr>
        <w:t>polyneuropath</w:t>
      </w:r>
      <w:proofErr w:type="spellEnd"/>
      <w:r>
        <w:rPr>
          <w:rFonts w:ascii="Times New Roman" w:eastAsia="Times New Roman" w:hAnsi="Times New Roman" w:cs="Times New Roman"/>
        </w:rPr>
        <w:t>*" OR "peripheral neuropath*" OR "</w:t>
      </w:r>
      <w:proofErr w:type="spellStart"/>
      <w:r>
        <w:rPr>
          <w:rFonts w:ascii="Times New Roman" w:eastAsia="Times New Roman" w:hAnsi="Times New Roman" w:cs="Times New Roman"/>
        </w:rPr>
        <w:t>polyneuropath</w:t>
      </w:r>
      <w:proofErr w:type="spellEnd"/>
      <w:r>
        <w:rPr>
          <w:rFonts w:ascii="Times New Roman" w:eastAsia="Times New Roman" w:hAnsi="Times New Roman" w:cs="Times New Roman"/>
        </w:rPr>
        <w:t xml:space="preserve">*" OR "small fiber neuropath*" OR "small </w:t>
      </w:r>
      <w:proofErr w:type="spellStart"/>
      <w:r>
        <w:rPr>
          <w:rFonts w:ascii="Times New Roman" w:eastAsia="Times New Roman" w:hAnsi="Times New Roman" w:cs="Times New Roman"/>
        </w:rPr>
        <w:t>fibre</w:t>
      </w:r>
      <w:proofErr w:type="spellEnd"/>
      <w:r>
        <w:rPr>
          <w:rFonts w:ascii="Times New Roman" w:eastAsia="Times New Roman" w:hAnsi="Times New Roman" w:cs="Times New Roman"/>
        </w:rPr>
        <w:t xml:space="preserve"> neuropath*" OR "autonomic neuropath*")</w:t>
      </w:r>
    </w:p>
    <w:p w14:paraId="5F992952" w14:textId="77777777" w:rsidR="00200DF4" w:rsidRDefault="00000000" w:rsidP="006A5F7F">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Cochrane CENTRAL:</w:t>
      </w:r>
    </w:p>
    <w:p w14:paraId="6A1B41D8" w14:textId="608986C8" w:rsidR="00200DF4" w:rsidRDefault="00000000" w:rsidP="006A5F7F">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("Sodium-Glucose Transporter 2 Inhibitors" OR "sodium-glucose cotransporter 2 inhibitor*" OR "sodium glucose cotransporter 2 inhibitor*" OR SGLT2 OR SGLT2i OR canagliflozin OR dapagliflozin OR empagliflozin OR ertugliflozin OR ipragliflozin OR </w:t>
      </w:r>
      <w:proofErr w:type="spellStart"/>
      <w:r>
        <w:rPr>
          <w:rFonts w:ascii="Times New Roman" w:eastAsia="Times New Roman" w:hAnsi="Times New Roman" w:cs="Times New Roman"/>
        </w:rPr>
        <w:t>luseogliflozin</w:t>
      </w:r>
      <w:proofErr w:type="spellEnd"/>
      <w:r>
        <w:rPr>
          <w:rFonts w:ascii="Times New Roman" w:eastAsia="Times New Roman" w:hAnsi="Times New Roman" w:cs="Times New Roman"/>
        </w:rPr>
        <w:t xml:space="preserve"> OR tofogliflozin OR </w:t>
      </w:r>
      <w:proofErr w:type="spellStart"/>
      <w:r>
        <w:rPr>
          <w:rFonts w:ascii="Times New Roman" w:eastAsia="Times New Roman" w:hAnsi="Times New Roman" w:cs="Times New Roman"/>
        </w:rPr>
        <w:t>bexagliflozin</w:t>
      </w:r>
      <w:proofErr w:type="spellEnd"/>
      <w:r>
        <w:rPr>
          <w:rFonts w:ascii="Times New Roman" w:eastAsia="Times New Roman" w:hAnsi="Times New Roman" w:cs="Times New Roman"/>
        </w:rPr>
        <w:t xml:space="preserve">) AND ("Diabetic Neuropathies" OR "Peripheral Nervous System Diseases" OR "diabetic neuropath*" OR "diabetic peripheral neuropath*" OR "diabetic </w:t>
      </w:r>
      <w:proofErr w:type="spellStart"/>
      <w:r>
        <w:rPr>
          <w:rFonts w:ascii="Times New Roman" w:eastAsia="Times New Roman" w:hAnsi="Times New Roman" w:cs="Times New Roman"/>
        </w:rPr>
        <w:t>polyneuropath</w:t>
      </w:r>
      <w:proofErr w:type="spellEnd"/>
      <w:r>
        <w:rPr>
          <w:rFonts w:ascii="Times New Roman" w:eastAsia="Times New Roman" w:hAnsi="Times New Roman" w:cs="Times New Roman"/>
        </w:rPr>
        <w:t xml:space="preserve">*" OR "distal symmetric </w:t>
      </w:r>
      <w:proofErr w:type="spellStart"/>
      <w:r>
        <w:rPr>
          <w:rFonts w:ascii="Times New Roman" w:eastAsia="Times New Roman" w:hAnsi="Times New Roman" w:cs="Times New Roman"/>
        </w:rPr>
        <w:t>polyneuropath</w:t>
      </w:r>
      <w:proofErr w:type="spellEnd"/>
      <w:r>
        <w:rPr>
          <w:rFonts w:ascii="Times New Roman" w:eastAsia="Times New Roman" w:hAnsi="Times New Roman" w:cs="Times New Roman"/>
        </w:rPr>
        <w:t>*" OR "peripheral neuropath*" OR "</w:t>
      </w:r>
      <w:proofErr w:type="spellStart"/>
      <w:r>
        <w:rPr>
          <w:rFonts w:ascii="Times New Roman" w:eastAsia="Times New Roman" w:hAnsi="Times New Roman" w:cs="Times New Roman"/>
        </w:rPr>
        <w:t>polyneuropath</w:t>
      </w:r>
      <w:proofErr w:type="spellEnd"/>
      <w:r>
        <w:rPr>
          <w:rFonts w:ascii="Times New Roman" w:eastAsia="Times New Roman" w:hAnsi="Times New Roman" w:cs="Times New Roman"/>
        </w:rPr>
        <w:t xml:space="preserve">*" OR "small fiber neuropath*" OR "small </w:t>
      </w:r>
      <w:proofErr w:type="spellStart"/>
      <w:r>
        <w:rPr>
          <w:rFonts w:ascii="Times New Roman" w:eastAsia="Times New Roman" w:hAnsi="Times New Roman" w:cs="Times New Roman"/>
        </w:rPr>
        <w:t>fibre</w:t>
      </w:r>
      <w:proofErr w:type="spellEnd"/>
      <w:r>
        <w:rPr>
          <w:rFonts w:ascii="Times New Roman" w:eastAsia="Times New Roman" w:hAnsi="Times New Roman" w:cs="Times New Roman"/>
        </w:rPr>
        <w:t xml:space="preserve"> neuropath*" OR "autonomic neuropath*")</w:t>
      </w:r>
    </w:p>
    <w:p w14:paraId="32B9F3BB" w14:textId="77777777" w:rsidR="00200DF4" w:rsidRDefault="00000000" w:rsidP="006A5F7F">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Scopus:</w:t>
      </w:r>
    </w:p>
    <w:p w14:paraId="70D54A82" w14:textId="3CA841C6" w:rsidR="00200DF4" w:rsidRPr="00CC260B" w:rsidRDefault="00000000" w:rsidP="006A5F7F">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("Sodium-Glucose Transporter 2 Inhibitors" OR "sodium-glucose cotransporter 2 inhibitor*" OR "sodium glucose cotransporter 2 inhibitor*" OR SGLT2 OR SGLT2i OR canagliflozin OR dapagliflozin OR empagliflozin OR ertugliflozin OR ipragliflozin OR </w:t>
      </w:r>
      <w:proofErr w:type="spellStart"/>
      <w:r>
        <w:rPr>
          <w:rFonts w:ascii="Times New Roman" w:eastAsia="Times New Roman" w:hAnsi="Times New Roman" w:cs="Times New Roman"/>
        </w:rPr>
        <w:t>luseogliflozin</w:t>
      </w:r>
      <w:proofErr w:type="spellEnd"/>
      <w:r>
        <w:rPr>
          <w:rFonts w:ascii="Times New Roman" w:eastAsia="Times New Roman" w:hAnsi="Times New Roman" w:cs="Times New Roman"/>
        </w:rPr>
        <w:t xml:space="preserve"> OR tofogliflozin OR </w:t>
      </w:r>
      <w:proofErr w:type="spellStart"/>
      <w:r>
        <w:rPr>
          <w:rFonts w:ascii="Times New Roman" w:eastAsia="Times New Roman" w:hAnsi="Times New Roman" w:cs="Times New Roman"/>
        </w:rPr>
        <w:t>bexagliflozin</w:t>
      </w:r>
      <w:proofErr w:type="spellEnd"/>
      <w:r>
        <w:rPr>
          <w:rFonts w:ascii="Times New Roman" w:eastAsia="Times New Roman" w:hAnsi="Times New Roman" w:cs="Times New Roman"/>
        </w:rPr>
        <w:t xml:space="preserve">) AND ("Diabetic Neuropathies" OR "Peripheral Nervous System Diseases" OR "diabetic neuropath*" OR "diabetic peripheral neuropath*" OR "diabetic </w:t>
      </w:r>
      <w:proofErr w:type="spellStart"/>
      <w:r>
        <w:rPr>
          <w:rFonts w:ascii="Times New Roman" w:eastAsia="Times New Roman" w:hAnsi="Times New Roman" w:cs="Times New Roman"/>
        </w:rPr>
        <w:t>polyneuropath</w:t>
      </w:r>
      <w:proofErr w:type="spellEnd"/>
      <w:r>
        <w:rPr>
          <w:rFonts w:ascii="Times New Roman" w:eastAsia="Times New Roman" w:hAnsi="Times New Roman" w:cs="Times New Roman"/>
        </w:rPr>
        <w:t xml:space="preserve">*" OR "distal symmetric </w:t>
      </w:r>
      <w:proofErr w:type="spellStart"/>
      <w:r>
        <w:rPr>
          <w:rFonts w:ascii="Times New Roman" w:eastAsia="Times New Roman" w:hAnsi="Times New Roman" w:cs="Times New Roman"/>
        </w:rPr>
        <w:t>polyneuropath</w:t>
      </w:r>
      <w:proofErr w:type="spellEnd"/>
      <w:r>
        <w:rPr>
          <w:rFonts w:ascii="Times New Roman" w:eastAsia="Times New Roman" w:hAnsi="Times New Roman" w:cs="Times New Roman"/>
        </w:rPr>
        <w:t>*" OR "peripheral neuropath*" OR "</w:t>
      </w:r>
      <w:proofErr w:type="spellStart"/>
      <w:r>
        <w:rPr>
          <w:rFonts w:ascii="Times New Roman" w:eastAsia="Times New Roman" w:hAnsi="Times New Roman" w:cs="Times New Roman"/>
        </w:rPr>
        <w:t>polyneuropath</w:t>
      </w:r>
      <w:proofErr w:type="spellEnd"/>
      <w:r>
        <w:rPr>
          <w:rFonts w:ascii="Times New Roman" w:eastAsia="Times New Roman" w:hAnsi="Times New Roman" w:cs="Times New Roman"/>
        </w:rPr>
        <w:t xml:space="preserve">*" OR "small fiber neuropath*" OR "small </w:t>
      </w:r>
      <w:proofErr w:type="spellStart"/>
      <w:r>
        <w:rPr>
          <w:rFonts w:ascii="Times New Roman" w:eastAsia="Times New Roman" w:hAnsi="Times New Roman" w:cs="Times New Roman"/>
        </w:rPr>
        <w:t>fibre</w:t>
      </w:r>
      <w:proofErr w:type="spellEnd"/>
      <w:r>
        <w:rPr>
          <w:rFonts w:ascii="Times New Roman" w:eastAsia="Times New Roman" w:hAnsi="Times New Roman" w:cs="Times New Roman"/>
        </w:rPr>
        <w:t xml:space="preserve"> neuropath*" OR "autonomic neuropath*")</w:t>
      </w:r>
    </w:p>
    <w:p w14:paraId="41985077" w14:textId="772C69C7" w:rsidR="00200DF4" w:rsidRPr="00CC260B" w:rsidRDefault="00CC260B" w:rsidP="006A5F7F">
      <w:pPr>
        <w:spacing w:after="240" w:line="360" w:lineRule="auto"/>
        <w:jc w:val="both"/>
        <w:rPr>
          <w:rFonts w:ascii="Times New Roman" w:eastAsia="Times New Roman" w:hAnsi="Times New Roman" w:cs="Times New Roman"/>
          <w:b/>
          <w:bCs/>
          <w:i/>
          <w:iCs/>
        </w:rPr>
      </w:pPr>
      <w:r w:rsidRPr="00CC260B">
        <w:rPr>
          <w:rFonts w:ascii="Times New Roman" w:eastAsia="Times New Roman" w:hAnsi="Times New Roman" w:cs="Times New Roman"/>
          <w:b/>
          <w:bCs/>
          <w:i/>
          <w:iCs/>
        </w:rPr>
        <w:t xml:space="preserve">2.3 Selection process </w:t>
      </w:r>
    </w:p>
    <w:p w14:paraId="59D19B11" w14:textId="652C1A74" w:rsidR="00265329" w:rsidRDefault="00265329" w:rsidP="00265329">
      <w:pPr>
        <w:spacing w:after="240" w:line="360" w:lineRule="auto"/>
        <w:jc w:val="both"/>
        <w:rPr>
          <w:rFonts w:ascii="Times New Roman" w:eastAsia="Times New Roman" w:hAnsi="Times New Roman" w:cs="Times New Roman"/>
        </w:rPr>
      </w:pPr>
      <w:r w:rsidRPr="00265329">
        <w:rPr>
          <w:rFonts w:ascii="Times New Roman" w:eastAsia="Times New Roman" w:hAnsi="Times New Roman" w:cs="Times New Roman"/>
        </w:rPr>
        <w:t xml:space="preserve">Records identified through database searching of PubMed, Web of Science, Cochrane CENTRAL, and Scopus were exported and uploaded to Rayyan for duplicate removal and eligibility screening. Two authors independently screened all titles and abstracts against the pre-specified eligibility criteria, </w:t>
      </w:r>
      <w:r w:rsidRPr="00265329">
        <w:rPr>
          <w:rFonts w:ascii="Times New Roman" w:eastAsia="Times New Roman" w:hAnsi="Times New Roman" w:cs="Times New Roman"/>
        </w:rPr>
        <w:lastRenderedPageBreak/>
        <w:t>labelling records as included, excluded, or uncertain. Full-text articles were subsequently retrieved for all records not excluded at the title and abstract stage, and the same two authors independently assessed these for eligibility. Reasons for exclusion at the full-text stage were recorded and are reported in the PRISMA 2020 flow diagram (Figure 1). Disagreements at any stage of the screening process were resolved through discussion and consensus between the two reviewers, with a third author available for arbitration where consensus could not be reached.</w:t>
      </w:r>
    </w:p>
    <w:p w14:paraId="72C99F73" w14:textId="53E02AAA" w:rsidR="00200DF4" w:rsidRPr="00CC260B" w:rsidRDefault="00CC260B" w:rsidP="006A5F7F">
      <w:pPr>
        <w:spacing w:after="240" w:line="360" w:lineRule="auto"/>
        <w:jc w:val="both"/>
        <w:rPr>
          <w:rFonts w:ascii="Times New Roman" w:eastAsia="Times New Roman" w:hAnsi="Times New Roman" w:cs="Times New Roman"/>
          <w:b/>
          <w:bCs/>
          <w:i/>
          <w:iCs/>
        </w:rPr>
      </w:pPr>
      <w:r w:rsidRPr="00CC260B">
        <w:rPr>
          <w:rFonts w:ascii="Times New Roman" w:eastAsia="Times New Roman" w:hAnsi="Times New Roman" w:cs="Times New Roman"/>
          <w:b/>
          <w:bCs/>
          <w:i/>
          <w:iCs/>
        </w:rPr>
        <w:t>2.4 Data collection process and items</w:t>
      </w:r>
    </w:p>
    <w:p w14:paraId="42FC912E" w14:textId="3079FF74" w:rsidR="004B735C" w:rsidRDefault="004B735C" w:rsidP="004B735C">
      <w:pPr>
        <w:spacing w:after="240" w:line="360" w:lineRule="auto"/>
        <w:jc w:val="both"/>
        <w:rPr>
          <w:rFonts w:ascii="Times New Roman" w:eastAsia="Times New Roman" w:hAnsi="Times New Roman" w:cs="Times New Roman"/>
        </w:rPr>
      </w:pPr>
      <w:r w:rsidRPr="004B735C">
        <w:rPr>
          <w:rFonts w:ascii="Times New Roman" w:eastAsia="Times New Roman" w:hAnsi="Times New Roman" w:cs="Times New Roman"/>
        </w:rPr>
        <w:t xml:space="preserve">Two authors independently extracted data from all included studies using a pre-piloted </w:t>
      </w:r>
      <w:proofErr w:type="spellStart"/>
      <w:r w:rsidRPr="004B735C">
        <w:rPr>
          <w:rFonts w:ascii="Times New Roman" w:eastAsia="Times New Roman" w:hAnsi="Times New Roman" w:cs="Times New Roman"/>
        </w:rPr>
        <w:t>standardised</w:t>
      </w:r>
      <w:proofErr w:type="spellEnd"/>
      <w:r w:rsidRPr="004B735C">
        <w:rPr>
          <w:rFonts w:ascii="Times New Roman" w:eastAsia="Times New Roman" w:hAnsi="Times New Roman" w:cs="Times New Roman"/>
        </w:rPr>
        <w:t xml:space="preserve"> extraction spreadsheet. Extracted data encompassed study characteristics (study ID, country, study design, and follow-up duration), participant characteristics (sample size, age, sex distribution, BMI, baseline HbA1c, and diabetes duration), intervention details (SGLT2i agent, dose, and comparator), and outcome data relevant to the pre-specified primary and secondary outcomes.</w:t>
      </w:r>
    </w:p>
    <w:p w14:paraId="758A3314" w14:textId="57D93614" w:rsidR="00200DF4" w:rsidRPr="00CC260B" w:rsidRDefault="00CC260B" w:rsidP="006A5F7F">
      <w:pPr>
        <w:spacing w:after="240" w:line="360" w:lineRule="auto"/>
        <w:jc w:val="both"/>
        <w:rPr>
          <w:rFonts w:ascii="Times New Roman" w:eastAsia="Times New Roman" w:hAnsi="Times New Roman" w:cs="Times New Roman"/>
          <w:b/>
          <w:bCs/>
          <w:i/>
          <w:iCs/>
        </w:rPr>
      </w:pPr>
      <w:r w:rsidRPr="00CC260B">
        <w:rPr>
          <w:rFonts w:ascii="Times New Roman" w:eastAsia="Times New Roman" w:hAnsi="Times New Roman" w:cs="Times New Roman"/>
          <w:b/>
          <w:bCs/>
          <w:i/>
          <w:iCs/>
        </w:rPr>
        <w:t>2.5 Study risk of bias assessment</w:t>
      </w:r>
    </w:p>
    <w:p w14:paraId="2A486581" w14:textId="5B913480" w:rsidR="00200DF4" w:rsidRDefault="00000000" w:rsidP="002B7C1E">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Two reviewers independently assessed the methodological quality and risk of bias of </w:t>
      </w:r>
      <w:r w:rsidR="00CA5654">
        <w:rPr>
          <w:rFonts w:ascii="Times New Roman" w:eastAsia="Times New Roman" w:hAnsi="Times New Roman" w:cs="Times New Roman"/>
        </w:rPr>
        <w:t xml:space="preserve">the </w:t>
      </w:r>
      <w:r>
        <w:rPr>
          <w:rFonts w:ascii="Times New Roman" w:eastAsia="Times New Roman" w:hAnsi="Times New Roman" w:cs="Times New Roman"/>
        </w:rPr>
        <w:t xml:space="preserve">included </w:t>
      </w:r>
      <w:proofErr w:type="spellStart"/>
      <w:r w:rsidR="00CA5654">
        <w:rPr>
          <w:rFonts w:ascii="Times New Roman" w:eastAsia="Times New Roman" w:hAnsi="Times New Roman" w:cs="Times New Roman"/>
        </w:rPr>
        <w:t>randomised</w:t>
      </w:r>
      <w:proofErr w:type="spellEnd"/>
      <w:r w:rsidR="00CA5654">
        <w:rPr>
          <w:rFonts w:ascii="Times New Roman" w:eastAsia="Times New Roman" w:hAnsi="Times New Roman" w:cs="Times New Roman"/>
        </w:rPr>
        <w:t xml:space="preserve"> control trials</w:t>
      </w:r>
      <w:r>
        <w:rPr>
          <w:rFonts w:ascii="Times New Roman" w:eastAsia="Times New Roman" w:hAnsi="Times New Roman" w:cs="Times New Roman"/>
        </w:rPr>
        <w:t xml:space="preserve">. </w:t>
      </w:r>
      <w:r w:rsidR="00CA5654">
        <w:rPr>
          <w:rFonts w:ascii="Times New Roman" w:eastAsia="Times New Roman" w:hAnsi="Times New Roman" w:cs="Times New Roman"/>
        </w:rPr>
        <w:t>T</w:t>
      </w:r>
      <w:r>
        <w:rPr>
          <w:rFonts w:ascii="Times New Roman" w:eastAsia="Times New Roman" w:hAnsi="Times New Roman" w:cs="Times New Roman"/>
        </w:rPr>
        <w:t>he Cochrane Risk of Bias 2 (</w:t>
      </w:r>
      <w:proofErr w:type="spellStart"/>
      <w:r>
        <w:rPr>
          <w:rFonts w:ascii="Times New Roman" w:eastAsia="Times New Roman" w:hAnsi="Times New Roman" w:cs="Times New Roman"/>
        </w:rPr>
        <w:t>RoB</w:t>
      </w:r>
      <w:proofErr w:type="spellEnd"/>
      <w:r>
        <w:rPr>
          <w:rFonts w:ascii="Times New Roman" w:eastAsia="Times New Roman" w:hAnsi="Times New Roman" w:cs="Times New Roman"/>
        </w:rPr>
        <w:t xml:space="preserve"> 2)</w:t>
      </w:r>
      <w:r w:rsidR="00265329">
        <w:rPr>
          <w:rFonts w:ascii="Times New Roman" w:eastAsia="Times New Roman" w:hAnsi="Times New Roman" w:cs="Times New Roman"/>
        </w:rPr>
        <w:t xml:space="preserve"> </w:t>
      </w:r>
      <w:r w:rsidR="00AC58D8" w:rsidRPr="00CC260B">
        <w:rPr>
          <w:rFonts w:ascii="Times New Roman" w:eastAsia="Times New Roman" w:hAnsi="Times New Roman" w:cs="Times New Roman"/>
        </w:rPr>
        <w:fldChar w:fldCharType="begin"/>
      </w:r>
      <w:r w:rsidR="00EE5ADB">
        <w:rPr>
          <w:rFonts w:ascii="Times New Roman" w:eastAsia="Times New Roman" w:hAnsi="Times New Roman" w:cs="Times New Roman"/>
        </w:rPr>
        <w:instrText xml:space="preserve"> ADDIN ZOTERO_ITEM CSL_CITATION {"citationID":"GuRVQQvZ","properties":{"unsorted":false,"formattedCitation":"[16]","plainCitation":"[16]","noteIndex":0},"citationItems":[{"id":"g6iDE82k/ZKmmbd3F","uris":["http://zotero.org/users/19709799/items/YJ7EL6YG"],"itemData":{"id":35,"type":"article-journal","container-title":"BMJ","DOI":"10.1136/bmj.l4898","ISSN":"0959-8138, 1756-1833","journalAbbreviation":"BMJ","language":"en","page":"l4898","source":"DOI.org (Crossref)","title":"RoB 2: a revised tool for assessing risk of bias in randomised trials","title-short":"RoB 2","author":[{"family":"Sterne","given":"Jonathan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T"}],"issued":{"date-parts":[["2019",8,28]]}}}],"schema":"https://github.com/citation-style-language/schema/raw/master/csl-citation.json"} </w:instrText>
      </w:r>
      <w:r w:rsidR="00AC58D8" w:rsidRPr="00CC260B">
        <w:rPr>
          <w:rFonts w:ascii="Times New Roman" w:eastAsia="Times New Roman" w:hAnsi="Times New Roman" w:cs="Times New Roman"/>
        </w:rPr>
        <w:fldChar w:fldCharType="separate"/>
      </w:r>
      <w:r w:rsidR="00BD0B35" w:rsidRPr="00BD0B35">
        <w:rPr>
          <w:rFonts w:ascii="Times New Roman" w:hAnsi="Times New Roman" w:cs="Times New Roman"/>
        </w:rPr>
        <w:t>[16]</w:t>
      </w:r>
      <w:r w:rsidR="00AC58D8" w:rsidRPr="00CC260B">
        <w:rPr>
          <w:rFonts w:ascii="Times New Roman" w:eastAsia="Times New Roman" w:hAnsi="Times New Roman" w:cs="Times New Roman"/>
        </w:rPr>
        <w:fldChar w:fldCharType="end"/>
      </w:r>
      <w:r>
        <w:rPr>
          <w:rFonts w:ascii="Times New Roman" w:eastAsia="Times New Roman" w:hAnsi="Times New Roman" w:cs="Times New Roman"/>
        </w:rPr>
        <w:t xml:space="preserve"> tool was applied, evaluating five pre-specified domains: bias arising from the </w:t>
      </w:r>
      <w:proofErr w:type="spellStart"/>
      <w:r>
        <w:rPr>
          <w:rFonts w:ascii="Times New Roman" w:eastAsia="Times New Roman" w:hAnsi="Times New Roman" w:cs="Times New Roman"/>
        </w:rPr>
        <w:t>randomisation</w:t>
      </w:r>
      <w:proofErr w:type="spellEnd"/>
      <w:r>
        <w:rPr>
          <w:rFonts w:ascii="Times New Roman" w:eastAsia="Times New Roman" w:hAnsi="Times New Roman" w:cs="Times New Roman"/>
        </w:rPr>
        <w:t xml:space="preserve"> process (D1); bias due to deviations from intended interventions (D2); bias due to missing outcome data (D3); bias in measurement of the outcome (D4); and bias in selection of the reported result (D5). Each domain was rated as Low Risk, Some Concerns, or High Risk using the </w:t>
      </w:r>
      <w:proofErr w:type="spellStart"/>
      <w:r>
        <w:rPr>
          <w:rFonts w:ascii="Times New Roman" w:eastAsia="Times New Roman" w:hAnsi="Times New Roman" w:cs="Times New Roman"/>
        </w:rPr>
        <w:t>signalling</w:t>
      </w:r>
      <w:proofErr w:type="spellEnd"/>
      <w:r>
        <w:rPr>
          <w:rFonts w:ascii="Times New Roman" w:eastAsia="Times New Roman" w:hAnsi="Times New Roman" w:cs="Times New Roman"/>
        </w:rPr>
        <w:t>-question algorithm</w:t>
      </w:r>
      <w:r w:rsidR="00265329">
        <w:rPr>
          <w:rFonts w:ascii="Times New Roman" w:eastAsia="Times New Roman" w:hAnsi="Times New Roman" w:cs="Times New Roman"/>
        </w:rPr>
        <w:t>.</w:t>
      </w:r>
      <w:r w:rsidR="004B735C">
        <w:rPr>
          <w:rFonts w:ascii="Times New Roman" w:eastAsia="Times New Roman" w:hAnsi="Times New Roman" w:cs="Times New Roman"/>
        </w:rPr>
        <w:t xml:space="preserve"> </w:t>
      </w:r>
      <w:r>
        <w:rPr>
          <w:rFonts w:ascii="Times New Roman" w:eastAsia="Times New Roman" w:hAnsi="Times New Roman" w:cs="Times New Roman"/>
        </w:rPr>
        <w:t>Reviewers performed assessments independently and were blinded to one another's judgments. Disagreements were resolved through discussion</w:t>
      </w:r>
      <w:r w:rsidR="002144EF">
        <w:rPr>
          <w:rFonts w:ascii="Times New Roman" w:eastAsia="Times New Roman" w:hAnsi="Times New Roman" w:cs="Times New Roman"/>
        </w:rPr>
        <w:t>.</w:t>
      </w:r>
    </w:p>
    <w:p w14:paraId="366AC09C" w14:textId="68FEBDCC" w:rsidR="00200DF4" w:rsidRPr="00CC260B" w:rsidRDefault="00CC260B" w:rsidP="006A5F7F">
      <w:pPr>
        <w:spacing w:after="240" w:line="360" w:lineRule="auto"/>
        <w:jc w:val="both"/>
        <w:rPr>
          <w:rFonts w:ascii="Times New Roman" w:eastAsia="Times New Roman" w:hAnsi="Times New Roman" w:cs="Times New Roman"/>
          <w:b/>
          <w:bCs/>
          <w:i/>
          <w:iCs/>
        </w:rPr>
      </w:pPr>
      <w:r w:rsidRPr="00CC260B">
        <w:rPr>
          <w:rFonts w:ascii="Times New Roman" w:eastAsia="Times New Roman" w:hAnsi="Times New Roman" w:cs="Times New Roman"/>
          <w:b/>
          <w:bCs/>
          <w:i/>
          <w:iCs/>
        </w:rPr>
        <w:t>2.6 Effect measures</w:t>
      </w:r>
    </w:p>
    <w:p w14:paraId="1E0C6C94" w14:textId="2D67B016" w:rsidR="00200DF4" w:rsidRDefault="002E794B" w:rsidP="002E794B">
      <w:pPr>
        <w:spacing w:after="240" w:line="360" w:lineRule="auto"/>
        <w:jc w:val="both"/>
        <w:rPr>
          <w:rFonts w:ascii="Times New Roman" w:eastAsia="Times New Roman" w:hAnsi="Times New Roman" w:cs="Times New Roman"/>
        </w:rPr>
      </w:pPr>
      <w:r w:rsidRPr="002E794B">
        <w:rPr>
          <w:rFonts w:ascii="Times New Roman" w:eastAsia="Times New Roman" w:hAnsi="Times New Roman" w:cs="Times New Roman"/>
        </w:rPr>
        <w:t xml:space="preserve">For continuous outcomes, the mean difference (MD) with 95% confidence intervals (CIs) was used as the primary effect measure where studies reported outcomes in the same units, as was the case for all nerve conduction study parameters (expressed in m/s for conduction velocity, µV for sensory amplitude, mV for motor amplitude, and </w:t>
      </w:r>
      <w:proofErr w:type="spellStart"/>
      <w:r w:rsidRPr="002E794B">
        <w:rPr>
          <w:rFonts w:ascii="Times New Roman" w:eastAsia="Times New Roman" w:hAnsi="Times New Roman" w:cs="Times New Roman"/>
        </w:rPr>
        <w:t>ms</w:t>
      </w:r>
      <w:proofErr w:type="spellEnd"/>
      <w:r w:rsidRPr="002E794B">
        <w:rPr>
          <w:rFonts w:ascii="Times New Roman" w:eastAsia="Times New Roman" w:hAnsi="Times New Roman" w:cs="Times New Roman"/>
        </w:rPr>
        <w:t xml:space="preserve"> for latency) and oxidative stress markers. Where studies reported change-from-baseline values alongside final values, change-from-baseline data were </w:t>
      </w:r>
      <w:proofErr w:type="spellStart"/>
      <w:r w:rsidRPr="002E794B">
        <w:rPr>
          <w:rFonts w:ascii="Times New Roman" w:eastAsia="Times New Roman" w:hAnsi="Times New Roman" w:cs="Times New Roman"/>
        </w:rPr>
        <w:t>prioritised</w:t>
      </w:r>
      <w:proofErr w:type="spellEnd"/>
      <w:r w:rsidRPr="002E794B">
        <w:rPr>
          <w:rFonts w:ascii="Times New Roman" w:eastAsia="Times New Roman" w:hAnsi="Times New Roman" w:cs="Times New Roman"/>
        </w:rPr>
        <w:t xml:space="preserve"> to account for baseline imbalances between groups. Where change-from-baseline </w:t>
      </w:r>
      <w:r>
        <w:rPr>
          <w:rFonts w:ascii="Times New Roman" w:eastAsia="Times New Roman" w:hAnsi="Times New Roman" w:cs="Times New Roman"/>
        </w:rPr>
        <w:t xml:space="preserve">values </w:t>
      </w:r>
      <w:r w:rsidRPr="002E794B">
        <w:rPr>
          <w:rFonts w:ascii="Times New Roman" w:eastAsia="Times New Roman" w:hAnsi="Times New Roman" w:cs="Times New Roman"/>
        </w:rPr>
        <w:t xml:space="preserve">were not directly reported, they were derived from baseline and final value means and standard deviations using the formula recommended by the Cochrane Handbook, applying a correlation coefficient of r = 0 between baseline and final measurements. This conservative assumption was adopted in the absence of empirical correlation data from the included studies and results in an overestimation of the change score standard deviation, producing wider confidence intervals and more conservative pooled effect estimates than </w:t>
      </w:r>
      <w:r w:rsidRPr="002E794B">
        <w:rPr>
          <w:rFonts w:ascii="Times New Roman" w:eastAsia="Times New Roman" w:hAnsi="Times New Roman" w:cs="Times New Roman"/>
        </w:rPr>
        <w:lastRenderedPageBreak/>
        <w:t>would be obtained with a positive correlation coefficient. All effect estimates were accompanied by 95% CIs, and a two-tailed p-value of &lt;0.05 was considered statistically significant. Results are presented as forest plots for each pooled outcome.</w:t>
      </w:r>
    </w:p>
    <w:p w14:paraId="5DAE35F7" w14:textId="31BEAA7A" w:rsidR="00200DF4" w:rsidRPr="00CC260B" w:rsidRDefault="00CC260B" w:rsidP="006A5F7F">
      <w:pPr>
        <w:spacing w:after="240" w:line="360" w:lineRule="auto"/>
        <w:jc w:val="both"/>
        <w:rPr>
          <w:rFonts w:ascii="Times New Roman" w:eastAsia="Times New Roman" w:hAnsi="Times New Roman" w:cs="Times New Roman"/>
          <w:b/>
          <w:bCs/>
          <w:i/>
          <w:iCs/>
        </w:rPr>
      </w:pPr>
      <w:r w:rsidRPr="00CC260B">
        <w:rPr>
          <w:rFonts w:ascii="Times New Roman" w:eastAsia="Times New Roman" w:hAnsi="Times New Roman" w:cs="Times New Roman"/>
          <w:b/>
          <w:bCs/>
          <w:i/>
          <w:iCs/>
        </w:rPr>
        <w:t>2.7 Synthesis methods</w:t>
      </w:r>
    </w:p>
    <w:p w14:paraId="1D26C87A" w14:textId="3F2491D3" w:rsidR="00200DF4" w:rsidRDefault="002D2BB5" w:rsidP="00EE5ADB">
      <w:pPr>
        <w:spacing w:after="240" w:line="360" w:lineRule="auto"/>
        <w:jc w:val="both"/>
        <w:rPr>
          <w:rFonts w:ascii="Times New Roman" w:eastAsia="Times New Roman" w:hAnsi="Times New Roman" w:cs="Times New Roman"/>
        </w:rPr>
      </w:pPr>
      <w:r w:rsidRPr="002D2BB5">
        <w:rPr>
          <w:rFonts w:asciiTheme="majorBidi" w:eastAsia="Times New Roman" w:hAnsiTheme="majorBidi" w:cstheme="majorBidi"/>
        </w:rPr>
        <w:t>Where studies reported continuous outcome data as medians and interquartile ranges rather than means and standard deviations</w:t>
      </w:r>
      <w:r w:rsidR="0080314D">
        <w:rPr>
          <w:rFonts w:asciiTheme="majorBidi" w:eastAsia="Times New Roman" w:hAnsiTheme="majorBidi" w:cstheme="majorBidi"/>
        </w:rPr>
        <w:t xml:space="preserve">, </w:t>
      </w:r>
      <w:r w:rsidRPr="002D2BB5">
        <w:rPr>
          <w:rFonts w:asciiTheme="majorBidi" w:eastAsia="Times New Roman" w:hAnsiTheme="majorBidi" w:cstheme="majorBidi"/>
        </w:rPr>
        <w:t xml:space="preserve">data were converted to means and standard deviations prior to meta-analysis using the validated method described by Wan et al. </w:t>
      </w:r>
      <w:r>
        <w:rPr>
          <w:rFonts w:asciiTheme="majorBidi" w:eastAsia="Times New Roman" w:hAnsiTheme="majorBidi" w:cstheme="majorBidi"/>
        </w:rPr>
        <w:t xml:space="preserve">and Luo et al. </w:t>
      </w:r>
      <w:r>
        <w:rPr>
          <w:rFonts w:asciiTheme="majorBidi" w:eastAsia="Times New Roman" w:hAnsiTheme="majorBidi" w:cstheme="majorBidi"/>
        </w:rPr>
        <w:fldChar w:fldCharType="begin"/>
      </w:r>
      <w:r w:rsidR="00EE5ADB">
        <w:rPr>
          <w:rFonts w:asciiTheme="majorBidi" w:eastAsia="Times New Roman" w:hAnsiTheme="majorBidi" w:cstheme="majorBidi"/>
        </w:rPr>
        <w:instrText xml:space="preserve"> ADDIN ZOTERO_ITEM CSL_CITATION {"citationID":"Zktzg8LF","properties":{"formattedCitation":"[17, 18]","plainCitation":"[17, 18]","noteIndex":0},"citationItems":[{"id":150,"uris":["http://zotero.org/groups/6437514/items/6Q3NPV6Y"],"itemData":{"id":150,"type":"article-journal","container-title":"BMC Medical Research Methodology","DOI":"10.1186/1471-2288-14-135","ISSN":"1471-2288","issue":"1","journalAbbreviation":"BMC Med Res Methodol","language":"en","page":"135","source":"DOI.org (Crossref)","title":"Estimating the sample mean and standard deviation from the sample size, median, range and/or interquartile range","volume":"14","author":[{"family":"Wan","given":"Xiang"},{"family":"Wang","given":"Wenqian"},{"family":"Liu","given":"Jiming"},{"family":"Tong","given":"Tiejun"}],"issued":{"date-parts":[["2014",12]]}}},{"id":149,"uris":["http://zotero.org/groups/6437514/items/ZCRK57B7"],"itemData":{"id":149,"type":"article-journal","abstract":"The era of big data is coming, and evidence-based medicine is attracting increasing attention to improve decision making in medical practice via integrating evidence from well designed and conducted clinical research. Meta-analysis is a statistical technique widely used in evidence-based medicine for analytically combining the findings from independent clinical trials to provide an overall estimation of a treatment effectiveness. The sample mean and standard deviation are two commonly used statistics in meta-analysis but some trials use the median, the minimum and maximum values, or sometimes the first and third quartiles to report the results. Thus, to pool results in a consistent format, researchers need to transform those information back to the sample mean and standard deviation. In this article, we investigate the optimal estimation of the sample mean for meta-analysis from both theoretical and empirical perspectives. A major drawback in the literature is that the sample size, needless to say its importance, is either ignored or used in a stepwise but somewhat arbitrary manner, e.g. the famous method proposed by Hozo et al. We solve this issue by incorporating the sample size in a smoothly changing weight in the estimators to reach the optimal estimation. Our proposed estimators not only improve the existing ones significantly but also share the same virtue of the simplicity. The real data application indicates that our proposed estimators are capable to serve as “rules of thumb” and will be widely applied in evidence-based medicine.","container-title":"Statistical Methods in Medical Research","DOI":"10.1177/0962280216669183","ISSN":"0962-2802, 1477-0334","issue":"6","journalAbbreviation":"Stat Methods Med Res","language":"en","page":"1785-1805","source":"DOI.org (Crossref)","title":"Optimally estimating the sample mean from the sample size, median, mid-range, and/or mid-quartile range","volume":"27","author":[{"family":"Luo","given":"Dehui"},{"family":"Wan","given":"Xiang"},{"family":"Liu","given":"Jiming"},{"family":"Tong","given":"Tiejun"}],"issued":{"date-parts":[["2018",6]]}}}],"schema":"https://github.com/citation-style-language/schema/raw/master/csl-citation.json"} </w:instrText>
      </w:r>
      <w:r>
        <w:rPr>
          <w:rFonts w:asciiTheme="majorBidi" w:eastAsia="Times New Roman" w:hAnsiTheme="majorBidi" w:cstheme="majorBidi"/>
        </w:rPr>
        <w:fldChar w:fldCharType="separate"/>
      </w:r>
      <w:r w:rsidR="00EE5ADB" w:rsidRPr="00EE5ADB">
        <w:rPr>
          <w:rFonts w:ascii="Times New Roman" w:hAnsi="Times New Roman" w:cs="Times New Roman"/>
        </w:rPr>
        <w:t>[17, 18]</w:t>
      </w:r>
      <w:r>
        <w:rPr>
          <w:rFonts w:asciiTheme="majorBidi" w:eastAsia="Times New Roman" w:hAnsiTheme="majorBidi" w:cstheme="majorBidi"/>
        </w:rPr>
        <w:fldChar w:fldCharType="end"/>
      </w:r>
      <w:r>
        <w:rPr>
          <w:rFonts w:asciiTheme="majorBidi" w:eastAsia="Times New Roman" w:hAnsiTheme="majorBidi" w:cstheme="majorBidi"/>
        </w:rPr>
        <w:t xml:space="preserve">. </w:t>
      </w:r>
      <w:r w:rsidR="003C18FF" w:rsidRPr="003C18FF">
        <w:rPr>
          <w:rFonts w:asciiTheme="majorBidi" w:eastAsia="Times New Roman" w:hAnsiTheme="majorBidi" w:cstheme="majorBidi"/>
        </w:rPr>
        <w:t>For El-Haggar et al.</w:t>
      </w:r>
      <w:r w:rsidR="00BC298C">
        <w:rPr>
          <w:rFonts w:asciiTheme="majorBidi" w:eastAsia="Times New Roman" w:hAnsiTheme="majorBidi" w:cstheme="majorBidi"/>
        </w:rPr>
        <w:t xml:space="preserve"> </w:t>
      </w:r>
      <w:r w:rsidR="00BC298C">
        <w:rPr>
          <w:rFonts w:asciiTheme="majorBidi" w:eastAsia="Times New Roman" w:hAnsiTheme="majorBidi" w:cstheme="majorBidi"/>
        </w:rPr>
        <w:fldChar w:fldCharType="begin"/>
      </w:r>
      <w:r w:rsidR="00EE5ADB">
        <w:rPr>
          <w:rFonts w:asciiTheme="majorBidi" w:eastAsia="Times New Roman" w:hAnsiTheme="majorBidi" w:cstheme="majorBidi"/>
        </w:rPr>
        <w:instrText xml:space="preserve"> ADDIN ZOTERO_ITEM CSL_CITATION {"citationID":"AB6TozOa","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BC298C">
        <w:rPr>
          <w:rFonts w:asciiTheme="majorBidi" w:eastAsia="Times New Roman" w:hAnsiTheme="majorBidi" w:cstheme="majorBidi"/>
        </w:rPr>
        <w:fldChar w:fldCharType="separate"/>
      </w:r>
      <w:r w:rsidR="00EE5ADB" w:rsidRPr="00EE5ADB">
        <w:rPr>
          <w:rFonts w:ascii="Times New Roman" w:hAnsi="Times New Roman" w:cs="Times New Roman"/>
        </w:rPr>
        <w:t>[19]</w:t>
      </w:r>
      <w:r w:rsidR="00BC298C">
        <w:rPr>
          <w:rFonts w:asciiTheme="majorBidi" w:eastAsia="Times New Roman" w:hAnsiTheme="majorBidi" w:cstheme="majorBidi"/>
        </w:rPr>
        <w:fldChar w:fldCharType="end"/>
      </w:r>
      <w:r w:rsidR="003C18FF" w:rsidRPr="003C18FF">
        <w:rPr>
          <w:rFonts w:asciiTheme="majorBidi" w:eastAsia="Times New Roman" w:hAnsiTheme="majorBidi" w:cstheme="majorBidi"/>
        </w:rPr>
        <w:t>, which reported sural nerve sensory conduction velocity, sural nerve sensory amplitude, and peroneal nerve motor parameters separately for the right and left lower limbs, right limb data were designated as the primary dataset for inclusion in all main meta-analyses</w:t>
      </w:r>
      <w:r w:rsidR="003C18FF">
        <w:rPr>
          <w:rFonts w:asciiTheme="majorBidi" w:eastAsia="Times New Roman" w:hAnsiTheme="majorBidi" w:cstheme="majorBidi"/>
        </w:rPr>
        <w:t xml:space="preserve">. </w:t>
      </w:r>
      <w:r w:rsidR="003C18FF" w:rsidRPr="003C18FF">
        <w:rPr>
          <w:rFonts w:asciiTheme="majorBidi" w:eastAsia="Times New Roman" w:hAnsiTheme="majorBidi" w:cstheme="majorBidi"/>
        </w:rPr>
        <w:t>Left limb data from El-Haggar et al.</w:t>
      </w:r>
      <w:r w:rsidR="00BC298C">
        <w:rPr>
          <w:rFonts w:asciiTheme="majorBidi" w:eastAsia="Times New Roman" w:hAnsiTheme="majorBidi" w:cstheme="majorBidi"/>
        </w:rPr>
        <w:t xml:space="preserve"> </w:t>
      </w:r>
      <w:r w:rsidR="00BC298C">
        <w:rPr>
          <w:rFonts w:asciiTheme="majorBidi" w:eastAsia="Times New Roman" w:hAnsiTheme="majorBidi" w:cstheme="majorBidi"/>
        </w:rPr>
        <w:fldChar w:fldCharType="begin"/>
      </w:r>
      <w:r w:rsidR="00EE5ADB">
        <w:rPr>
          <w:rFonts w:asciiTheme="majorBidi" w:eastAsia="Times New Roman" w:hAnsiTheme="majorBidi" w:cstheme="majorBidi"/>
        </w:rPr>
        <w:instrText xml:space="preserve"> ADDIN ZOTERO_ITEM CSL_CITATION {"citationID":"F4SuU6JQ","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BC298C">
        <w:rPr>
          <w:rFonts w:asciiTheme="majorBidi" w:eastAsia="Times New Roman" w:hAnsiTheme="majorBidi" w:cstheme="majorBidi"/>
        </w:rPr>
        <w:fldChar w:fldCharType="separate"/>
      </w:r>
      <w:r w:rsidR="00EE5ADB" w:rsidRPr="00EE5ADB">
        <w:rPr>
          <w:rFonts w:ascii="Times New Roman" w:hAnsi="Times New Roman" w:cs="Times New Roman"/>
        </w:rPr>
        <w:t>[19]</w:t>
      </w:r>
      <w:r w:rsidR="00BC298C">
        <w:rPr>
          <w:rFonts w:asciiTheme="majorBidi" w:eastAsia="Times New Roman" w:hAnsiTheme="majorBidi" w:cstheme="majorBidi"/>
        </w:rPr>
        <w:fldChar w:fldCharType="end"/>
      </w:r>
      <w:r w:rsidR="003C18FF" w:rsidRPr="003C18FF">
        <w:rPr>
          <w:rFonts w:asciiTheme="majorBidi" w:eastAsia="Times New Roman" w:hAnsiTheme="majorBidi" w:cstheme="majorBidi"/>
        </w:rPr>
        <w:t xml:space="preserve"> were incorporated into pre-specified sensitivity analyses for all affected outcomes to assess the robustness of pooled estimates to this decision. </w:t>
      </w:r>
      <w:r w:rsidR="006B4B0A" w:rsidRPr="00FF2754">
        <w:rPr>
          <w:rFonts w:asciiTheme="majorBidi" w:eastAsia="Times New Roman" w:hAnsiTheme="majorBidi" w:cstheme="majorBidi"/>
        </w:rPr>
        <w:t>Statistical analysis was performed using R (version 4.5.2; R Foundation for Statistical Computing, Vienna, Austria)</w:t>
      </w:r>
      <w:r w:rsidR="00FF2754">
        <w:rPr>
          <w:rFonts w:asciiTheme="majorBidi" w:eastAsia="Times New Roman" w:hAnsiTheme="majorBidi" w:cstheme="majorBidi"/>
        </w:rPr>
        <w:t xml:space="preserve"> </w:t>
      </w:r>
      <w:r w:rsidR="006B4B0A" w:rsidRPr="00FF2754">
        <w:rPr>
          <w:rFonts w:asciiTheme="majorBidi" w:eastAsia="Times New Roman" w:hAnsiTheme="majorBidi" w:cstheme="majorBidi"/>
        </w:rPr>
        <w:t xml:space="preserve">utilizing the meta (version 8.2.1) and </w:t>
      </w:r>
      <w:proofErr w:type="spellStart"/>
      <w:r w:rsidR="006B4B0A" w:rsidRPr="00FF2754">
        <w:rPr>
          <w:rFonts w:asciiTheme="majorBidi" w:eastAsia="Times New Roman" w:hAnsiTheme="majorBidi" w:cstheme="majorBidi"/>
        </w:rPr>
        <w:t>metafor</w:t>
      </w:r>
      <w:proofErr w:type="spellEnd"/>
      <w:r w:rsidR="006B4B0A" w:rsidRPr="00FF2754">
        <w:rPr>
          <w:rFonts w:asciiTheme="majorBidi" w:eastAsia="Times New Roman" w:hAnsiTheme="majorBidi" w:cstheme="majorBidi"/>
        </w:rPr>
        <w:t xml:space="preserve"> (version 4.8.0) packages</w:t>
      </w:r>
      <w:r w:rsidR="00FF2754">
        <w:rPr>
          <w:rFonts w:asciiTheme="majorBidi" w:eastAsia="Times New Roman" w:hAnsiTheme="majorBidi" w:cstheme="majorBidi"/>
        </w:rPr>
        <w:t xml:space="preserve"> </w:t>
      </w:r>
      <w:r w:rsidR="00FF2754">
        <w:rPr>
          <w:rFonts w:asciiTheme="majorBidi" w:eastAsia="Times New Roman" w:hAnsiTheme="majorBidi" w:cstheme="majorBidi"/>
        </w:rPr>
        <w:fldChar w:fldCharType="begin"/>
      </w:r>
      <w:r w:rsidR="00EE5ADB">
        <w:rPr>
          <w:rFonts w:asciiTheme="majorBidi" w:eastAsia="Times New Roman" w:hAnsiTheme="majorBidi" w:cstheme="majorBidi"/>
        </w:rPr>
        <w:instrText xml:space="preserve"> ADDIN ZOTERO_ITEM CSL_CITATION {"citationID":"hR2sCWQm","properties":{"formattedCitation":"[20\\uc0\\u8211{}22]","plainCitation":"[20–22]","noteIndex":0},"citationItems":[{"id":152,"uris":["http://zotero.org/groups/6437514/items/EGSM9R5S"],"itemData":{"id":152,"type":"book","publisher":"R Foundation for Statistical Computing","publisher-place":"Vienna, Austria","title":"R: A Language and Environment for Statistical Computing","URL":"https://www.R-project.org/","author":[{"literal":"R Core Team"}],"issued":{"date-parts":[["2025"]]}}},{"id":155,"uris":["http://zotero.org/groups/6437514/items/FI7QE834"],"itemData":{"id":155,"type":"article-journal","abstract":"Objective\n              Meta-analysis is of fundamental importance to obtain an unbiased assessment of the available evidence. In general, the use of meta-analysis has been increasing over the last three decades with mental health as a major research topic. It is then essential to well understand its methodology and interpret its results. In this publication, we describe how to perform a meta-analysis with the freely available statistical software environment R, using a working example taken from the field of mental health.\n            \n            \n              Methods\n              R package meta is used to conduct standard meta-analysis. Sensitivity analyses for missing binary outcome data and potential selection bias are conducted with R package metasens. All essential R commands are provided and clearly described to conduct and report analyses.\n            \n            \n              Results\n              The working example considers a binary outcome: we show how to conduct a fixed effect and random effects meta-analysis and subgroup analysis, produce a forest and funnel plot and to test and adjust for funnel plot asymmetry. All these steps work similar for other outcome types.\n            \n            \n              Conclusions\n              R represents a powerful and flexible tool to conduct meta-analyses. This publication gives a brief glimpse into the topic and provides directions to more advanced meta-analysis methods available in R.","container-title":"Evidence Based Mental Health","DOI":"10.1136/ebmental-2019-300117","ISSN":"1362-0347, 1468-960X","issue":"4","journalAbbreviation":"Evid Based Mental Health","language":"en","page":"153-160","source":"DOI.org (Crossref)","title":"How to perform a meta-analysis with R: a practical tutorial","title-short":"How to perform a meta-analysis with R","volume":"22","author":[{"family":"Balduzzi","given":"Sara"},{"family":"Rücker","given":"Gerta"},{"family":"Schwarzer","given":"Guido"}],"issued":{"date-parts":[["2019",11]]}}},{"id":153,"uris":["http://zotero.org/groups/6437514/items/I2ZX9VT7"],"itemData":{"id":153,"type":"article-journal","container-title":"Journal of Statistical Software","DOI":"10.18637/jss.v036.i03","ISSN":"1548-7660","issue":"3","journalAbbreviation":"J. Stat. Soft.","language":"en","source":"DOI.org (Crossref)","title":"Conducting Meta-Analyses in &lt;i&gt;R&lt;/i&gt; with the &lt;b&gt;metafor&lt;/b&gt; Package","URL":"http://www.jstatsoft.org/v36/i03/","volume":"36","author":[{"family":"Viechtbauer","given":"Wolfgang"}],"accessed":{"date-parts":[["2026",2,17]]},"issued":{"date-parts":[["2010"]]}}}],"schema":"https://github.com/citation-style-language/schema/raw/master/csl-citation.json"} </w:instrText>
      </w:r>
      <w:r w:rsidR="00FF2754">
        <w:rPr>
          <w:rFonts w:asciiTheme="majorBidi" w:eastAsia="Times New Roman" w:hAnsiTheme="majorBidi" w:cstheme="majorBidi"/>
        </w:rPr>
        <w:fldChar w:fldCharType="separate"/>
      </w:r>
      <w:r w:rsidR="00EE5ADB" w:rsidRPr="00EE5ADB">
        <w:rPr>
          <w:rFonts w:ascii="Times New Roman" w:hAnsi="Times New Roman" w:cs="Times New Roman"/>
        </w:rPr>
        <w:t>[20–22]</w:t>
      </w:r>
      <w:r w:rsidR="00FF2754">
        <w:rPr>
          <w:rFonts w:asciiTheme="majorBidi" w:eastAsia="Times New Roman" w:hAnsiTheme="majorBidi" w:cstheme="majorBidi"/>
        </w:rPr>
        <w:fldChar w:fldCharType="end"/>
      </w:r>
      <w:r w:rsidR="006B4B0A" w:rsidRPr="00FF2754">
        <w:rPr>
          <w:rFonts w:asciiTheme="majorBidi" w:eastAsia="Times New Roman" w:hAnsiTheme="majorBidi" w:cstheme="majorBidi"/>
        </w:rPr>
        <w:t xml:space="preserve">. </w:t>
      </w:r>
      <w:r w:rsidR="00C245E3" w:rsidRPr="00C245E3">
        <w:rPr>
          <w:rFonts w:asciiTheme="majorBidi" w:eastAsia="Times New Roman" w:hAnsiTheme="majorBidi" w:cstheme="majorBidi"/>
        </w:rPr>
        <w:t>Statistical heterogeneity was assessed using the I² statistic and Cochran's Q test; I² values of 25%, 50%, and 75% were interpreted as indicative of low, moderate, and high heterogeneity respectively, in accordance with Cochrane Handbook guidance. A fixed-effects model was applied where heterogeneity was absent or low (I² ≤25%), and a random-effects model was applied where moderate or substantial heterogeneity was detected (I² &gt;25%)</w:t>
      </w:r>
      <w:r w:rsidR="005B5912">
        <w:rPr>
          <w:rFonts w:asciiTheme="majorBidi" w:eastAsia="Times New Roman" w:hAnsiTheme="majorBidi" w:cstheme="majorBidi"/>
        </w:rPr>
        <w:t>.</w:t>
      </w:r>
    </w:p>
    <w:p w14:paraId="0D556FBB" w14:textId="63336A7B" w:rsidR="00200DF4" w:rsidRPr="00ED0F7F" w:rsidRDefault="00ED0F7F" w:rsidP="006A5F7F">
      <w:pPr>
        <w:spacing w:after="240" w:line="360" w:lineRule="auto"/>
        <w:jc w:val="both"/>
        <w:rPr>
          <w:rFonts w:ascii="Times New Roman" w:eastAsia="Times New Roman" w:hAnsi="Times New Roman" w:cs="Times New Roman"/>
          <w:b/>
          <w:bCs/>
          <w:i/>
          <w:iCs/>
        </w:rPr>
      </w:pPr>
      <w:r w:rsidRPr="00ED0F7F">
        <w:rPr>
          <w:rFonts w:ascii="Times New Roman" w:eastAsia="Times New Roman" w:hAnsi="Times New Roman" w:cs="Times New Roman"/>
          <w:b/>
          <w:bCs/>
          <w:i/>
          <w:iCs/>
        </w:rPr>
        <w:t>2.8 Reporting bias assessment</w:t>
      </w:r>
    </w:p>
    <w:p w14:paraId="21AC1208" w14:textId="7B5838CF" w:rsidR="00200DF4" w:rsidRDefault="00000000" w:rsidP="006A5F7F">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Given the small number of studies included per outcome (fewer than ten in all cases), funnel plot asymmetry could not be reliably evaluated. Accordingly, funnel plots were not generated for any outcome. Instead, reporting bias was assessed through a search of clinical trial registries (ClinicalTrials.gov and WHO ICTRP) to identify prospectively registered trials with relevant outcomes that had not been published or had been published with incomplete outcome reporting. Overall, the possibility of publication bias cannot be excluded given the small evidence base, and this represents an important limitation of the current review.</w:t>
      </w:r>
      <w:r>
        <w:br w:type="page"/>
      </w:r>
    </w:p>
    <w:p w14:paraId="613C801D" w14:textId="77777777" w:rsidR="00200DF4" w:rsidRPr="00ED0F7F" w:rsidRDefault="00000000" w:rsidP="00C208BC">
      <w:pPr>
        <w:pStyle w:val="Heading1"/>
        <w:spacing w:line="360" w:lineRule="auto"/>
      </w:pPr>
      <w:bookmarkStart w:id="2" w:name="_8prhtyheyl39" w:colFirst="0" w:colLast="0"/>
      <w:bookmarkEnd w:id="2"/>
      <w:r w:rsidRPr="00ED0F7F">
        <w:lastRenderedPageBreak/>
        <w:t>3. Results</w:t>
      </w:r>
    </w:p>
    <w:p w14:paraId="690BD61D" w14:textId="4E592232" w:rsidR="00200DF4" w:rsidRPr="00EF4A89" w:rsidRDefault="00ED0F7F" w:rsidP="00C208BC">
      <w:pPr>
        <w:spacing w:after="240" w:line="360" w:lineRule="auto"/>
        <w:rPr>
          <w:rFonts w:asciiTheme="majorBidi" w:eastAsia="Times New Roman" w:hAnsiTheme="majorBidi" w:cstheme="majorBidi"/>
          <w:b/>
          <w:bCs/>
          <w:i/>
          <w:iCs/>
        </w:rPr>
      </w:pPr>
      <w:r w:rsidRPr="00EF4A89">
        <w:rPr>
          <w:rFonts w:asciiTheme="majorBidi" w:eastAsia="Times New Roman" w:hAnsiTheme="majorBidi" w:cstheme="majorBidi"/>
          <w:b/>
          <w:bCs/>
          <w:i/>
          <w:iCs/>
        </w:rPr>
        <w:t xml:space="preserve">3.1 Study selection </w:t>
      </w:r>
    </w:p>
    <w:p w14:paraId="2DC5BBCA" w14:textId="235A82D6" w:rsidR="001636B5" w:rsidRDefault="001636B5" w:rsidP="00EE5ADB">
      <w:pPr>
        <w:spacing w:after="240" w:line="360" w:lineRule="auto"/>
        <w:rPr>
          <w:rFonts w:asciiTheme="majorBidi" w:eastAsia="Times New Roman" w:hAnsiTheme="majorBidi" w:cstheme="majorBidi"/>
        </w:rPr>
      </w:pPr>
      <w:r w:rsidRPr="001636B5">
        <w:rPr>
          <w:rFonts w:asciiTheme="majorBidi" w:eastAsia="Times New Roman" w:hAnsiTheme="majorBidi" w:cstheme="majorBidi"/>
        </w:rPr>
        <w:t xml:space="preserve">The database search retrieved a combined total of 1,128 records across PubMed (n = 130), Web of Science (n = 143), Scopus (n = 832), and Cochrane CENTRAL (n = 23). Following automated deduplication within Rayyan and subsequent manual verification, 214 duplicate records were removed, leaving 914 unique records for title and abstract screening, of which 896 were excluded. Eighteen full-text reports were sought for retrieval, of which one could not be retrieved, leaving 17 reports assessed for eligibility. Ten were excluded for the following reasons: three were review articles, two were trial protocols corresponding to RCTs already included in the review, three did not report any eligible outcome measure, and two did not include an SGLT2i arm. Seven studies met all inclusion criteria, comprising five </w:t>
      </w:r>
      <w:proofErr w:type="spellStart"/>
      <w:r w:rsidRPr="001636B5">
        <w:rPr>
          <w:rFonts w:asciiTheme="majorBidi" w:eastAsia="Times New Roman" w:hAnsiTheme="majorBidi" w:cstheme="majorBidi"/>
        </w:rPr>
        <w:t>randomised</w:t>
      </w:r>
      <w:proofErr w:type="spellEnd"/>
      <w:r w:rsidRPr="001636B5">
        <w:rPr>
          <w:rFonts w:asciiTheme="majorBidi" w:eastAsia="Times New Roman" w:hAnsiTheme="majorBidi" w:cstheme="majorBidi"/>
        </w:rPr>
        <w:t xml:space="preserve"> controlled trials</w:t>
      </w:r>
      <w:r>
        <w:rPr>
          <w:rFonts w:asciiTheme="majorBidi" w:eastAsia="Times New Roman" w:hAnsiTheme="majorBidi" w:cstheme="majorBidi"/>
        </w:rPr>
        <w:t>,</w:t>
      </w:r>
      <w:r w:rsidRPr="001636B5">
        <w:rPr>
          <w:rFonts w:asciiTheme="majorBidi" w:eastAsia="Times New Roman" w:hAnsiTheme="majorBidi" w:cstheme="majorBidi"/>
        </w:rPr>
        <w:t xml:space="preserve"> of which one was a post-hoc analysis of a pre-existing RCT (Liao et al. </w:t>
      </w:r>
      <w:r>
        <w:rPr>
          <w:rFonts w:asciiTheme="majorBidi" w:eastAsia="Times New Roman" w:hAnsiTheme="majorBidi" w:cstheme="majorBidi"/>
        </w:rPr>
        <w:fldChar w:fldCharType="begin"/>
      </w:r>
      <w:r w:rsidR="00EE5ADB">
        <w:rPr>
          <w:rFonts w:asciiTheme="majorBidi" w:eastAsia="Times New Roman" w:hAnsiTheme="majorBidi" w:cstheme="majorBidi"/>
        </w:rPr>
        <w:instrText xml:space="preserve"> ADDIN ZOTERO_ITEM CSL_CITATION {"citationID":"kfuCMCvK","properties":{"unsorted":false,"formattedCitation":"[23]","plainCitation":"[23]","noteIndex":0},"citationItems":[{"id":"g6iDE82k/ceewgwi1","uris":["http://zotero.org/users/19709799/items/NQ3358CH"],"itemData":{"id":"JbUMJjXw/9bk55yIl","type":"article-journal","container-title":"Diabetes &amp; Metabolism","DOI":"10.1016/j.diabet.2022.101331","ISSN":"12623636","issue":"4","journalAbbreviation":"Diabetes &amp; Metabolism","language":"en","page":"101331","source":"DOI.org (Crossref)","title":"The impact of canagliflozin on the risk of neuropathy events: A post-hoc exploratory analysis of the CREDENCE trial","title-short":"The impact of canagliflozin on the risk of neuropathy events","volume":"48","author":[{"family":"Liao","given":"Jinlan"},{"family":"Kang","given":"Amy"},{"family":"Xia","given":"Chao"},{"family":"Young","given":"Tamara"},{"family":"Di Tanna","given":"Gian Luca"},{"family":"Arnott","given":"Clare"},{"family":"Pollock","given":"Carol"},{"family":"Krishnan","given":"Arun V."},{"family":"Agarwal","given":"Rajiv"},{"family":"Bakris","given":"George"},{"family":"Charytan","given":"David M."},{"family":"De Zeeuw","given":"Dick"},{"family":"Heerspink","given":"Hiddo J.L."},{"family":"Levin","given":"Adeera"},{"family":"Neal","given":"Bruce"},{"family":"Wheeler","given":"David C."},{"family":"Zhang","given":"Hong"},{"family":"Zinman","given":"Bernard"},{"family":"Mahaffey","given":"Kenneth W."},{"family":"Perkovic","given":"Vlado"},{"family":"Jardine","given":"Meg J"},{"family":"Smyth","given":"Brendan"}],"issued":{"date-parts":[["2022",7]]}}}],"schema":"https://github.com/citation-style-language/schema/raw/master/csl-citation.json"} </w:instrText>
      </w:r>
      <w:r>
        <w:rPr>
          <w:rFonts w:asciiTheme="majorBidi" w:eastAsia="Times New Roman" w:hAnsiTheme="majorBidi" w:cstheme="majorBidi"/>
        </w:rPr>
        <w:fldChar w:fldCharType="separate"/>
      </w:r>
      <w:r w:rsidR="00EE5ADB" w:rsidRPr="00EE5ADB">
        <w:rPr>
          <w:rFonts w:ascii="Times New Roman" w:hAnsi="Times New Roman" w:cs="Times New Roman"/>
        </w:rPr>
        <w:t>[23]</w:t>
      </w:r>
      <w:r>
        <w:rPr>
          <w:rFonts w:asciiTheme="majorBidi" w:eastAsia="Times New Roman" w:hAnsiTheme="majorBidi" w:cstheme="majorBidi"/>
        </w:rPr>
        <w:fldChar w:fldCharType="end"/>
      </w:r>
      <w:r w:rsidRPr="001636B5">
        <w:rPr>
          <w:rFonts w:asciiTheme="majorBidi" w:eastAsia="Times New Roman" w:hAnsiTheme="majorBidi" w:cstheme="majorBidi"/>
        </w:rPr>
        <w:t>)</w:t>
      </w:r>
      <w:r>
        <w:rPr>
          <w:rFonts w:asciiTheme="majorBidi" w:eastAsia="Times New Roman" w:hAnsiTheme="majorBidi" w:cstheme="majorBidi"/>
        </w:rPr>
        <w:t xml:space="preserve"> and</w:t>
      </w:r>
      <w:r w:rsidRPr="001636B5">
        <w:rPr>
          <w:rFonts w:asciiTheme="majorBidi" w:eastAsia="Times New Roman" w:hAnsiTheme="majorBidi" w:cstheme="majorBidi"/>
        </w:rPr>
        <w:t xml:space="preserve"> one prospective cohort study, and one single-arm interventional study. The study selection process is illustrated in the PRISMA 2020 flow diagram (Figure 1).</w:t>
      </w:r>
    </w:p>
    <w:p w14:paraId="31142832" w14:textId="6592048E" w:rsidR="00200DF4" w:rsidRPr="00EF4A89" w:rsidRDefault="00ED0F7F" w:rsidP="00C208BC">
      <w:pPr>
        <w:spacing w:after="240" w:line="360" w:lineRule="auto"/>
        <w:rPr>
          <w:rFonts w:asciiTheme="majorBidi" w:eastAsia="Times New Roman" w:hAnsiTheme="majorBidi" w:cstheme="majorBidi"/>
          <w:b/>
          <w:bCs/>
          <w:i/>
          <w:iCs/>
        </w:rPr>
      </w:pPr>
      <w:r w:rsidRPr="00EF4A89">
        <w:rPr>
          <w:rFonts w:asciiTheme="majorBidi" w:eastAsia="Times New Roman" w:hAnsiTheme="majorBidi" w:cstheme="majorBidi"/>
          <w:b/>
          <w:bCs/>
          <w:i/>
          <w:iCs/>
        </w:rPr>
        <w:t xml:space="preserve">3.2 Study characteristics </w:t>
      </w:r>
    </w:p>
    <w:p w14:paraId="2A173218" w14:textId="79934505" w:rsidR="007B5804" w:rsidRPr="007B5804" w:rsidRDefault="007B5804" w:rsidP="00EE5ADB">
      <w:pPr>
        <w:spacing w:after="240" w:line="360" w:lineRule="auto"/>
        <w:jc w:val="both"/>
        <w:rPr>
          <w:rFonts w:asciiTheme="majorBidi" w:eastAsia="Times New Roman" w:hAnsiTheme="majorBidi" w:cstheme="majorBidi"/>
          <w:lang w:val="en-US"/>
        </w:rPr>
      </w:pPr>
      <w:r w:rsidRPr="007B5804">
        <w:rPr>
          <w:rFonts w:asciiTheme="majorBidi" w:eastAsia="Times New Roman" w:hAnsiTheme="majorBidi" w:cstheme="majorBidi"/>
          <w:lang w:val="en-US"/>
        </w:rPr>
        <w:t>The seven included studies were published between 2021 and 2025 and collectively enrolled a total of 4,794 participants across the intervention and control groups combined. However, 4,401 of these participants were contributed by Liao et al.</w:t>
      </w:r>
      <w:r w:rsidR="009930EC">
        <w:rPr>
          <w:rFonts w:asciiTheme="majorBidi" w:eastAsia="Times New Roman" w:hAnsiTheme="majorBidi" w:cstheme="majorBidi"/>
          <w:lang w:val="en-US"/>
        </w:rPr>
        <w:t xml:space="preserve"> </w:t>
      </w:r>
      <w:r w:rsidR="009930E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ry0H5XHt","properties":{"unsorted":false,"formattedCitation":"[23]","plainCitation":"[23]","noteIndex":0},"citationItems":[{"id":"g6iDE82k/ceewgwi1","uris":["http://zotero.org/users/19709799/items/NQ3358CH"],"itemData":{"id":"JbUMJjXw/9bk55yIl","type":"article-journal","container-title":"Diabetes &amp; Metabolism","DOI":"10.1016/j.diabet.2022.101331","ISSN":"12623636","issue":"4","journalAbbreviation":"Diabetes &amp; Metabolism","language":"en","page":"101331","source":"DOI.org (Crossref)","title":"The impact of canagliflozin on the risk of neuropathy events: A post-hoc exploratory analysis of the CREDENCE trial","title-short":"The impact of canagliflozin on the risk of neuropathy events","volume":"48","author":[{"family":"Liao","given":"Jinlan"},{"family":"Kang","given":"Amy"},{"family":"Xia","given":"Chao"},{"family":"Young","given":"Tamara"},{"family":"Di Tanna","given":"Gian Luca"},{"family":"Arnott","given":"Clare"},{"family":"Pollock","given":"Carol"},{"family":"Krishnan","given":"Arun V."},{"family":"Agarwal","given":"Rajiv"},{"family":"Bakris","given":"George"},{"family":"Charytan","given":"David M."},{"family":"De Zeeuw","given":"Dick"},{"family":"Heerspink","given":"Hiddo J.L."},{"family":"Levin","given":"Adeera"},{"family":"Neal","given":"Bruce"},{"family":"Wheeler","given":"David C."},{"family":"Zhang","given":"Hong"},{"family":"Zinman","given":"Bernard"},{"family":"Mahaffey","given":"Kenneth W."},{"family":"Perkovic","given":"Vlado"},{"family":"Jardine","given":"Meg J"},{"family":"Smyth","given":"Brendan"}],"issued":{"date-parts":[["2022",7]]}}}],"schema":"https://github.com/citation-style-language/schema/raw/master/csl-citation.json"} </w:instrText>
      </w:r>
      <w:r w:rsidR="009930E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[23]</w:t>
      </w:r>
      <w:r w:rsidR="009930EC">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xml:space="preserve"> alone, a post-hoc analysis of the large </w:t>
      </w:r>
      <w:proofErr w:type="spellStart"/>
      <w:r w:rsidRPr="007B5804">
        <w:rPr>
          <w:rFonts w:asciiTheme="majorBidi" w:eastAsia="Times New Roman" w:hAnsiTheme="majorBidi" w:cstheme="majorBidi"/>
          <w:lang w:val="en-US"/>
        </w:rPr>
        <w:t>multicentre</w:t>
      </w:r>
      <w:proofErr w:type="spellEnd"/>
      <w:r w:rsidRPr="007B5804">
        <w:rPr>
          <w:rFonts w:asciiTheme="majorBidi" w:eastAsia="Times New Roman" w:hAnsiTheme="majorBidi" w:cstheme="majorBidi"/>
          <w:lang w:val="en-US"/>
        </w:rPr>
        <w:t xml:space="preserve"> CREDENCE trial conducted across 34 countries; the remaining six studies enrolled a combined total of 393 participants. Studies were conducted in India (Mehta et al.</w:t>
      </w:r>
      <w:r w:rsidR="00820E86">
        <w:rPr>
          <w:rFonts w:asciiTheme="majorBidi" w:eastAsia="Times New Roman" w:hAnsiTheme="majorBidi" w:cstheme="majorBidi"/>
          <w:lang w:val="en-US"/>
        </w:rPr>
        <w:t xml:space="preserve"> </w:t>
      </w:r>
      <w:r w:rsidR="00820E8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C5i0r3GJ","properties":{"unsorted":false,"formattedCitation":"[24]","plainCitation":"[24]","noteIndex":0},"citationItems":[{"id":"g6iDE82k/3HuQ46Dp","uris":["http://zotero.org/users/19709799/items/AALKKIVG"],"itemData":{"id":"JbUMJjXw/8mR0vTnE","type":"article-journal","container-title":"Cureus","DOI":"10.7759/cureus.20208","ISSN":"2168-8184","language":"en","source":"DOI.org (Crossref)","title":"Effectiveness of Empagliflozin With Vitamin D Supplementation in Peripheral Neuropathy in Type 2 Diabetic Patients","URL":"https://www.cureus.com/articles/78182-effectiveness-of-empagliflozin-with-vitamin-d-supplementation-in-peripheral-neuropathy-in-type-2-diabetic-patients","author":[{"family":"Mehta","given":"Sanjana"},{"family":"Nain","given":"Parminder"},{"family":"Agrawal","given":"Bimal K"},{"family":"Singh","given":"Rajinder P"},{"family":"Kaur","given":"Jaspreet"},{"family":"Maity","given":"Sabyasachi"},{"family":"Bhattarcharjee","given":"Aniruddha"},{"family":"Peela","given":"Jagannadha"},{"family":"Nauhria","given":"Shreya"},{"family":"Nauhria","given":"Samal"}],"accessed":{"date-parts":[["2026",2,23]]},"issued":{"date-parts":[["2021",12,6]]}}}],"schema":"https://github.com/citation-style-language/schema/raw/master/csl-citation.json"} </w:instrText>
      </w:r>
      <w:r w:rsidR="00820E8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[24]</w:t>
      </w:r>
      <w:r w:rsidR="00820E86">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Adhikari et al.</w:t>
      </w:r>
      <w:r w:rsidR="00BC298C">
        <w:rPr>
          <w:rFonts w:asciiTheme="majorBidi" w:eastAsia="Times New Roman" w:hAnsiTheme="majorBidi" w:cstheme="majorBidi"/>
          <w:lang w:val="en-US"/>
        </w:rPr>
        <w:t xml:space="preserve"> </w:t>
      </w:r>
      <w:r w:rsidR="00BC298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VtV81fbA","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BC298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[25]</w:t>
      </w:r>
      <w:r w:rsidR="00BC298C">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Egypt (El-Haggar et al.</w:t>
      </w:r>
      <w:r w:rsidR="00BC298C">
        <w:rPr>
          <w:rFonts w:asciiTheme="majorBidi" w:eastAsia="Times New Roman" w:hAnsiTheme="majorBidi" w:cstheme="majorBidi"/>
          <w:lang w:val="en-US"/>
        </w:rPr>
        <w:t xml:space="preserve"> </w:t>
      </w:r>
      <w:r w:rsidR="00BC298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S9qXTJYp","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BC298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BC298C">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Japan (Ishibashi et al.</w:t>
      </w:r>
      <w:r w:rsidR="00BC298C">
        <w:rPr>
          <w:rFonts w:asciiTheme="majorBidi" w:eastAsia="Times New Roman" w:hAnsiTheme="majorBidi" w:cstheme="majorBidi"/>
          <w:lang w:val="en-US"/>
        </w:rPr>
        <w:t xml:space="preserve"> </w:t>
      </w:r>
      <w:r w:rsidR="00BC298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{"citationID":"fE4ueBOl","properties":{"unsorted":false,"formattedCitation":"[26]","plainCitation":"[26]","noteIndex":0},"citationItems":[{"id":108,"uris":["http://zotero.org/groups/6437514/items/MHNR4PT3"],"itemData":{"id":108,"type":"article-journal","abstract":"Aims\n              \n                This three-year follow-up study aimed to elucidate whether sodium-glucose cotransporter-2 inhibitors (SGLT2is) have any protection against diabetic neuropathy and nephropathy in patients with type 2 diabetes\n                via\n                reducing variability in glycemia and extraglycemic factors or their averages.\n              \n            \n            \n              Methods\n              Two type 2 diabetic cohorts of 40 and 73 patients treated with or without SGLT2i along with 60 control subjects were recruited. Two diabetic cohorts matched for HbA1c levels and oral hypoglycemic agents other than SGLT2is underwent glycemic control with or without SGLT2is more than two years. The urinary albumin to creatinine ratio (ACR), estimated glomerular filtration rate (eGFR) every 3 months and neuropathy outcome measures and mean Z-score of 8 neurophysiological tests were determined at the baseline and endpoint. Glycemic variability, evaluated by the coefficient of variation of monthly measured HbA1c levels and casual postprandial plasma glucose (CPPG), and coefficient of variation and average of extraglycemic parameters in diabetic cohorts were determined.\n            \n            \n              Results\n              The glycemic variability and variability of some extraglycemic factors in SGLT2i cohort were smaller than those in non-SGLT2i cohort. However, only smaller coefficient of variation of HbA1c improved some neuropathy outcome measures, and ameliorated eGFR decline. SGLT2i improved the Z-score of neurophysiological tests. The optimized changes in the blood pressure, HDL-cholesterol and uric acid by SGLT2i led to neurological and renal protection. SGLT2i decreased the prevalence of nephropathy significantly and the prevalence of neuropathy insignificantly.\n            \n            \n              Conclusion\n              Over 3 years period, SGLT2i significantly improved some neuropathy outcome measures, mean Z-score of 8 neurophysiological tests, and attenuated nephropathy in modestly controlled type 2 diabetes by reducing glycemic variability and mean nonglycemic factors of diabetic microvascular complication.","container-title":"Frontiers in Endocrinology","DOI":"10.3389/fendo.2022.864332","ISSN":"1664-2392","journalAbbreviation":"Front. Endocrinol.","page":"864332","source":"DOI.org (Crossref)","title":"Sodium Glucose Cotransporter-2 Inhibitor Protects Against Diabetic Neuropathy and Nephropathy in Modestly Controlled Type 2 Diabetes: Follow-Up Study","title-short":"Sodium Glucose Cotransporter-2 Inhibitor Protects Against Diabetic Neuropathy and Nephropathy in Modestly Controlled Type 2 Diabetes","volume":"13","author":[{"family":"Ishibashi","given":"Fukashi"},{"family":"Kosaka","given":"Aiko"},{"family":"Tavakoli","given":"Mitra"}],"issued":{"date-parts":[["2022",6,17]]}}}],"schema":"https://github.com/citation-style-language/schema/raw/master/csl-citation.json"} </w:instrText>
      </w:r>
      <w:r w:rsidR="00BC298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[26]</w:t>
      </w:r>
      <w:r w:rsidR="00BC298C">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Hungary (</w:t>
      </w:r>
      <w:proofErr w:type="spellStart"/>
      <w:r w:rsidRPr="007B5804">
        <w:rPr>
          <w:rFonts w:asciiTheme="majorBidi" w:eastAsia="Times New Roman" w:hAnsiTheme="majorBidi" w:cstheme="majorBidi"/>
          <w:lang w:val="en-US"/>
        </w:rPr>
        <w:t>Klabuzai</w:t>
      </w:r>
      <w:proofErr w:type="spellEnd"/>
      <w:r w:rsidRPr="007B5804">
        <w:rPr>
          <w:rFonts w:asciiTheme="majorBidi" w:eastAsia="Times New Roman" w:hAnsiTheme="majorBidi" w:cstheme="majorBidi"/>
          <w:lang w:val="en-US"/>
        </w:rPr>
        <w:t xml:space="preserve"> et al.</w:t>
      </w:r>
      <w:r w:rsidR="00BC298C">
        <w:rPr>
          <w:rFonts w:asciiTheme="majorBidi" w:eastAsia="Times New Roman" w:hAnsiTheme="majorBidi" w:cstheme="majorBidi"/>
          <w:lang w:val="en-US"/>
        </w:rPr>
        <w:t xml:space="preserve"> </w:t>
      </w:r>
      <w:r w:rsidR="00BC298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fcEcOsHH","properties":{"unsorted":false,"formattedCitation":"[27]","plainCitation":"[27]","noteIndex":0},"citationItems":[{"id":"g6iDE82k/JdrpB4DC","uris":["http://zotero.org/users/19709799/items/LNHXRLVE"],"itemData":{"id":"JbUMJjXw/9OuJhd84","type":"article-journal","container-title":"Antioxidants","DOI":"10.3390/antiox14030289","ISSN":"2076-3921","issue":"3","journalAbbreviation":"Antioxidants","language":"en","page":"289","source":"DOI.org (Crossref)","title":"The Impact of SGLT-2 Inhibitors on Hydroxyl Radical Markers and Diabetic Neuropathy: A Short-Term Clinical Study","title-short":"The Impact of SGLT-2 Inhibitors on Hydroxyl Radical Markers and Diabetic Neuropathy","volume":"14","author":[{"family":"Klabuzai","given":"Ágnes"},{"family":"Bekő","given":"Viktória"},{"family":"Sütő","given":"Zsófia"},{"family":"Horváth","given":"Marcell"},{"family":"Wágner","given":"Zoltán"},{"family":"Vágási","given":"Katalin"},{"family":"Pfeil","given":"Veronika"},{"family":"Süle","given":"Miklós"},{"family":"Grosz","given":"György"},{"family":"Wittmann","given":"István"},{"family":"Kun","given":"Szilárd"}],"issued":{"date-parts":[["2025",2,28]]}}}],"schema":"https://github.com/citation-style-language/schema/raw/master/csl-citation.json"} </w:instrText>
      </w:r>
      <w:r w:rsidR="00BC298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[27]</w:t>
      </w:r>
      <w:r w:rsidR="00BC298C">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and Iran (</w:t>
      </w:r>
      <w:proofErr w:type="spellStart"/>
      <w:r w:rsidRPr="007B5804">
        <w:rPr>
          <w:rFonts w:asciiTheme="majorBidi" w:eastAsia="Times New Roman" w:hAnsiTheme="majorBidi" w:cstheme="majorBidi"/>
          <w:lang w:val="en-US"/>
        </w:rPr>
        <w:t>Vafaeinasab</w:t>
      </w:r>
      <w:proofErr w:type="spellEnd"/>
      <w:r w:rsidRPr="007B5804">
        <w:rPr>
          <w:rFonts w:asciiTheme="majorBidi" w:eastAsia="Times New Roman" w:hAnsiTheme="majorBidi" w:cstheme="majorBidi"/>
          <w:lang w:val="en-US"/>
        </w:rPr>
        <w:t xml:space="preserve"> et al.</w:t>
      </w:r>
      <w:r w:rsidR="00BC298C">
        <w:rPr>
          <w:rFonts w:asciiTheme="majorBidi" w:eastAsia="Times New Roman" w:hAnsiTheme="majorBidi" w:cstheme="majorBidi"/>
          <w:lang w:val="en-US"/>
        </w:rPr>
        <w:t xml:space="preserve"> </w:t>
      </w:r>
      <w:r w:rsidR="00BC298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D8HHoNgL","properties":{"unsorted":false,"formattedCitation":"[28]","plainCitation":"[28]","noteIndex":0},"citationItems":[{"id":"g6iDE82k/l0R4jyDB","uris":["http://zotero.org/users/19709799/items/R4ADPE66"],"itemData":{"id":"JbUMJjXw/BQQKuHa2","type":"article-journal","container-title":"Endocrinology, Diabetes &amp; Metabolism","DOI":"10.1002/edm2.70128","ISSN":"2398-9238, 2398-9238","issue":"6","journalAbbreviation":"Endocrino Diabet &amp;amp; Metabol","language":"en","page":"e70128","source":"DOI.org (Crossref)","title":"The Comparison of the Effect of Adding Empagliflozin to the Medication Regimen on Peripheral Neuropathy in Patients With Type &lt;span style=\"font-variant:small-caps;\"&gt;II&lt;/span&gt; Diabetes: A Double Blind Randomised Clinical Trial","title-short":"The Comparison of the Effect of Adding Empagliflozin to the Medication Regimen on Peripheral Neuropathy in Patients With Type &lt;span style=\"font-variant","volume":"8","author":[{"family":"Vafaeinasab","given":"Mohammadreza"},{"family":"Mirzaei Malekabad","given":"Fatemeh"},{"family":"Khatibi","given":"Amidodin"},{"family":"Ghadiri‐Anari","given":"Akram"},{"family":"Zare Bidaki","given":"Marzieh"},{"family":"Azizi","given":"Raihane"}],"issued":{"date-parts":[["2025",11]]}}}],"schema":"https://github.com/citation-style-language/schema/raw/master/csl-citation.json"} </w:instrText>
      </w:r>
      <w:r w:rsidR="00BC298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[28]</w:t>
      </w:r>
      <w:r w:rsidR="00BC298C">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reflecting a geographically diverse evidence base. All studies enrolled patients with type 2 diabetes mellitus and peripheral neuropathy confirmed by clinical or electrodiagnostic assessment. A summary of study characteristics is presented in Table 1.</w:t>
      </w:r>
    </w:p>
    <w:p w14:paraId="56E99883" w14:textId="0F96A190" w:rsidR="007B5804" w:rsidRPr="007B5804" w:rsidRDefault="007B5804" w:rsidP="00EE5ADB">
      <w:pPr>
        <w:spacing w:after="240" w:line="360" w:lineRule="auto"/>
        <w:jc w:val="both"/>
        <w:rPr>
          <w:rFonts w:asciiTheme="majorBidi" w:eastAsia="Times New Roman" w:hAnsiTheme="majorBidi" w:cstheme="majorBidi"/>
          <w:lang w:val="en-US"/>
        </w:rPr>
      </w:pPr>
      <w:r w:rsidRPr="007B5804">
        <w:rPr>
          <w:rFonts w:asciiTheme="majorBidi" w:eastAsia="Times New Roman" w:hAnsiTheme="majorBidi" w:cstheme="majorBidi"/>
          <w:lang w:val="en-US"/>
        </w:rPr>
        <w:t>SGLT2 inhibitor agents and doses varied across studies: empagliflozin was used at 25 mg once daily in Mehta et al.</w:t>
      </w:r>
      <w:r w:rsidR="000A3992">
        <w:rPr>
          <w:rFonts w:asciiTheme="majorBidi" w:eastAsia="Times New Roman" w:hAnsiTheme="majorBidi" w:cstheme="majorBidi"/>
          <w:lang w:val="en-US"/>
        </w:rPr>
        <w:t xml:space="preserve"> </w:t>
      </w:r>
      <w:r w:rsidR="000A3992">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ahyXFZll","properties":{"unsorted":false,"formattedCitation":"[24]","plainCitation":"[24]","noteIndex":0},"citationItems":[{"id":"g6iDE82k/3HuQ46Dp","uris":["http://zotero.org/users/19709799/items/AALKKIVG"],"itemData":{"id":"JbUMJjXw/8mR0vTnE","type":"article-journal","container-title":"Cureus","DOI":"10.7759/cureus.20208","ISSN":"2168-8184","language":"en","source":"DOI.org (Crossref)","title":"Effectiveness of Empagliflozin With Vitamin D Supplementation in Peripheral Neuropathy in Type 2 Diabetic Patients","URL":"https://www.cureus.com/articles/78182-effectiveness-of-empagliflozin-with-vitamin-d-supplementation-in-peripheral-neuropathy-in-type-2-diabetic-patients","author":[{"family":"Mehta","given":"Sanjana"},{"family":"Nain","given":"Parminder"},{"family":"Agrawal","given":"Bimal K"},{"family":"Singh","given":"Rajinder P"},{"family":"Kaur","given":"Jaspreet"},{"family":"Maity","given":"Sabyasachi"},{"family":"Bhattarcharjee","given":"Aniruddha"},{"family":"Peela","given":"Jagannadha"},{"family":"Nauhria","given":"Shreya"},{"family":"Nauhria","given":"Samal"}],"accessed":{"date-parts":[["2026",2,23]]},"issued":{"date-parts":[["2021",12,6]]}}}],"schema":"https://github.com/citation-style-language/schema/raw/master/csl-citation.json"} </w:instrText>
      </w:r>
      <w:r w:rsidR="000A3992">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[24]</w:t>
      </w:r>
      <w:r w:rsidR="000A3992">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xml:space="preserve"> and El-Haggar et al.</w:t>
      </w:r>
      <w:r w:rsidR="000A3992">
        <w:rPr>
          <w:rFonts w:asciiTheme="majorBidi" w:eastAsia="Times New Roman" w:hAnsiTheme="majorBidi" w:cstheme="majorBidi"/>
          <w:lang w:val="en-US"/>
        </w:rPr>
        <w:t xml:space="preserve"> </w:t>
      </w:r>
      <w:r w:rsidR="000A3992">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IXAXKWk5","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0A3992">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0A3992">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xml:space="preserve">, and at 10 mg once daily in </w:t>
      </w:r>
      <w:proofErr w:type="spellStart"/>
      <w:r w:rsidRPr="007B5804">
        <w:rPr>
          <w:rFonts w:asciiTheme="majorBidi" w:eastAsia="Times New Roman" w:hAnsiTheme="majorBidi" w:cstheme="majorBidi"/>
          <w:lang w:val="en-US"/>
        </w:rPr>
        <w:t>Vafaeinasab</w:t>
      </w:r>
      <w:proofErr w:type="spellEnd"/>
      <w:r w:rsidRPr="007B5804">
        <w:rPr>
          <w:rFonts w:asciiTheme="majorBidi" w:eastAsia="Times New Roman" w:hAnsiTheme="majorBidi" w:cstheme="majorBidi"/>
          <w:lang w:val="en-US"/>
        </w:rPr>
        <w:t xml:space="preserve"> et al.</w:t>
      </w:r>
      <w:r w:rsidR="000A3992">
        <w:rPr>
          <w:rFonts w:asciiTheme="majorBidi" w:eastAsia="Times New Roman" w:hAnsiTheme="majorBidi" w:cstheme="majorBidi"/>
          <w:lang w:val="en-US"/>
        </w:rPr>
        <w:t xml:space="preserve"> </w:t>
      </w:r>
      <w:r w:rsidR="000A3992">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BGEg5ZDs","properties":{"unsorted":false,"formattedCitation":"[28]","plainCitation":"[28]","noteIndex":0},"citationItems":[{"id":"g6iDE82k/l0R4jyDB","uris":["http://zotero.org/users/19709799/items/R4ADPE66"],"itemData":{"id":"JbUMJjXw/BQQKuHa2","type":"article-journal","container-title":"Endocrinology, Diabetes &amp; Metabolism","DOI":"10.1002/edm2.70128","ISSN":"2398-9238, 2398-9238","issue":"6","journalAbbreviation":"Endocrino Diabet &amp;amp; Metabol","language":"en","page":"e70128","source":"DOI.org (Crossref)","title":"The Comparison of the Effect of Adding Empagliflozin to the Medication Regimen on Peripheral Neuropathy in Patients With Type &lt;span style=\"font-variant:small-caps;\"&gt;II&lt;/span&gt; Diabetes: A Double Blind Randomised Clinical Trial","title-short":"The Comparison of the Effect of Adding Empagliflozin to the Medication Regimen on Peripheral Neuropathy in Patients With Type &lt;span style=\"font-variant","volume":"8","author":[{"family":"Vafaeinasab","given":"Mohammadreza"},{"family":"Mirzaei Malekabad","given":"Fatemeh"},{"family":"Khatibi","given":"Amidodin"},{"family":"Ghadiri‐Anari","given":"Akram"},{"family":"Zare Bidaki","given":"Marzieh"},{"family":"Azizi","given":"Raihane"}],"issued":{"date-parts":[["2025",11]]}}}],"schema":"https://github.com/citation-style-language/schema/raw/master/csl-citation.json"} </w:instrText>
      </w:r>
      <w:r w:rsidR="000A3992">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[28]</w:t>
      </w:r>
      <w:r w:rsidR="000A3992">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dapagliflozin 10 mg once daily was used in Adhikari et al.</w:t>
      </w:r>
      <w:r w:rsidR="00820E86">
        <w:rPr>
          <w:rFonts w:asciiTheme="majorBidi" w:eastAsia="Times New Roman" w:hAnsiTheme="majorBidi" w:cstheme="majorBidi"/>
          <w:lang w:val="en-US"/>
        </w:rPr>
        <w:t xml:space="preserve"> </w:t>
      </w:r>
      <w:r w:rsidR="00820E8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65ppBAm8","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820E8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[25]</w:t>
      </w:r>
      <w:r w:rsidR="00820E86">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xml:space="preserve">; and canagliflozin 100 mg was used in the CREDENCE trial. The specific SGLT2i agent was not reported in Ishibashi et al. </w:t>
      </w:r>
      <w:r w:rsidR="000A3992">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{"citationID":"XiDnFBxe","properties":{"unsorted":false,"formattedCitation":"[26]","plainCitation":"[26]","noteIndex":0},"citationItems":[{"id":108,"uris":["http://zotero.org/groups/6437514/items/MHNR4PT3"],"itemData":{"id":108,"type":"article-journal","abstract":"Aims\n              \n                This three-year follow-up study aimed to elucidate whether sodium-glucose cotransporter-2 inhibitors (SGLT2is) have any protection against diabetic neuropathy and nephropathy in patients with type 2 diabetes\n                via\n                reducing variability in glycemia and extraglycemic factors or their averages.\n              \n            \n            \n              Methods\n              Two type 2 diabetic cohorts of 40 and 73 patients treated with or without SGLT2i along with 60 control subjects were recruited. Two diabetic cohorts matched for HbA1c levels and oral hypoglycemic agents other than SGLT2is underwent glycemic control with or without SGLT2is more than two years. The urinary albumin to creatinine ratio (ACR), estimated glomerular filtration rate (eGFR) every 3 months and neuropathy outcome measures and mean Z-score of 8 neurophysiological tests were determined at the baseline and endpoint. Glycemic variability, evaluated by the coefficient of variation of monthly measured HbA1c levels and casual postprandial plasma glucose (CPPG), and coefficient of variation and average of extraglycemic parameters in diabetic cohorts were determined.\n            \n            \n              Results\n              The glycemic variability and variability of some extraglycemic factors in SGLT2i cohort were smaller than those in non-SGLT2i cohort. However, only smaller coefficient of variation of HbA1c improved some neuropathy outcome measures, and ameliorated eGFR decline. SGLT2i improved the Z-score of neurophysiological tests. The optimized changes in the blood pressure, HDL-cholesterol and uric acid by SGLT2i led to neurological and renal protection. SGLT2i decreased the prevalence of nephropathy significantly and the prevalence of neuropathy insignificantly.\n            \n            \n              Conclusion\n              Over 3 years period, SGLT2i significantly improved some neuropathy outcome measures, mean Z-score of 8 neurophysiological tests, and attenuated nephropathy in modestly controlled type 2 diabetes by reducing glycemic variability and mean nonglycemic factors of diabetic microvascular complication.","container-title":"Frontiers in Endocrinology","DOI":"10.3389/fendo.2022.864332","ISSN":"1664-2392","journalAbbreviation":"Front. Endocrinol.","page":"864332","source":"DOI.org (Crossref)","title":"Sodium Glucose Cotransporter-2 Inhibitor Protects Against Diabetic Neuropathy and Nephropathy in Modestly Controlled Type 2 Diabetes: Follow-Up Study","title-short":"Sodium Glucose Cotransporter-2 Inhibitor Protects Against Diabetic Neuropathy and Nephropathy in Modestly Controlled Type 2 Diabetes","volume":"13","author":[{"family":"Ishibashi","given":"Fukashi"},{"family":"Kosaka","given":"Aiko"},{"family":"Tavakoli","given":"Mitra"}],"issued":{"date-parts":[["2022",6,17]]}}}],"schema":"https://github.com/citation-style-language/schema/raw/master/csl-citation.json"} </w:instrText>
      </w:r>
      <w:r w:rsidR="000A3992">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[26]</w:t>
      </w:r>
      <w:r w:rsidR="000A3992">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xml:space="preserve"> or </w:t>
      </w:r>
      <w:proofErr w:type="spellStart"/>
      <w:r w:rsidRPr="007B5804">
        <w:rPr>
          <w:rFonts w:asciiTheme="majorBidi" w:eastAsia="Times New Roman" w:hAnsiTheme="majorBidi" w:cstheme="majorBidi"/>
          <w:lang w:val="en-US"/>
        </w:rPr>
        <w:t>Klabuzai</w:t>
      </w:r>
      <w:proofErr w:type="spellEnd"/>
      <w:r w:rsidRPr="007B5804">
        <w:rPr>
          <w:rFonts w:asciiTheme="majorBidi" w:eastAsia="Times New Roman" w:hAnsiTheme="majorBidi" w:cstheme="majorBidi"/>
          <w:lang w:val="en-US"/>
        </w:rPr>
        <w:t xml:space="preserve"> et al.</w:t>
      </w:r>
      <w:r w:rsidR="000A3992">
        <w:rPr>
          <w:rFonts w:asciiTheme="majorBidi" w:eastAsia="Times New Roman" w:hAnsiTheme="majorBidi" w:cstheme="majorBidi"/>
          <w:lang w:val="en-US"/>
        </w:rPr>
        <w:t xml:space="preserve"> </w:t>
      </w:r>
      <w:r w:rsidR="000A3992">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8ixIc72q","properties":{"unsorted":false,"formattedCitation":"[27]","plainCitation":"[27]","noteIndex":0},"citationItems":[{"id":"g6iDE82k/JdrpB4DC","uris":["http://zotero.org/users/19709799/items/LNHXRLVE"],"itemData":{"id":"JbUMJjXw/9OuJhd84","type":"article-journal","container-title":"Antioxidants","DOI":"10.3390/antiox14030289","ISSN":"2076-3921","issue":"3","journalAbbreviation":"Antioxidants","language":"en","page":"289","source":"DOI.org (Crossref)","title":"The Impact of SGLT-2 Inhibitors on Hydroxyl Radical Markers and Diabetic Neuropathy: A Short-Term Clinical Study","title-short":"The Impact of SGLT-2 Inhibitors on Hydroxyl Radical Markers and Diabetic Neuropathy","volume":"14","author":[{"family":"Klabuzai","given":"Ágnes"},{"family":"Bekő","given":"Viktória"},{"family":"Sütő","given":"Zsófia"},{"family":"Horváth","given":"Marcell"},{"family":"Wágner","given":"Zoltán"},{"family":"Vágási","given":"Katalin"},{"family":"Pfeil","given":"Veronika"},{"family":"Süle","given":"Miklós"},{"family":"Grosz","given":"György"},{"family":"Wittmann","given":"István"},{"family":"Kun","given":"Szilárd"}],"issued":{"date-parts":[["2025",2,28]]}}}],"schema":"https://github.com/citation-style-language/schema/raw/master/csl-citation.json"} </w:instrText>
      </w:r>
      <w:r w:rsidR="000A3992">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[27]</w:t>
      </w:r>
      <w:r w:rsidR="000A3992">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where the choice of agent was determined by the treating clinical team</w:t>
      </w:r>
      <w:r w:rsidR="005F0C1A">
        <w:rPr>
          <w:rFonts w:asciiTheme="majorBidi" w:eastAsia="Times New Roman" w:hAnsiTheme="majorBidi" w:cstheme="majorBidi"/>
          <w:lang w:val="en-US"/>
        </w:rPr>
        <w:t>.</w:t>
      </w:r>
      <w:r w:rsidRPr="007B5804">
        <w:rPr>
          <w:rFonts w:asciiTheme="majorBidi" w:eastAsia="Times New Roman" w:hAnsiTheme="majorBidi" w:cstheme="majorBidi"/>
          <w:lang w:val="en-US"/>
        </w:rPr>
        <w:t>.</w:t>
      </w:r>
    </w:p>
    <w:p w14:paraId="5A8CB29A" w14:textId="7386A8AA" w:rsidR="007B5804" w:rsidRPr="007B5804" w:rsidRDefault="007B5804" w:rsidP="00EE5ADB">
      <w:pPr>
        <w:spacing w:after="240" w:line="360" w:lineRule="auto"/>
        <w:jc w:val="both"/>
        <w:rPr>
          <w:rFonts w:asciiTheme="majorBidi" w:eastAsia="Times New Roman" w:hAnsiTheme="majorBidi" w:cstheme="majorBidi"/>
          <w:lang w:val="en-US"/>
        </w:rPr>
      </w:pPr>
      <w:r w:rsidRPr="007B5804">
        <w:rPr>
          <w:rFonts w:asciiTheme="majorBidi" w:eastAsia="Times New Roman" w:hAnsiTheme="majorBidi" w:cstheme="majorBidi"/>
          <w:lang w:val="en-US"/>
        </w:rPr>
        <w:t xml:space="preserve">Follow-up duration varied considerably across included studies, ranging from four weeks in </w:t>
      </w:r>
      <w:proofErr w:type="spellStart"/>
      <w:r w:rsidRPr="007B5804">
        <w:rPr>
          <w:rFonts w:asciiTheme="majorBidi" w:eastAsia="Times New Roman" w:hAnsiTheme="majorBidi" w:cstheme="majorBidi"/>
          <w:lang w:val="en-US"/>
        </w:rPr>
        <w:t>Klabuzai</w:t>
      </w:r>
      <w:proofErr w:type="spellEnd"/>
      <w:r w:rsidRPr="007B5804">
        <w:rPr>
          <w:rFonts w:asciiTheme="majorBidi" w:eastAsia="Times New Roman" w:hAnsiTheme="majorBidi" w:cstheme="majorBidi"/>
          <w:lang w:val="en-US"/>
        </w:rPr>
        <w:t xml:space="preserve"> et al.</w:t>
      </w:r>
      <w:r w:rsidR="00820E86">
        <w:rPr>
          <w:rFonts w:asciiTheme="majorBidi" w:eastAsia="Times New Roman" w:hAnsiTheme="majorBidi" w:cstheme="majorBidi"/>
          <w:lang w:val="en-US"/>
        </w:rPr>
        <w:t xml:space="preserve"> </w:t>
      </w:r>
      <w:r w:rsidR="00820E8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GZO2SzXg","properties":{"unsorted":false,"formattedCitation":"[27]","plainCitation":"[27]","noteIndex":0},"citationItems":[{"id":"g6iDE82k/JdrpB4DC","uris":["http://zotero.org/users/19709799/items/LNHXRLVE"],"itemData":{"id":"JbUMJjXw/9OuJhd84","type":"article-journal","container-title":"Antioxidants","DOI":"10.3390/antiox14030289","ISSN":"2076-3921","issue":"3","journalAbbreviation":"Antioxidants","language":"en","page":"289","source":"DOI.org (Crossref)","title":"The Impact of SGLT-2 Inhibitors on Hydroxyl Radical Markers and Diabetic Neuropathy: A Short-Term Clinical Study","title-short":"The Impact of SGLT-2 Inhibitors on Hydroxyl Radical Markers and Diabetic Neuropathy","volume":"14","author":[{"family":"Klabuzai","given":"Ágnes"},{"family":"Bekő","given":"Viktória"},{"family":"Sütő","given":"Zsófia"},{"family":"Horváth","given":"Marcell"},{"family":"Wágner","given":"Zoltán"},{"family":"Vágási","given":"Katalin"},{"family":"Pfeil","given":"Veronika"},{"family":"Süle","given":"Miklós"},{"family":"Grosz","given":"György"},{"family":"Wittmann","given":"István"},{"family":"Kun","given":"Szilárd"}],"issued":{"date-parts":[["2025",2,28]]}}}],"schema":"https://github.com/citation-style-language/schema/raw/master/csl-citation.json"} </w:instrText>
      </w:r>
      <w:r w:rsidR="00820E8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[27]</w:t>
      </w:r>
      <w:r w:rsidR="00820E86">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xml:space="preserve"> to three years in Ishibashi et al.</w:t>
      </w:r>
      <w:r w:rsidR="00820E86">
        <w:rPr>
          <w:rFonts w:asciiTheme="majorBidi" w:eastAsia="Times New Roman" w:hAnsiTheme="majorBidi" w:cstheme="majorBidi"/>
          <w:lang w:val="en-US"/>
        </w:rPr>
        <w:t xml:space="preserve"> </w:t>
      </w:r>
      <w:r w:rsidR="00820E8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{"citationID":"BUkqk9yc","properties":{"unsorted":false,"formattedCitation":"[26]","plainCitation":"[26]","noteIndex":0},"citationItems":[{"id":108,"uris":["http://zotero.org/groups/6437514/items/MHNR4PT3"],"itemData":{"id":108,"type":"article-journal","abstract":"Aims\n              \n                This three-year follow-up study aimed to elucidate whether sodium-glucose cotransporter-2 inhibitors (SGLT2is) have any protection against diabetic neuropathy and nephropathy in patients with type 2 diabetes\n                via\n                reducing variability in glycemia and extraglycemic factors or their averages.\n              \n            \n            \n              Methods\n              Two type 2 diabetic cohorts of 40 and 73 patients treated with or without SGLT2i along with 60 control subjects were recruited. Two diabetic cohorts matched for HbA1c levels and oral hypoglycemic agents other than SGLT2is underwent glycemic control with or without SGLT2is more than two years. The urinary albumin to creatinine ratio (ACR), estimated glomerular filtration rate (eGFR) every 3 months and neuropathy outcome measures and mean Z-score of 8 neurophysiological tests were determined at the baseline and endpoint. Glycemic variability, evaluated by the coefficient of variation of monthly measured HbA1c levels and casual postprandial plasma glucose (CPPG), and coefficient of variation and average of extraglycemic parameters in diabetic cohorts were determined.\n            \n            \n              Results\n              The glycemic variability and variability of some extraglycemic factors in SGLT2i cohort were smaller than those in non-SGLT2i cohort. However, only smaller coefficient of variation of HbA1c improved some neuropathy outcome measures, and ameliorated eGFR decline. SGLT2i improved the Z-score of neurophysiological tests. The optimized changes in the blood pressure, HDL-cholesterol and uric acid by SGLT2i led to neurological and renal protection. SGLT2i decreased the prevalence of nephropathy significantly and the prevalence of neuropathy insignificantly.\n            \n            \n              Conclusion\n              Over 3 years period, SGLT2i significantly improved some neuropathy outcome measures, mean Z-score of 8 neurophysiological tests, and attenuated nephropathy in modestly controlled type 2 diabetes by reducing glycemic variability and mean nonglycemic factors of diabetic microvascular complication.","container-title":"Frontiers in Endocrinology","DOI":"10.3389/fendo.2022.864332","ISSN":"1664-2392","journalAbbreviation":"Front. Endocrinol.","page":"864332","source":"DOI.org (Crossref)","title":"Sodium Glucose Cotransporter-2 Inhibitor Protects Against Diabetic Neuropathy and Nephropathy in Modestly Controlled Type 2 Diabetes: Follow-Up Study","title-short":"Sodium Glucose Cotransporter-2 Inhibitor Protects Against Diabetic Neuropathy and Nephropathy in Modestly Controlled Type 2 Diabetes","volume":"13","author":[{"family":"Ishibashi","given":"Fukashi"},{"family":"Kosaka","given":"Aiko"},{"family":"Tavakoli","given":"Mitra"}],"issued":{"date-parts":[["2022",6,17]]}}}],"schema":"https://github.com/citation-style-language/schema/raw/master/csl-citation.json"} </w:instrText>
      </w:r>
      <w:r w:rsidR="00820E8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[26]</w:t>
      </w:r>
      <w:r w:rsidR="00820E86">
        <w:rPr>
          <w:rFonts w:asciiTheme="majorBidi" w:eastAsia="Times New Roman" w:hAnsiTheme="majorBidi" w:cstheme="majorBidi"/>
          <w:lang w:val="en-US"/>
        </w:rPr>
        <w:fldChar w:fldCharType="end"/>
      </w:r>
      <w:r w:rsidR="005F0C1A">
        <w:rPr>
          <w:rFonts w:asciiTheme="majorBidi" w:eastAsia="Times New Roman" w:hAnsiTheme="majorBidi" w:cstheme="majorBidi"/>
          <w:lang w:val="en-US"/>
        </w:rPr>
        <w:t xml:space="preserve">, </w:t>
      </w:r>
      <w:r w:rsidRPr="007B5804">
        <w:rPr>
          <w:rFonts w:asciiTheme="majorBidi" w:eastAsia="Times New Roman" w:hAnsiTheme="majorBidi" w:cstheme="majorBidi"/>
          <w:lang w:val="en-US"/>
        </w:rPr>
        <w:t xml:space="preserve">with the remaining studies reporting follow-up periods </w:t>
      </w:r>
      <w:r w:rsidRPr="007B5804">
        <w:rPr>
          <w:rFonts w:asciiTheme="majorBidi" w:eastAsia="Times New Roman" w:hAnsiTheme="majorBidi" w:cstheme="majorBidi"/>
          <w:lang w:val="en-US"/>
        </w:rPr>
        <w:lastRenderedPageBreak/>
        <w:t>of three months (El-Haggar et al.</w:t>
      </w:r>
      <w:r w:rsidR="00BC298C">
        <w:rPr>
          <w:rFonts w:asciiTheme="majorBidi" w:eastAsia="Times New Roman" w:hAnsiTheme="majorBidi" w:cstheme="majorBidi"/>
          <w:lang w:val="en-US"/>
        </w:rPr>
        <w:t xml:space="preserve"> </w:t>
      </w:r>
      <w:r w:rsidR="00BC298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IlEKRYIO","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BC298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BC298C">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approximately six months (Mehta et al.</w:t>
      </w:r>
      <w:r w:rsidR="00BC298C">
        <w:rPr>
          <w:rFonts w:asciiTheme="majorBidi" w:eastAsia="Times New Roman" w:hAnsiTheme="majorBidi" w:cstheme="majorBidi"/>
          <w:lang w:val="en-US"/>
        </w:rPr>
        <w:t xml:space="preserve"> </w:t>
      </w:r>
      <w:r w:rsidR="00BC298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R8Ig0E5C","properties":{"unsorted":false,"formattedCitation":"[24]","plainCitation":"[24]","noteIndex":0},"citationItems":[{"id":"g6iDE82k/3HuQ46Dp","uris":["http://zotero.org/users/19709799/items/AALKKIVG"],"itemData":{"id":"JbUMJjXw/8mR0vTnE","type":"article-journal","container-title":"Cureus","DOI":"10.7759/cureus.20208","ISSN":"2168-8184","language":"en","source":"DOI.org (Crossref)","title":"Effectiveness of Empagliflozin With Vitamin D Supplementation in Peripheral Neuropathy in Type 2 Diabetic Patients","URL":"https://www.cureus.com/articles/78182-effectiveness-of-empagliflozin-with-vitamin-d-supplementation-in-peripheral-neuropathy-in-type-2-diabetic-patients","author":[{"family":"Mehta","given":"Sanjana"},{"family":"Nain","given":"Parminder"},{"family":"Agrawal","given":"Bimal K"},{"family":"Singh","given":"Rajinder P"},{"family":"Kaur","given":"Jaspreet"},{"family":"Maity","given":"Sabyasachi"},{"family":"Bhattarcharjee","given":"Aniruddha"},{"family":"Peela","given":"Jagannadha"},{"family":"Nauhria","given":"Shreya"},{"family":"Nauhria","given":"Samal"}],"accessed":{"date-parts":[["2026",2,23]]},"issued":{"date-parts":[["2021",12,6]]}}}],"schema":"https://github.com/citation-style-language/schema/raw/master/csl-citation.json"} </w:instrText>
      </w:r>
      <w:r w:rsidR="00BC298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[24]</w:t>
      </w:r>
      <w:r w:rsidR="00BC298C">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Adhikari et al.</w:t>
      </w:r>
      <w:r w:rsidR="00BC298C">
        <w:rPr>
          <w:rFonts w:asciiTheme="majorBidi" w:eastAsia="Times New Roman" w:hAnsiTheme="majorBidi" w:cstheme="majorBidi"/>
          <w:lang w:val="en-US"/>
        </w:rPr>
        <w:t xml:space="preserve"> </w:t>
      </w:r>
      <w:r w:rsidR="00BC298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7y0OPDNP","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BC298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[25]</w:t>
      </w:r>
      <w:r w:rsidR="00BC298C">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approximately 2.62 years (Liao et al.</w:t>
      </w:r>
      <w:r w:rsidR="00820E86">
        <w:rPr>
          <w:rFonts w:asciiTheme="majorBidi" w:eastAsia="Times New Roman" w:hAnsiTheme="majorBidi" w:cstheme="majorBidi"/>
          <w:lang w:val="en-US"/>
        </w:rPr>
        <w:t xml:space="preserve"> </w:t>
      </w:r>
      <w:r w:rsidR="00820E8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NGH2LwPb","properties":{"unsorted":false,"formattedCitation":"[23]","plainCitation":"[23]","noteIndex":0},"citationItems":[{"id":"g6iDE82k/ceewgwi1","uris":["http://zotero.org/users/19709799/items/NQ3358CH"],"itemData":{"id":"JbUMJjXw/9bk55yIl","type":"article-journal","container-title":"Diabetes &amp; Metabolism","DOI":"10.1016/j.diabet.2022.101331","ISSN":"12623636","issue":"4","journalAbbreviation":"Diabetes &amp; Metabolism","language":"en","page":"101331","source":"DOI.org (Crossref)","title":"The impact of canagliflozin on the risk of neuropathy events: A post-hoc exploratory analysis of the CREDENCE trial","title-short":"The impact of canagliflozin on the risk of neuropathy events","volume":"48","author":[{"family":"Liao","given":"Jinlan"},{"family":"Kang","given":"Amy"},{"family":"Xia","given":"Chao"},{"family":"Young","given":"Tamara"},{"family":"Di Tanna","given":"Gian Luca"},{"family":"Arnott","given":"Clare"},{"family":"Pollock","given":"Carol"},{"family":"Krishnan","given":"Arun V."},{"family":"Agarwal","given":"Rajiv"},{"family":"Bakris","given":"George"},{"family":"Charytan","given":"David M."},{"family":"De Zeeuw","given":"Dick"},{"family":"Heerspink","given":"Hiddo J.L."},{"family":"Levin","given":"Adeera"},{"family":"Neal","given":"Bruce"},{"family":"Wheeler","given":"David C."},{"family":"Zhang","given":"Hong"},{"family":"Zinman","given":"Bernard"},{"family":"Mahaffey","given":"Kenneth W."},{"family":"Perkovic","given":"Vlado"},{"family":"Jardine","given":"Meg J"},{"family":"Smyth","given":"Brendan"}],"issued":{"date-parts":[["2022",7]]}}}],"schema":"https://github.com/citation-style-language/schema/raw/master/csl-citation.json"} </w:instrText>
      </w:r>
      <w:r w:rsidR="00820E8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[23]</w:t>
      </w:r>
      <w:r w:rsidR="00820E86">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and 20 weeks (</w:t>
      </w:r>
      <w:proofErr w:type="spellStart"/>
      <w:r w:rsidRPr="007B5804">
        <w:rPr>
          <w:rFonts w:asciiTheme="majorBidi" w:eastAsia="Times New Roman" w:hAnsiTheme="majorBidi" w:cstheme="majorBidi"/>
          <w:lang w:val="en-US"/>
        </w:rPr>
        <w:t>Vafaeinasab</w:t>
      </w:r>
      <w:proofErr w:type="spellEnd"/>
      <w:r w:rsidRPr="007B5804">
        <w:rPr>
          <w:rFonts w:asciiTheme="majorBidi" w:eastAsia="Times New Roman" w:hAnsiTheme="majorBidi" w:cstheme="majorBidi"/>
          <w:lang w:val="en-US"/>
        </w:rPr>
        <w:t xml:space="preserve"> et al.</w:t>
      </w:r>
      <w:r w:rsidR="00820E86">
        <w:rPr>
          <w:rFonts w:asciiTheme="majorBidi" w:eastAsia="Times New Roman" w:hAnsiTheme="majorBidi" w:cstheme="majorBidi"/>
          <w:lang w:val="en-US"/>
        </w:rPr>
        <w:t xml:space="preserve"> </w:t>
      </w:r>
      <w:r w:rsidR="00820E8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enVa7dB2","properties":{"unsorted":false,"formattedCitation":"[28]","plainCitation":"[28]","noteIndex":0},"citationItems":[{"id":"g6iDE82k/l0R4jyDB","uris":["http://zotero.org/users/19709799/items/R4ADPE66"],"itemData":{"id":"JbUMJjXw/BQQKuHa2","type":"article-journal","container-title":"Endocrinology, Diabetes &amp; Metabolism","DOI":"10.1002/edm2.70128","ISSN":"2398-9238, 2398-9238","issue":"6","journalAbbreviation":"Endocrino Diabet &amp;amp; Metabol","language":"en","page":"e70128","source":"DOI.org (Crossref)","title":"The Comparison of the Effect of Adding Empagliflozin to the Medication Regimen on Peripheral Neuropathy in Patients With Type &lt;span style=\"font-variant:small-caps;\"&gt;II&lt;/span&gt; Diabetes: A Double Blind Randomised Clinical Trial","title-short":"The Comparison of the Effect of Adding Empagliflozin to the Medication Regimen on Peripheral Neuropathy in Patients With Type &lt;span style=\"font-variant","volume":"8","author":[{"family":"Vafaeinasab","given":"Mohammadreza"},{"family":"Mirzaei Malekabad","given":"Fatemeh"},{"family":"Khatibi","given":"Amidodin"},{"family":"Ghadiri‐Anari","given":"Akram"},{"family":"Zare Bidaki","given":"Marzieh"},{"family":"Azizi","given":"Raihane"}],"issued":{"date-parts":[["2025",11]]}}}],"schema":"https://github.com/citation-style-language/schema/raw/master/csl-citation.json"} </w:instrText>
      </w:r>
      <w:r w:rsidR="00820E8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[28]</w:t>
      </w:r>
      <w:r w:rsidR="00820E86">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w:t>
      </w:r>
    </w:p>
    <w:p w14:paraId="1FB405C7" w14:textId="48C55ECF" w:rsidR="005F0C1A" w:rsidRDefault="007B5804" w:rsidP="00EE5ADB">
      <w:pPr>
        <w:spacing w:after="240" w:line="360" w:lineRule="auto"/>
        <w:jc w:val="both"/>
        <w:rPr>
          <w:rFonts w:asciiTheme="majorBidi" w:eastAsia="Times New Roman" w:hAnsiTheme="majorBidi" w:cstheme="majorBidi"/>
          <w:lang w:val="en-US"/>
        </w:rPr>
      </w:pPr>
      <w:r w:rsidRPr="007B5804">
        <w:rPr>
          <w:rFonts w:asciiTheme="majorBidi" w:eastAsia="Times New Roman" w:hAnsiTheme="majorBidi" w:cstheme="majorBidi"/>
          <w:lang w:val="en-US"/>
        </w:rPr>
        <w:t xml:space="preserve">Mean participant age was broadly comparable across studies, ranging from 49.5 years in the intervention arm of Adhikari et al. to 63.0 years overall in Liao et al. Baseline </w:t>
      </w:r>
      <w:proofErr w:type="spellStart"/>
      <w:r w:rsidRPr="007B5804">
        <w:rPr>
          <w:rFonts w:asciiTheme="majorBidi" w:eastAsia="Times New Roman" w:hAnsiTheme="majorBidi" w:cstheme="majorBidi"/>
          <w:lang w:val="en-US"/>
        </w:rPr>
        <w:t>glycaemic</w:t>
      </w:r>
      <w:proofErr w:type="spellEnd"/>
      <w:r w:rsidRPr="007B5804">
        <w:rPr>
          <w:rFonts w:asciiTheme="majorBidi" w:eastAsia="Times New Roman" w:hAnsiTheme="majorBidi" w:cstheme="majorBidi"/>
          <w:lang w:val="en-US"/>
        </w:rPr>
        <w:t xml:space="preserve"> control, as reflected by HbA1c, varied meaningfully across the evidence base. Mehta et al. enrolled patients with markedly elevated HbA1c values of approximately 14% in both groups </w:t>
      </w:r>
      <w:r w:rsidR="0080314D">
        <w:rPr>
          <w:rFonts w:asciiTheme="majorBidi" w:eastAsia="Times New Roman" w:hAnsiTheme="majorBidi" w:cstheme="majorBidi"/>
          <w:lang w:val="en-US"/>
        </w:rPr>
        <w:t>which was</w:t>
      </w:r>
      <w:r w:rsidRPr="007B5804">
        <w:rPr>
          <w:rFonts w:asciiTheme="majorBidi" w:eastAsia="Times New Roman" w:hAnsiTheme="majorBidi" w:cstheme="majorBidi"/>
          <w:lang w:val="en-US"/>
        </w:rPr>
        <w:t xml:space="preserve"> substantially higher than all other studies and indicative of severely uncontrolled diabetes </w:t>
      </w:r>
      <w:r w:rsidR="0080314D">
        <w:rPr>
          <w:rFonts w:asciiTheme="majorBidi" w:eastAsia="Times New Roman" w:hAnsiTheme="majorBidi" w:cstheme="majorBidi"/>
          <w:lang w:val="en-US"/>
        </w:rPr>
        <w:t xml:space="preserve">and as a result </w:t>
      </w:r>
      <w:r w:rsidRPr="007B5804">
        <w:rPr>
          <w:rFonts w:asciiTheme="majorBidi" w:eastAsia="Times New Roman" w:hAnsiTheme="majorBidi" w:cstheme="majorBidi"/>
          <w:lang w:val="en-US"/>
        </w:rPr>
        <w:t xml:space="preserve">limits the comparability of this study's population with the remaining evidence. The other RCTs reported mean baseline HbA1c values ranging from 7.30 ± 0.35% in the control group of </w:t>
      </w:r>
      <w:proofErr w:type="spellStart"/>
      <w:r w:rsidRPr="007B5804">
        <w:rPr>
          <w:rFonts w:asciiTheme="majorBidi" w:eastAsia="Times New Roman" w:hAnsiTheme="majorBidi" w:cstheme="majorBidi"/>
          <w:lang w:val="en-US"/>
        </w:rPr>
        <w:t>Vafaeinasab</w:t>
      </w:r>
      <w:proofErr w:type="spellEnd"/>
      <w:r w:rsidRPr="007B5804">
        <w:rPr>
          <w:rFonts w:asciiTheme="majorBidi" w:eastAsia="Times New Roman" w:hAnsiTheme="majorBidi" w:cstheme="majorBidi"/>
          <w:lang w:val="en-US"/>
        </w:rPr>
        <w:t xml:space="preserve"> et al.</w:t>
      </w:r>
      <w:r w:rsidR="00820E86">
        <w:rPr>
          <w:rFonts w:asciiTheme="majorBidi" w:eastAsia="Times New Roman" w:hAnsiTheme="majorBidi" w:cstheme="majorBidi"/>
          <w:lang w:val="en-US"/>
        </w:rPr>
        <w:t xml:space="preserve"> </w:t>
      </w:r>
      <w:r w:rsidR="00820E8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jFHo7aEp","properties":{"unsorted":false,"formattedCitation":"[28]","plainCitation":"[28]","noteIndex":0},"citationItems":[{"id":"g6iDE82k/l0R4jyDB","uris":["http://zotero.org/users/19709799/items/R4ADPE66"],"itemData":{"id":"JbUMJjXw/BQQKuHa2","type":"article-journal","container-title":"Endocrinology, Diabetes &amp; Metabolism","DOI":"10.1002/edm2.70128","ISSN":"2398-9238, 2398-9238","issue":"6","journalAbbreviation":"Endocrino Diabet &amp;amp; Metabol","language":"en","page":"e70128","source":"DOI.org (Crossref)","title":"The Comparison of the Effect of Adding Empagliflozin to the Medication Regimen on Peripheral Neuropathy in Patients With Type &lt;span style=\"font-variant:small-caps;\"&gt;II&lt;/span&gt; Diabetes: A Double Blind Randomised Clinical Trial","title-short":"The Comparison of the Effect of Adding Empagliflozin to the Medication Regimen on Peripheral Neuropathy in Patients With Type &lt;span style=\"font-variant","volume":"8","author":[{"family":"Vafaeinasab","given":"Mohammadreza"},{"family":"Mirzaei Malekabad","given":"Fatemeh"},{"family":"Khatibi","given":"Amidodin"},{"family":"Ghadiri‐Anari","given":"Akram"},{"family":"Zare Bidaki","given":"Marzieh"},{"family":"Azizi","given":"Raihane"}],"issued":{"date-parts":[["2025",11]]}}}],"schema":"https://github.com/citation-style-language/schema/raw/master/csl-citation.json"} </w:instrText>
      </w:r>
      <w:r w:rsidR="00820E8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[28]</w:t>
      </w:r>
      <w:r w:rsidR="00820E86">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xml:space="preserve"> to 8.3 ± 1.3% overall in Liao et al.</w:t>
      </w:r>
      <w:r w:rsidR="00820E86">
        <w:rPr>
          <w:rFonts w:asciiTheme="majorBidi" w:eastAsia="Times New Roman" w:hAnsiTheme="majorBidi" w:cstheme="majorBidi"/>
          <w:lang w:val="en-US"/>
        </w:rPr>
        <w:t xml:space="preserve"> </w:t>
      </w:r>
      <w:r w:rsidR="00820E8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vKk4X7A6","properties":{"unsorted":false,"formattedCitation":"[23]","plainCitation":"[23]","noteIndex":0},"citationItems":[{"id":"g6iDE82k/ceewgwi1","uris":["http://zotero.org/users/19709799/items/NQ3358CH"],"itemData":{"id":"JbUMJjXw/9bk55yIl","type":"article-journal","container-title":"Diabetes &amp; Metabolism","DOI":"10.1016/j.diabet.2022.101331","ISSN":"12623636","issue":"4","journalAbbreviation":"Diabetes &amp; Metabolism","language":"en","page":"101331","source":"DOI.org (Crossref)","title":"The impact of canagliflozin on the risk of neuropathy events: A post-hoc exploratory analysis of the CREDENCE trial","title-short":"The impact of canagliflozin on the risk of neuropathy events","volume":"48","author":[{"family":"Liao","given":"Jinlan"},{"family":"Kang","given":"Amy"},{"family":"Xia","given":"Chao"},{"family":"Young","given":"Tamara"},{"family":"Di Tanna","given":"Gian Luca"},{"family":"Arnott","given":"Clare"},{"family":"Pollock","given":"Carol"},{"family":"Krishnan","given":"Arun V."},{"family":"Agarwal","given":"Rajiv"},{"family":"Bakris","given":"George"},{"family":"Charytan","given":"David M."},{"family":"De Zeeuw","given":"Dick"},{"family":"Heerspink","given":"Hiddo J.L."},{"family":"Levin","given":"Adeera"},{"family":"Neal","given":"Bruce"},{"family":"Wheeler","given":"David C."},{"family":"Zhang","given":"Hong"},{"family":"Zinman","given":"Bernard"},{"family":"Mahaffey","given":"Kenneth W."},{"family":"Perkovic","given":"Vlado"},{"family":"Jardine","given":"Meg J"},{"family":"Smyth","given":"Brendan"}],"issued":{"date-parts":[["2022",7]]}}}],"schema":"https://github.com/citation-style-language/schema/raw/master/csl-citation.json"} </w:instrText>
      </w:r>
      <w:r w:rsidR="00820E8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[23]</w:t>
      </w:r>
      <w:r w:rsidR="00820E86">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xml:space="preserve">, reflecting populations with more modest </w:t>
      </w:r>
      <w:proofErr w:type="spellStart"/>
      <w:r w:rsidRPr="007B5804">
        <w:rPr>
          <w:rFonts w:asciiTheme="majorBidi" w:eastAsia="Times New Roman" w:hAnsiTheme="majorBidi" w:cstheme="majorBidi"/>
          <w:lang w:val="en-US"/>
        </w:rPr>
        <w:t>glycaemic</w:t>
      </w:r>
      <w:proofErr w:type="spellEnd"/>
      <w:r w:rsidRPr="007B5804">
        <w:rPr>
          <w:rFonts w:asciiTheme="majorBidi" w:eastAsia="Times New Roman" w:hAnsiTheme="majorBidi" w:cstheme="majorBidi"/>
          <w:lang w:val="en-US"/>
        </w:rPr>
        <w:t xml:space="preserve"> dysregulation. HbA1c was not reported in </w:t>
      </w:r>
      <w:proofErr w:type="spellStart"/>
      <w:r w:rsidRPr="007B5804">
        <w:rPr>
          <w:rFonts w:asciiTheme="majorBidi" w:eastAsia="Times New Roman" w:hAnsiTheme="majorBidi" w:cstheme="majorBidi"/>
          <w:lang w:val="en-US"/>
        </w:rPr>
        <w:t>Klabuzai</w:t>
      </w:r>
      <w:proofErr w:type="spellEnd"/>
      <w:r w:rsidRPr="007B5804">
        <w:rPr>
          <w:rFonts w:asciiTheme="majorBidi" w:eastAsia="Times New Roman" w:hAnsiTheme="majorBidi" w:cstheme="majorBidi"/>
          <w:lang w:val="en-US"/>
        </w:rPr>
        <w:t xml:space="preserve"> et al</w:t>
      </w:r>
      <w:r w:rsidR="00820E86">
        <w:rPr>
          <w:rFonts w:asciiTheme="majorBidi" w:eastAsia="Times New Roman" w:hAnsiTheme="majorBidi" w:cstheme="majorBidi"/>
          <w:lang w:val="en-US"/>
        </w:rPr>
        <w:t xml:space="preserve"> </w:t>
      </w:r>
      <w:r w:rsidR="00820E8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f3m5TvTF","properties":{"unsorted":false,"formattedCitation":"[27]","plainCitation":"[27]","noteIndex":0},"citationItems":[{"id":"g6iDE82k/JdrpB4DC","uris":["http://zotero.org/users/19709799/items/LNHXRLVE"],"itemData":{"id":"JbUMJjXw/9OuJhd84","type":"article-journal","container-title":"Antioxidants","DOI":"10.3390/antiox14030289","ISSN":"2076-3921","issue":"3","journalAbbreviation":"Antioxidants","language":"en","page":"289","source":"DOI.org (Crossref)","title":"The Impact of SGLT-2 Inhibitors on Hydroxyl Radical Markers and Diabetic Neuropathy: A Short-Term Clinical Study","title-short":"The Impact of SGLT-2 Inhibitors on Hydroxyl Radical Markers and Diabetic Neuropathy","volume":"14","author":[{"family":"Klabuzai","given":"Ágnes"},{"family":"Bekő","given":"Viktória"},{"family":"Sütő","given":"Zsófia"},{"family":"Horváth","given":"Marcell"},{"family":"Wágner","given":"Zoltán"},{"family":"Vágási","given":"Katalin"},{"family":"Pfeil","given":"Veronika"},{"family":"Süle","given":"Miklós"},{"family":"Grosz","given":"György"},{"family":"Wittmann","given":"István"},{"family":"Kun","given":"Szilárd"}],"issued":{"date-parts":[["2025",2,28]]}}}],"schema":"https://github.com/citation-style-language/schema/raw/master/csl-citation.json"} </w:instrText>
      </w:r>
      <w:r w:rsidR="00820E8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[27]</w:t>
      </w:r>
      <w:r w:rsidR="00820E86">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xml:space="preserve">. </w:t>
      </w:r>
    </w:p>
    <w:p w14:paraId="7B9CC96C" w14:textId="0C83CC06" w:rsidR="007B5804" w:rsidRPr="007B5804" w:rsidRDefault="007B5804" w:rsidP="00EE5ADB">
      <w:pPr>
        <w:spacing w:after="240" w:line="360" w:lineRule="auto"/>
        <w:jc w:val="both"/>
        <w:rPr>
          <w:rFonts w:asciiTheme="majorBidi" w:eastAsia="Times New Roman" w:hAnsiTheme="majorBidi" w:cstheme="majorBidi"/>
          <w:lang w:val="en-US"/>
        </w:rPr>
      </w:pPr>
      <w:r w:rsidRPr="007B5804">
        <w:rPr>
          <w:rFonts w:asciiTheme="majorBidi" w:eastAsia="Times New Roman" w:hAnsiTheme="majorBidi" w:cstheme="majorBidi"/>
          <w:lang w:val="en-US"/>
        </w:rPr>
        <w:t>Mean BMI was broadly comparable across most studies, ranging from 25.22 ± 1.62 kg/m² to 32.6 ± 4.45 kg/m²; however, a clinically notable imbalance was observed in Ishibashi et al.</w:t>
      </w:r>
      <w:r w:rsidR="00BE5646">
        <w:rPr>
          <w:rFonts w:asciiTheme="majorBidi" w:eastAsia="Times New Roman" w:hAnsiTheme="majorBidi" w:cstheme="majorBidi"/>
          <w:lang w:val="en-US"/>
        </w:rPr>
        <w:t xml:space="preserve"> </w:t>
      </w:r>
      <w:r w:rsidR="00BE564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{"citationID":"DuDlxCjY","properties":{"unsorted":false,"formattedCitation":"[26]","plainCitation":"[26]","noteIndex":0},"citationItems":[{"id":108,"uris":["http://zotero.org/groups/6437514/items/MHNR4PT3"],"itemData":{"id":108,"type":"article-journal","abstract":"Aims\n              \n                This three-year follow-up study aimed to elucidate whether sodium-glucose cotransporter-2 inhibitors (SGLT2is) have any protection against diabetic neuropathy and nephropathy in patients with type 2 diabetes\n                via\n                reducing variability in glycemia and extraglycemic factors or their averages.\n              \n            \n            \n              Methods\n              Two type 2 diabetic cohorts of 40 and 73 patients treated with or without SGLT2i along with 60 control subjects were recruited. Two diabetic cohorts matched for HbA1c levels and oral hypoglycemic agents other than SGLT2is underwent glycemic control with or without SGLT2is more than two years. The urinary albumin to creatinine ratio (ACR), estimated glomerular filtration rate (eGFR) every 3 months and neuropathy outcome measures and mean Z-score of 8 neurophysiological tests were determined at the baseline and endpoint. Glycemic variability, evaluated by the coefficient of variation of monthly measured HbA1c levels and casual postprandial plasma glucose (CPPG), and coefficient of variation and average of extraglycemic parameters in diabetic cohorts were determined.\n            \n            \n              Results\n              The glycemic variability and variability of some extraglycemic factors in SGLT2i cohort were smaller than those in non-SGLT2i cohort. However, only smaller coefficient of variation of HbA1c improved some neuropathy outcome measures, and ameliorated eGFR decline. SGLT2i improved the Z-score of neurophysiological tests. The optimized changes in the blood pressure, HDL-cholesterol and uric acid by SGLT2i led to neurological and renal protection. SGLT2i decreased the prevalence of nephropathy significantly and the prevalence of neuropathy insignificantly.\n            \n            \n              Conclusion\n              Over 3 years period, SGLT2i significantly improved some neuropathy outcome measures, mean Z-score of 8 neurophysiological tests, and attenuated nephropathy in modestly controlled type 2 diabetes by reducing glycemic variability and mean nonglycemic factors of diabetic microvascular complication.","container-title":"Frontiers in Endocrinology","DOI":"10.3389/fendo.2022.864332","ISSN":"1664-2392","journalAbbreviation":"Front. Endocrinol.","page":"864332","source":"DOI.org (Crossref)","title":"Sodium Glucose Cotransporter-2 Inhibitor Protects Against Diabetic Neuropathy and Nephropathy in Modestly Controlled Type 2 Diabetes: Follow-Up Study","title-short":"Sodium Glucose Cotransporter-2 Inhibitor Protects Against Diabetic Neuropathy and Nephropathy in Modestly Controlled Type 2 Diabetes","volume":"13","author":[{"family":"Ishibashi","given":"Fukashi"},{"family":"Kosaka","given":"Aiko"},{"family":"Tavakoli","given":"Mitra"}],"issued":{"date-parts":[["2022",6,17]]}}}],"schema":"https://github.com/citation-style-language/schema/raw/master/csl-citation.json"} </w:instrText>
      </w:r>
      <w:r w:rsidR="00BE564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[26]</w:t>
      </w:r>
      <w:r w:rsidR="00BE5646">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where the SGLT2i group had a substantially higher mean BMI compared to the non-treated diabetic group (30.1 ± 0.72 vs 24.8 ± 0.43 kg/m²), representing a potential source of confounding in this observational study given the established relationship between adiposity, nerve compression, and neuropathy severity. Gender distribution was not reported separately by group in El-Haggar et al.</w:t>
      </w:r>
      <w:r w:rsidR="00BE5646">
        <w:rPr>
          <w:rFonts w:asciiTheme="majorBidi" w:eastAsia="Times New Roman" w:hAnsiTheme="majorBidi" w:cstheme="majorBidi"/>
          <w:lang w:val="en-US"/>
        </w:rPr>
        <w:t xml:space="preserve"> </w:t>
      </w:r>
      <w:r w:rsidR="00BE564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M7pkPr1R","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BE564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BE5646">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xml:space="preserve"> or </w:t>
      </w:r>
      <w:proofErr w:type="spellStart"/>
      <w:r w:rsidRPr="007B5804">
        <w:rPr>
          <w:rFonts w:asciiTheme="majorBidi" w:eastAsia="Times New Roman" w:hAnsiTheme="majorBidi" w:cstheme="majorBidi"/>
          <w:lang w:val="en-US"/>
        </w:rPr>
        <w:t>Vafaeinasab</w:t>
      </w:r>
      <w:proofErr w:type="spellEnd"/>
      <w:r w:rsidRPr="007B5804">
        <w:rPr>
          <w:rFonts w:asciiTheme="majorBidi" w:eastAsia="Times New Roman" w:hAnsiTheme="majorBidi" w:cstheme="majorBidi"/>
          <w:lang w:val="en-US"/>
        </w:rPr>
        <w:t xml:space="preserve"> et al.</w:t>
      </w:r>
      <w:r w:rsidR="00BE5646">
        <w:rPr>
          <w:rFonts w:asciiTheme="majorBidi" w:eastAsia="Times New Roman" w:hAnsiTheme="majorBidi" w:cstheme="majorBidi"/>
          <w:lang w:val="en-US"/>
        </w:rPr>
        <w:t xml:space="preserve"> </w:t>
      </w:r>
      <w:r w:rsidR="00BE564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XI2PeB7c","properties":{"unsorted":false,"formattedCitation":"[28]","plainCitation":"[28]","noteIndex":0},"citationItems":[{"id":"g6iDE82k/l0R4jyDB","uris":["http://zotero.org/users/19709799/items/R4ADPE66"],"itemData":{"id":"JbUMJjXw/BQQKuHa2","type":"article-journal","container-title":"Endocrinology, Diabetes &amp; Metabolism","DOI":"10.1002/edm2.70128","ISSN":"2398-9238, 2398-9238","issue":"6","journalAbbreviation":"Endocrino Diabet &amp;amp; Metabol","language":"en","page":"e70128","source":"DOI.org (Crossref)","title":"The Comparison of the Effect of Adding Empagliflozin to the Medication Regimen on Peripheral Neuropathy in Patients With Type &lt;span style=\"font-variant:small-caps;\"&gt;II&lt;/span&gt; Diabetes: A Double Blind Randomised Clinical Trial","title-short":"The Comparison of the Effect of Adding Empagliflozin to the Medication Regimen on Peripheral Neuropathy in Patients With Type &lt;span style=\"font-variant","volume":"8","author":[{"family":"Vafaeinasab","given":"Mohammadreza"},{"family":"Mirzaei Malekabad","given":"Fatemeh"},{"family":"Khatibi","given":"Amidodin"},{"family":"Ghadiri‐Anari","given":"Akram"},{"family":"Zare Bidaki","given":"Marzieh"},{"family":"Azizi","given":"Raihane"}],"issued":{"date-parts":[["2025",11]]}}}],"schema":"https://github.com/citation-style-language/schema/raw/master/csl-citation.json"} </w:instrText>
      </w:r>
      <w:r w:rsidR="00BE564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[28]</w:t>
      </w:r>
      <w:r w:rsidR="00BE5646">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and diabetes duration was similarly not reported in these two studies. Across studies where it was reported, diabetes duration ranged from a median of five years in Adhikari et al</w:t>
      </w:r>
      <w:r w:rsidR="00BE5646">
        <w:rPr>
          <w:rFonts w:asciiTheme="majorBidi" w:eastAsia="Times New Roman" w:hAnsiTheme="majorBidi" w:cstheme="majorBidi"/>
          <w:lang w:val="en-US"/>
        </w:rPr>
        <w:t xml:space="preserve"> </w:t>
      </w:r>
      <w:r w:rsidR="00BE564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BQ8I6qKk","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BE564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[25]</w:t>
      </w:r>
      <w:r w:rsidR="00BE5646">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to a mean of 15.8 ± 8.6 years in Liao et al.</w:t>
      </w:r>
      <w:r w:rsidR="00BE5646">
        <w:rPr>
          <w:rFonts w:asciiTheme="majorBidi" w:eastAsia="Times New Roman" w:hAnsiTheme="majorBidi" w:cstheme="majorBidi"/>
          <w:lang w:val="en-US"/>
        </w:rPr>
        <w:t xml:space="preserve"> </w:t>
      </w:r>
      <w:r w:rsidR="00BE5646">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1yl8Y3bQ","properties":{"unsorted":false,"formattedCitation":"[23]","plainCitation":"[23]","noteIndex":0},"citationItems":[{"id":"g6iDE82k/ceewgwi1","uris":["http://zotero.org/users/19709799/items/NQ3358CH"],"itemData":{"id":"JbUMJjXw/9bk55yIl","type":"article-journal","container-title":"Diabetes &amp; Metabolism","DOI":"10.1016/j.diabet.2022.101331","ISSN":"12623636","issue":"4","journalAbbreviation":"Diabetes &amp; Metabolism","language":"en","page":"101331","source":"DOI.org (Crossref)","title":"The impact of canagliflozin on the risk of neuropathy events: A post-hoc exploratory analysis of the CREDENCE trial","title-short":"The impact of canagliflozin on the risk of neuropathy events","volume":"48","author":[{"family":"Liao","given":"Jinlan"},{"family":"Kang","given":"Amy"},{"family":"Xia","given":"Chao"},{"family":"Young","given":"Tamara"},{"family":"Di Tanna","given":"Gian Luca"},{"family":"Arnott","given":"Clare"},{"family":"Pollock","given":"Carol"},{"family":"Krishnan","given":"Arun V."},{"family":"Agarwal","given":"Rajiv"},{"family":"Bakris","given":"George"},{"family":"Charytan","given":"David M."},{"family":"De Zeeuw","given":"Dick"},{"family":"Heerspink","given":"Hiddo J.L."},{"family":"Levin","given":"Adeera"},{"family":"Neal","given":"Bruce"},{"family":"Wheeler","given":"David C."},{"family":"Zhang","given":"Hong"},{"family":"Zinman","given":"Bernard"},{"family":"Mahaffey","given":"Kenneth W."},{"family":"Perkovic","given":"Vlado"},{"family":"Jardine","given":"Meg J"},{"family":"Smyth","given":"Brendan"}],"issued":{"date-parts":[["2022",7]]}}}],"schema":"https://github.com/citation-style-language/schema/raw/master/csl-citation.json"} </w:instrText>
      </w:r>
      <w:r w:rsidR="00BE5646">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[23]</w:t>
      </w:r>
      <w:r w:rsidR="00BE5646">
        <w:rPr>
          <w:rFonts w:asciiTheme="majorBidi" w:eastAsia="Times New Roman" w:hAnsiTheme="majorBidi" w:cstheme="majorBidi"/>
          <w:lang w:val="en-US"/>
        </w:rPr>
        <w:fldChar w:fldCharType="end"/>
      </w:r>
      <w:r w:rsidRPr="007B5804">
        <w:rPr>
          <w:rFonts w:asciiTheme="majorBidi" w:eastAsia="Times New Roman" w:hAnsiTheme="majorBidi" w:cstheme="majorBidi"/>
          <w:lang w:val="en-US"/>
        </w:rPr>
        <w:t>, with the longer disease duration in the latter consistent with its population being defined by established diabetic kidney disease rather than neuropathy specifically.</w:t>
      </w:r>
    </w:p>
    <w:p w14:paraId="53A58A67" w14:textId="1FE05154" w:rsidR="00200DF4" w:rsidRPr="00EF4A89" w:rsidRDefault="00ED0F7F" w:rsidP="00C208BC">
      <w:pPr>
        <w:spacing w:after="240" w:line="360" w:lineRule="auto"/>
        <w:rPr>
          <w:rFonts w:asciiTheme="majorBidi" w:eastAsia="Times New Roman" w:hAnsiTheme="majorBidi" w:cstheme="majorBidi"/>
          <w:i/>
          <w:iCs/>
        </w:rPr>
      </w:pPr>
      <w:r w:rsidRPr="00EF4A89">
        <w:rPr>
          <w:rFonts w:asciiTheme="majorBidi" w:eastAsia="Times New Roman" w:hAnsiTheme="majorBidi" w:cstheme="majorBidi"/>
          <w:b/>
          <w:bCs/>
          <w:i/>
          <w:iCs/>
        </w:rPr>
        <w:t>3.3 Risk of bias in studies</w:t>
      </w:r>
      <w:r w:rsidRPr="00EF4A89">
        <w:rPr>
          <w:rFonts w:asciiTheme="majorBidi" w:eastAsia="Times New Roman" w:hAnsiTheme="majorBidi" w:cstheme="majorBidi"/>
          <w:i/>
          <w:iCs/>
        </w:rPr>
        <w:t xml:space="preserve"> </w:t>
      </w:r>
    </w:p>
    <w:p w14:paraId="58BB71CF" w14:textId="49C4D69F" w:rsidR="00200DF4" w:rsidRPr="00EF4A89" w:rsidRDefault="00000000" w:rsidP="00EE5ADB">
      <w:pPr>
        <w:spacing w:after="240" w:line="360" w:lineRule="auto"/>
        <w:rPr>
          <w:rFonts w:asciiTheme="majorBidi" w:eastAsia="Times New Roman" w:hAnsiTheme="majorBidi" w:cstheme="majorBidi"/>
        </w:rPr>
      </w:pPr>
      <w:r w:rsidRPr="00EF4A89">
        <w:rPr>
          <w:rFonts w:asciiTheme="majorBidi" w:eastAsia="Times New Roman" w:hAnsiTheme="majorBidi" w:cstheme="majorBidi"/>
        </w:rPr>
        <w:t xml:space="preserve">Risk of bias assessment using the Cochrane </w:t>
      </w:r>
      <w:proofErr w:type="spellStart"/>
      <w:r w:rsidRPr="00EF4A89">
        <w:rPr>
          <w:rFonts w:asciiTheme="majorBidi" w:eastAsia="Times New Roman" w:hAnsiTheme="majorBidi" w:cstheme="majorBidi"/>
        </w:rPr>
        <w:t>RoB</w:t>
      </w:r>
      <w:proofErr w:type="spellEnd"/>
      <w:r w:rsidRPr="00EF4A89">
        <w:rPr>
          <w:rFonts w:asciiTheme="majorBidi" w:eastAsia="Times New Roman" w:hAnsiTheme="majorBidi" w:cstheme="majorBidi"/>
        </w:rPr>
        <w:t xml:space="preserve"> 2 tool revealed that one of the five randomized controlled trials (</w:t>
      </w:r>
      <w:proofErr w:type="spellStart"/>
      <w:r w:rsidRPr="00EF4A89">
        <w:rPr>
          <w:rFonts w:asciiTheme="majorBidi" w:eastAsia="Times New Roman" w:hAnsiTheme="majorBidi" w:cstheme="majorBidi"/>
        </w:rPr>
        <w:t>Vafaeinasab</w:t>
      </w:r>
      <w:proofErr w:type="spellEnd"/>
      <w:r w:rsidRPr="00EF4A89">
        <w:rPr>
          <w:rFonts w:asciiTheme="majorBidi" w:eastAsia="Times New Roman" w:hAnsiTheme="majorBidi" w:cstheme="majorBidi"/>
        </w:rPr>
        <w:t xml:space="preserve"> et al.)</w:t>
      </w:r>
      <w:r w:rsidR="00681DAE">
        <w:rPr>
          <w:rFonts w:asciiTheme="majorBidi" w:eastAsia="Times New Roman" w:hAnsiTheme="majorBidi" w:cstheme="majorBidi"/>
        </w:rPr>
        <w:t xml:space="preserve"> </w:t>
      </w:r>
      <w:r w:rsidR="00AC58D8" w:rsidRPr="00EF4A89">
        <w:rPr>
          <w:rFonts w:asciiTheme="majorBidi" w:eastAsia="Times New Roman" w:hAnsiTheme="majorBidi" w:cstheme="majorBidi"/>
        </w:rPr>
        <w:fldChar w:fldCharType="begin"/>
      </w:r>
      <w:r w:rsidR="00EE5ADB">
        <w:rPr>
          <w:rFonts w:asciiTheme="majorBidi" w:eastAsia="Times New Roman" w:hAnsiTheme="majorBidi" w:cstheme="majorBidi"/>
        </w:rPr>
        <w:instrText xml:space="preserve"> ADDIN ZOTERO_ITEM CSL_CITATION {"citationID":"aNmBOu1G","properties":{"unsorted":false,"formattedCitation":"[16, 28]","plainCitation":"[16, 28]","noteIndex":0},"citationItems":[{"id":"g6iDE82k/ZKmmbd3F","uris":["http://zotero.org/users/19709799/items/YJ7EL6YG"],"itemData":{"id":35,"type":"article-journal","container-title":"BMJ","DOI":"10.1136/bmj.l4898","ISSN":"0959-8138, 1756-1833","journalAbbreviation":"BMJ","language":"en","page":"l4898","source":"DOI.org (Crossref)","title":"RoB 2: a revised tool for assessing risk of bias in randomised trials","title-short":"RoB 2","author":[{"family":"Sterne","given":"Jonathan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T"}],"issued":{"date-parts":[["2019",8,28]]}}},{"id":"g6iDE82k/l0R4jyDB","uris":["http://zotero.org/users/19709799/items/R4ADPE66"],"itemData":{"id":9,"type":"article-journal","container-title":"Endocrinology, Diabetes &amp; Metabolism","DOI":"10.1002/edm2.70128","ISSN":"2398-9238, 2398-9238","issue":"6","journalAbbreviation":"Endocrino Diabet &amp;amp; Metabol","language":"en","page":"e70128","source":"DOI.org (Crossref)","title":"The Comparison of the Effect of Adding Empagliflozin to the Medication Regimen on Peripheral Neuropathy in Patients With Type &lt;span style=\"font-variant:small-caps;\"&gt;II&lt;/span&gt; Diabetes: A Double Blind Randomised Clinical Trial","title-short":"The Comparison of the Effect of Adding Empagliflozin to the Medication Regimen on Peripheral Neuropathy in Patients With Type &lt;span style=\"font-variant","volume":"8","author":[{"family":"Vafaeinasab","given":"Mohammadreza"},{"family":"Mirzaei Malekabad","given":"Fatemeh"},{"family":"Khatibi","given":"Amidodin"},{"family":"Ghadiri‐Anari","given":"Akram"},{"family":"Zare Bidaki","given":"Marzieh"},{"family":"Azizi","given":"Raihane"}],"issued":{"date-parts":[["2025",11]]}}}],"schema":"https://github.com/citation-style-language/schema/raw/master/csl-citation.json"} </w:instrText>
      </w:r>
      <w:r w:rsidR="00AC58D8" w:rsidRPr="00EF4A89">
        <w:rPr>
          <w:rFonts w:asciiTheme="majorBidi" w:eastAsia="Times New Roman" w:hAnsiTheme="majorBidi" w:cstheme="majorBidi"/>
        </w:rPr>
        <w:fldChar w:fldCharType="separate"/>
      </w:r>
      <w:r w:rsidR="00EE5ADB" w:rsidRPr="00EE5ADB">
        <w:rPr>
          <w:rFonts w:ascii="Times New Roman" w:hAnsi="Times New Roman" w:cs="Times New Roman"/>
        </w:rPr>
        <w:t>[16, 28]</w:t>
      </w:r>
      <w:r w:rsidR="00AC58D8" w:rsidRPr="00EF4A89">
        <w:rPr>
          <w:rFonts w:asciiTheme="majorBidi" w:eastAsia="Times New Roman" w:hAnsiTheme="majorBidi" w:cstheme="majorBidi"/>
        </w:rPr>
        <w:fldChar w:fldCharType="end"/>
      </w:r>
      <w:r w:rsidRPr="00EF4A89">
        <w:rPr>
          <w:rFonts w:asciiTheme="majorBidi" w:eastAsia="Times New Roman" w:hAnsiTheme="majorBidi" w:cstheme="majorBidi"/>
        </w:rPr>
        <w:t xml:space="preserve"> was rated at low risk of bias across all five domains, reflecting its double-blind, placebo-controlled design with confirmed allocation concealment, intention-to-treat analysis, and prospective trial registration.  Three trials </w:t>
      </w:r>
      <w:r w:rsidR="00F653EF">
        <w:rPr>
          <w:rFonts w:asciiTheme="majorBidi" w:eastAsia="Times New Roman" w:hAnsiTheme="majorBidi" w:cstheme="majorBidi"/>
        </w:rPr>
        <w:t>(</w:t>
      </w:r>
      <w:r w:rsidRPr="00EF4A89">
        <w:rPr>
          <w:rFonts w:asciiTheme="majorBidi" w:eastAsia="Times New Roman" w:hAnsiTheme="majorBidi" w:cstheme="majorBidi"/>
        </w:rPr>
        <w:t>Adhikari et al.</w:t>
      </w:r>
      <w:r w:rsidR="00681DAE">
        <w:rPr>
          <w:rFonts w:asciiTheme="majorBidi" w:eastAsia="Times New Roman" w:hAnsiTheme="majorBidi" w:cstheme="majorBidi"/>
        </w:rPr>
        <w:t xml:space="preserve"> </w:t>
      </w:r>
      <w:r w:rsidR="00AC58D8" w:rsidRPr="00EF4A89">
        <w:rPr>
          <w:rFonts w:asciiTheme="majorBidi" w:eastAsia="Times New Roman" w:hAnsiTheme="majorBidi" w:cstheme="majorBidi"/>
        </w:rPr>
        <w:fldChar w:fldCharType="begin"/>
      </w:r>
      <w:r w:rsidR="00EE5ADB">
        <w:rPr>
          <w:rFonts w:asciiTheme="majorBidi" w:eastAsia="Times New Roman" w:hAnsiTheme="majorBidi" w:cstheme="majorBidi"/>
        </w:rPr>
        <w:instrText xml:space="preserve"> ADDIN ZOTERO_ITEM CSL_CITATION {"citationID":"2r8pyCOt","properties":{"unsorted":false,"formattedCitation":"[25]","plainCitation":"[25]","noteIndex":0},"citationItems":[{"id":"g6iDE82k/PsQ3dHQD","uris":["http://zotero.org/users/19709799/items/FMCL8PHZ"],"itemData":{"id":8,"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AC58D8" w:rsidRPr="00EF4A89">
        <w:rPr>
          <w:rFonts w:asciiTheme="majorBidi" w:eastAsia="Times New Roman" w:hAnsiTheme="majorBidi" w:cstheme="majorBidi"/>
        </w:rPr>
        <w:fldChar w:fldCharType="separate"/>
      </w:r>
      <w:r w:rsidR="00EE5ADB" w:rsidRPr="00EE5ADB">
        <w:rPr>
          <w:rFonts w:ascii="Times New Roman" w:hAnsi="Times New Roman" w:cs="Times New Roman"/>
        </w:rPr>
        <w:t>[25]</w:t>
      </w:r>
      <w:r w:rsidR="00AC58D8" w:rsidRPr="00EF4A89">
        <w:rPr>
          <w:rFonts w:asciiTheme="majorBidi" w:eastAsia="Times New Roman" w:hAnsiTheme="majorBidi" w:cstheme="majorBidi"/>
        </w:rPr>
        <w:fldChar w:fldCharType="end"/>
      </w:r>
      <w:r w:rsidRPr="00EF4A89">
        <w:rPr>
          <w:rFonts w:asciiTheme="majorBidi" w:eastAsia="Times New Roman" w:hAnsiTheme="majorBidi" w:cstheme="majorBidi"/>
        </w:rPr>
        <w:t>,  El-Haggar et al.</w:t>
      </w:r>
      <w:r w:rsidR="00681DAE">
        <w:rPr>
          <w:rFonts w:asciiTheme="majorBidi" w:eastAsia="Times New Roman" w:hAnsiTheme="majorBidi" w:cstheme="majorBidi"/>
        </w:rPr>
        <w:t xml:space="preserve"> </w:t>
      </w:r>
      <w:r w:rsidR="00AC58D8" w:rsidRPr="00EF4A89">
        <w:rPr>
          <w:rFonts w:asciiTheme="majorBidi" w:eastAsia="Times New Roman" w:hAnsiTheme="majorBidi" w:cstheme="majorBidi"/>
        </w:rPr>
        <w:fldChar w:fldCharType="begin"/>
      </w:r>
      <w:r w:rsidR="00EE5ADB">
        <w:rPr>
          <w:rFonts w:asciiTheme="majorBidi" w:eastAsia="Times New Roman" w:hAnsiTheme="majorBidi" w:cstheme="majorBidi"/>
        </w:rPr>
        <w:instrText xml:space="preserve"> ADDIN ZOTERO_ITEM CSL_CITATION {"citationID":"c1o46jvr","properties":{"unsorted":false,"formattedCitation":"[19]","plainCitation":"[19]","noteIndex":0},"citationItems":[{"id":"g6iDE82k/lQi3yVy3","uris":["http://zotero.org/users/19709799/items/LZ3Q8FUZ"],"itemData":{"id":14,"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AC58D8" w:rsidRPr="00EF4A89">
        <w:rPr>
          <w:rFonts w:asciiTheme="majorBidi" w:eastAsia="Times New Roman" w:hAnsiTheme="majorBidi" w:cstheme="majorBidi"/>
        </w:rPr>
        <w:fldChar w:fldCharType="separate"/>
      </w:r>
      <w:r w:rsidR="00EE5ADB" w:rsidRPr="00EE5ADB">
        <w:rPr>
          <w:rFonts w:ascii="Times New Roman" w:hAnsi="Times New Roman" w:cs="Times New Roman"/>
        </w:rPr>
        <w:t>[19]</w:t>
      </w:r>
      <w:r w:rsidR="00AC58D8" w:rsidRPr="00EF4A89">
        <w:rPr>
          <w:rFonts w:asciiTheme="majorBidi" w:eastAsia="Times New Roman" w:hAnsiTheme="majorBidi" w:cstheme="majorBidi"/>
        </w:rPr>
        <w:fldChar w:fldCharType="end"/>
      </w:r>
      <w:r w:rsidRPr="00EF4A89">
        <w:rPr>
          <w:rFonts w:asciiTheme="majorBidi" w:eastAsia="Times New Roman" w:hAnsiTheme="majorBidi" w:cstheme="majorBidi"/>
        </w:rPr>
        <w:t>,  and Liao et al.</w:t>
      </w:r>
      <w:r w:rsidR="00681DAE">
        <w:rPr>
          <w:rFonts w:asciiTheme="majorBidi" w:eastAsia="Times New Roman" w:hAnsiTheme="majorBidi" w:cstheme="majorBidi"/>
        </w:rPr>
        <w:t xml:space="preserve"> </w:t>
      </w:r>
      <w:r w:rsidR="00AC58D8" w:rsidRPr="00EF4A89">
        <w:rPr>
          <w:rFonts w:asciiTheme="majorBidi" w:eastAsia="Times New Roman" w:hAnsiTheme="majorBidi" w:cstheme="majorBidi"/>
        </w:rPr>
        <w:fldChar w:fldCharType="begin"/>
      </w:r>
      <w:r w:rsidR="00EE5ADB">
        <w:rPr>
          <w:rFonts w:asciiTheme="majorBidi" w:eastAsia="Times New Roman" w:hAnsiTheme="majorBidi" w:cstheme="majorBidi"/>
        </w:rPr>
        <w:instrText xml:space="preserve"> ADDIN ZOTERO_ITEM CSL_CITATION {"citationID":"0puZMh0A","properties":{"unsorted":false,"formattedCitation":"[23]","plainCitation":"[23]","noteIndex":0},"citationItems":[{"id":"g6iDE82k/ceewgwi1","uris":["http://zotero.org/users/19709799/items/NQ3358CH"],"itemData":{"id":11,"type":"article-journal","container-title":"Diabetes &amp; Metabolism","DOI":"10.1016/j.diabet.2022.101331","ISSN":"12623636","issue":"4","journalAbbreviation":"Diabetes &amp; Metabolism","language":"en","page":"101331","source":"DOI.org (Crossref)","title":"The impact of canagliflozin on the risk of neuropathy events: A post-hoc exploratory analysis of the CREDENCE trial","title-short":"The impact of canagliflozin on the risk of neuropathy events","volume":"48","author":[{"family":"Liao","given":"Jinlan"},{"family":"Kang","given":"Amy"},{"family":"Xia","given":"Chao"},{"family":"Young","given":"Tamara"},{"family":"Di Tanna","given":"Gian Luca"},{"family":"Arnott","given":"Clare"},{"family":"Pollock","given":"Carol"},{"family":"Krishnan","given":"Arun V."},{"family":"Agarwal","given":"Rajiv"},{"family":"Bakris","given":"George"},{"family":"Charytan","given":"David M."},{"family":"De Zeeuw","given":"Dick"},{"family":"Heerspink","given":"Hiddo J.L."},{"family":"Levin","given":"Adeera"},{"family":"Neal","given":"Bruce"},{"family":"Wheeler","given":"David C."},{"family":"Zhang","given":"Hong"},{"family":"Zinman","given":"Bernard"},{"family":"Mahaffey","given":"Kenneth W."},{"family":"Perkovic","given":"Vlado"},{"family":"Jardine","given":"Meg J"},{"family":"Smyth","given":"Brendan"}],"issued":{"date-parts":[["2022",7]]}}}],"schema":"https://github.com/citation-style-language/schema/raw/master/csl-citation.json"} </w:instrText>
      </w:r>
      <w:r w:rsidR="00AC58D8" w:rsidRPr="00EF4A89">
        <w:rPr>
          <w:rFonts w:asciiTheme="majorBidi" w:eastAsia="Times New Roman" w:hAnsiTheme="majorBidi" w:cstheme="majorBidi"/>
        </w:rPr>
        <w:fldChar w:fldCharType="separate"/>
      </w:r>
      <w:r w:rsidR="00EE5ADB" w:rsidRPr="00EE5ADB">
        <w:rPr>
          <w:rFonts w:ascii="Times New Roman" w:hAnsi="Times New Roman" w:cs="Times New Roman"/>
        </w:rPr>
        <w:t>[23]</w:t>
      </w:r>
      <w:r w:rsidR="00AC58D8" w:rsidRPr="00EF4A89">
        <w:rPr>
          <w:rFonts w:asciiTheme="majorBidi" w:eastAsia="Times New Roman" w:hAnsiTheme="majorBidi" w:cstheme="majorBidi"/>
        </w:rPr>
        <w:fldChar w:fldCharType="end"/>
      </w:r>
      <w:r w:rsidR="00F653EF">
        <w:rPr>
          <w:rFonts w:asciiTheme="majorBidi" w:eastAsia="Times New Roman" w:hAnsiTheme="majorBidi" w:cstheme="majorBidi"/>
        </w:rPr>
        <w:t xml:space="preserve">) </w:t>
      </w:r>
      <w:r w:rsidRPr="00EF4A89">
        <w:rPr>
          <w:rFonts w:asciiTheme="majorBidi" w:eastAsia="Times New Roman" w:hAnsiTheme="majorBidi" w:cstheme="majorBidi"/>
        </w:rPr>
        <w:t>were rated as raising some concerns overall, primarily due to inadequately reported allocation concealment (D1), absence of explicit intention-to-treat confirmation or incomplete blinding of care providers and outcome assessors (D2), and the inability to fully verify alignment between pre-specified and reported outcomes (D5); notably, the Liao et al</w:t>
      </w:r>
      <w:r w:rsidR="00C308B6">
        <w:rPr>
          <w:rFonts w:asciiTheme="majorBidi" w:eastAsia="Times New Roman" w:hAnsiTheme="majorBidi" w:cstheme="majorBidi"/>
        </w:rPr>
        <w:t>.</w:t>
      </w:r>
      <w:r w:rsidR="00294763">
        <w:rPr>
          <w:rFonts w:asciiTheme="majorBidi" w:eastAsia="Times New Roman" w:hAnsiTheme="majorBidi" w:cstheme="majorBidi"/>
        </w:rPr>
        <w:t xml:space="preserve"> </w:t>
      </w:r>
      <w:r w:rsidR="00294763">
        <w:rPr>
          <w:rFonts w:asciiTheme="majorBidi" w:eastAsia="Times New Roman" w:hAnsiTheme="majorBidi" w:cstheme="majorBidi"/>
        </w:rPr>
        <w:fldChar w:fldCharType="begin"/>
      </w:r>
      <w:r w:rsidR="00EE5ADB">
        <w:rPr>
          <w:rFonts w:asciiTheme="majorBidi" w:eastAsia="Times New Roman" w:hAnsiTheme="majorBidi" w:cstheme="majorBidi"/>
        </w:rPr>
        <w:instrText xml:space="preserve"> ADDIN ZOTERO_ITEM CSL_CITATION {"citationID":"nXVjzLsy","properties":{"unsorted":false,"formattedCitation":"[23]","plainCitation":"[23]","noteIndex":0},"citationItems":[{"id":"g6iDE82k/ceewgwi1","uris":["http://zotero.org/users/19709799/items/NQ3358CH"],"itemData":{"id":"JbUMJjXw/9bk55yIl","type":"article-journal","container-title":"Diabetes &amp; Metabolism","DOI":"10.1016/j.diabet.2022.101331","ISSN":"12623636","issue":"4","journalAbbreviation":"Diabetes &amp; Metabolism","language":"en","page":"101331","source":"DOI.org (Crossref)","title":"The impact of canagliflozin on the risk of neuropathy events: A post-hoc exploratory analysis of the CREDENCE trial","title-short":"The impact of canagliflozin on the risk of neuropathy events","volume":"48","author":[{"family":"Liao","given":"Jinlan"},{"family":"Kang","given":"Amy"},{"family":"Xia","given":"Chao"},{"family":"Young","given":"Tamara"},{"family":"Di Tanna","given":"Gian Luca"},{"family":"Arnott","given":"Clare"},{"family":"Pollock","given":"Carol"},{"family":"Krishnan","given":"Arun V."},{"family":"Agarwal","given":"Rajiv"},{"family":"Bakris","given":"George"},{"family":"Charytan","given":"David M."},{"family":"De Zeeuw","given":"Dick"},{"family":"Heerspink","given":"Hiddo J.L."},{"family":"Levin","given":"Adeera"},{"family":"Neal","given":"Bruce"},{"family":"Wheeler","given":"David C."},{"family":"Zhang","given":"Hong"},{"family":"Zinman","given":"Bernard"},{"family":"Mahaffey","given":"Kenneth W."},{"family":"Perkovic","given":"Vlado"},{"family":"Jardine","given":"Meg J"},{"family":"Smyth","given":"Brendan"}],"issued":{"date-parts":[["2022",7]]}}}],"schema":"https://github.com/citation-style-language/schema/raw/master/csl-citation.json"} </w:instrText>
      </w:r>
      <w:r w:rsidR="00294763">
        <w:rPr>
          <w:rFonts w:asciiTheme="majorBidi" w:eastAsia="Times New Roman" w:hAnsiTheme="majorBidi" w:cstheme="majorBidi"/>
        </w:rPr>
        <w:fldChar w:fldCharType="separate"/>
      </w:r>
      <w:r w:rsidR="00EE5ADB" w:rsidRPr="00EE5ADB">
        <w:rPr>
          <w:rFonts w:ascii="Times New Roman" w:hAnsi="Times New Roman" w:cs="Times New Roman"/>
        </w:rPr>
        <w:t>[23]</w:t>
      </w:r>
      <w:r w:rsidR="00294763">
        <w:rPr>
          <w:rFonts w:asciiTheme="majorBidi" w:eastAsia="Times New Roman" w:hAnsiTheme="majorBidi" w:cstheme="majorBidi"/>
        </w:rPr>
        <w:fldChar w:fldCharType="end"/>
      </w:r>
      <w:r w:rsidRPr="00EF4A89">
        <w:rPr>
          <w:rFonts w:asciiTheme="majorBidi" w:eastAsia="Times New Roman" w:hAnsiTheme="majorBidi" w:cstheme="majorBidi"/>
        </w:rPr>
        <w:t xml:space="preserve"> post-hoc analysis of the CREDENCE trial additionally raised concerns in D4 given its reliance on post-hoc MedDRA adverse-event coding rather than a prospectively validated neuropathy instrument. Mehta et al.</w:t>
      </w:r>
      <w:r w:rsidR="00681DAE">
        <w:rPr>
          <w:rFonts w:asciiTheme="majorBidi" w:eastAsia="Times New Roman" w:hAnsiTheme="majorBidi" w:cstheme="majorBidi"/>
        </w:rPr>
        <w:t xml:space="preserve"> </w:t>
      </w:r>
      <w:r w:rsidR="00AC58D8" w:rsidRPr="00EF4A89">
        <w:rPr>
          <w:rFonts w:asciiTheme="majorBidi" w:eastAsia="Times New Roman" w:hAnsiTheme="majorBidi" w:cstheme="majorBidi"/>
        </w:rPr>
        <w:fldChar w:fldCharType="begin"/>
      </w:r>
      <w:r w:rsidR="00EE5ADB">
        <w:rPr>
          <w:rFonts w:asciiTheme="majorBidi" w:eastAsia="Times New Roman" w:hAnsiTheme="majorBidi" w:cstheme="majorBidi"/>
        </w:rPr>
        <w:instrText xml:space="preserve"> ADDIN ZOTERO_ITEM CSL_CITATION {"citationID":"Z8v9dUJD","properties":{"unsorted":false,"formattedCitation":"[24]","plainCitation":"[24]","noteIndex":0},"citationItems":[{"id":"g6iDE82k/3HuQ46Dp","uris":["http://zotero.org/users/19709799/items/AALKKIVG"],"itemData":{"id":10,"type":"article-journal","container-title":"Cureus","DOI":"10.7759/cureus.20208","ISSN":"2168-8184","language":"en","source":"DOI.org (Crossref)","title":"Effectiveness of Empagliflozin With Vitamin D Supplementation in Peripheral Neuropathy in Type 2 Diabetic Patients","URL":"https://www.cureus.com/articles/78182-effectiveness-of-empagliflozin-with-vitamin-d-supplementation-in-peripheral-neuropathy-in-type-2-diabetic-patients","author":[{"family":"Mehta","given":"Sanjana"},{"family":"Nain","given":"Parminder"},{"family":"Agrawal","given":"Bimal K"},{"family":"Singh","given":"Rajinder P"},{"family":"Kaur","given":"Jaspreet"},{"family":"Maity","given":"Sabyasachi"},{"family":"Bhattarcharjee","given":"Aniruddha"},{"family":"Peela","given":"Jagannadha"},{"family":"Nauhria","given":"Shreya"},{"family":"Nauhria","given":"Samal"}],"accessed":{"date-parts":[["2026",2,23]]},"issued":{"date-parts":[["2021",12,6]]}}}],"schema":"https://github.com/citation-style-language/schema/raw/master/csl-citation.json"} </w:instrText>
      </w:r>
      <w:r w:rsidR="00AC58D8" w:rsidRPr="00EF4A89">
        <w:rPr>
          <w:rFonts w:asciiTheme="majorBidi" w:eastAsia="Times New Roman" w:hAnsiTheme="majorBidi" w:cstheme="majorBidi"/>
        </w:rPr>
        <w:fldChar w:fldCharType="separate"/>
      </w:r>
      <w:r w:rsidR="00EE5ADB" w:rsidRPr="00EE5ADB">
        <w:rPr>
          <w:rFonts w:ascii="Times New Roman" w:hAnsi="Times New Roman" w:cs="Times New Roman"/>
        </w:rPr>
        <w:t>[24]</w:t>
      </w:r>
      <w:r w:rsidR="00AC58D8" w:rsidRPr="00EF4A89">
        <w:rPr>
          <w:rFonts w:asciiTheme="majorBidi" w:eastAsia="Times New Roman" w:hAnsiTheme="majorBidi" w:cstheme="majorBidi"/>
        </w:rPr>
        <w:fldChar w:fldCharType="end"/>
      </w:r>
      <w:r w:rsidRPr="00EF4A89">
        <w:rPr>
          <w:rFonts w:asciiTheme="majorBidi" w:eastAsia="Times New Roman" w:hAnsiTheme="majorBidi" w:cstheme="majorBidi"/>
        </w:rPr>
        <w:t xml:space="preserve">  was the only trial judged to be at high risk of bias overall, a judgement driven by the convergence of some concerns across all five domains</w:t>
      </w:r>
      <w:r w:rsidR="00F653EF">
        <w:rPr>
          <w:rFonts w:asciiTheme="majorBidi" w:eastAsia="Times New Roman" w:hAnsiTheme="majorBidi" w:cstheme="majorBidi"/>
        </w:rPr>
        <w:t>,</w:t>
      </w:r>
      <w:r w:rsidRPr="00EF4A89">
        <w:rPr>
          <w:rFonts w:asciiTheme="majorBidi" w:eastAsia="Times New Roman" w:hAnsiTheme="majorBidi" w:cstheme="majorBidi"/>
        </w:rPr>
        <w:t xml:space="preserve"> including an open-label design, unreported </w:t>
      </w:r>
      <w:r w:rsidRPr="00EF4A89">
        <w:rPr>
          <w:rFonts w:asciiTheme="majorBidi" w:eastAsia="Times New Roman" w:hAnsiTheme="majorBidi" w:cstheme="majorBidi"/>
        </w:rPr>
        <w:lastRenderedPageBreak/>
        <w:t>allocation concealment, undescribed missing-data handling, unblinded assessment of subjective pain outcomes, and the absence of trial registration</w:t>
      </w:r>
      <w:r w:rsidR="00F653EF">
        <w:rPr>
          <w:rFonts w:asciiTheme="majorBidi" w:eastAsia="Times New Roman" w:hAnsiTheme="majorBidi" w:cstheme="majorBidi"/>
        </w:rPr>
        <w:t>,</w:t>
      </w:r>
      <w:r w:rsidRPr="00EF4A89">
        <w:rPr>
          <w:rFonts w:asciiTheme="majorBidi" w:eastAsia="Times New Roman" w:hAnsiTheme="majorBidi" w:cstheme="majorBidi"/>
        </w:rPr>
        <w:t xml:space="preserve"> which collectively undermined confidence in the trial's findings in accordance with </w:t>
      </w:r>
      <w:proofErr w:type="spellStart"/>
      <w:r w:rsidRPr="00EF4A89">
        <w:rPr>
          <w:rFonts w:asciiTheme="majorBidi" w:eastAsia="Times New Roman" w:hAnsiTheme="majorBidi" w:cstheme="majorBidi"/>
        </w:rPr>
        <w:t>RoB</w:t>
      </w:r>
      <w:proofErr w:type="spellEnd"/>
      <w:r w:rsidRPr="00EF4A89">
        <w:rPr>
          <w:rFonts w:asciiTheme="majorBidi" w:eastAsia="Times New Roman" w:hAnsiTheme="majorBidi" w:cstheme="majorBidi"/>
        </w:rPr>
        <w:t xml:space="preserve"> 2 guidance.</w:t>
      </w:r>
    </w:p>
    <w:p w14:paraId="5C675DF7" w14:textId="77777777" w:rsidR="009F0A3E" w:rsidRPr="00B077A2" w:rsidRDefault="009F0A3E" w:rsidP="00C208BC">
      <w:pPr>
        <w:spacing w:before="100" w:beforeAutospacing="1" w:after="100" w:afterAutospacing="1" w:line="360" w:lineRule="auto"/>
        <w:jc w:val="both"/>
        <w:outlineLvl w:val="3"/>
        <w:rPr>
          <w:rFonts w:asciiTheme="majorBidi" w:eastAsia="Times New Roman" w:hAnsiTheme="majorBidi" w:cstheme="majorBidi"/>
          <w:b/>
          <w:bCs/>
          <w:i/>
          <w:iCs/>
          <w:lang w:val="en-US"/>
        </w:rPr>
      </w:pPr>
      <w:r w:rsidRPr="00B077A2">
        <w:rPr>
          <w:rFonts w:asciiTheme="majorBidi" w:eastAsia="Times New Roman" w:hAnsiTheme="majorBidi" w:cstheme="majorBidi"/>
          <w:b/>
          <w:bCs/>
          <w:i/>
          <w:iCs/>
          <w:lang w:val="en-US"/>
        </w:rPr>
        <w:t>3.4 Quantitative Synthesis</w:t>
      </w:r>
    </w:p>
    <w:p w14:paraId="5D5E33CC" w14:textId="77777777" w:rsidR="006D1FD4" w:rsidRDefault="006D1FD4" w:rsidP="006D1FD4">
      <w:pPr>
        <w:spacing w:before="100" w:beforeAutospacing="1" w:after="100" w:afterAutospacing="1" w:line="360" w:lineRule="auto"/>
        <w:outlineLvl w:val="4"/>
        <w:rPr>
          <w:rFonts w:asciiTheme="majorBidi" w:eastAsia="Times New Roman" w:hAnsiTheme="majorBidi" w:cstheme="majorBidi"/>
          <w:b/>
          <w:bCs/>
          <w:lang w:val="en-US"/>
        </w:rPr>
      </w:pPr>
      <w:r w:rsidRPr="006D1FD4">
        <w:rPr>
          <w:rFonts w:asciiTheme="majorBidi" w:eastAsia="Times New Roman" w:hAnsiTheme="majorBidi" w:cstheme="majorBidi"/>
          <w:b/>
          <w:bCs/>
          <w:lang w:val="en-US"/>
        </w:rPr>
        <w:t>3.4.1 Sural Nerve Sensory Conduction Velocity</w:t>
      </w:r>
    </w:p>
    <w:p w14:paraId="2796D13E" w14:textId="021F2978" w:rsidR="006D1FD4" w:rsidRPr="006D1FD4" w:rsidRDefault="006D1FD4" w:rsidP="00EE5ADB">
      <w:pPr>
        <w:spacing w:before="100" w:beforeAutospacing="1" w:after="100" w:afterAutospacing="1" w:line="360" w:lineRule="auto"/>
        <w:outlineLvl w:val="4"/>
        <w:rPr>
          <w:rFonts w:asciiTheme="majorBidi" w:eastAsia="Times New Roman" w:hAnsiTheme="majorBidi" w:cstheme="majorBidi"/>
          <w:lang w:val="en-US"/>
        </w:rPr>
      </w:pPr>
      <w:r w:rsidRPr="006D1FD4">
        <w:rPr>
          <w:rFonts w:asciiTheme="majorBidi" w:eastAsia="Times New Roman" w:hAnsiTheme="majorBidi" w:cstheme="majorBidi"/>
          <w:lang w:val="en-US"/>
        </w:rPr>
        <w:t>Sural nerve sensory conduction velocity (SNCV) was reported in three studies: two RCTs (El-Haggar</w:t>
      </w:r>
      <w:r>
        <w:rPr>
          <w:rFonts w:asciiTheme="majorBidi" w:eastAsia="Times New Roman" w:hAnsiTheme="majorBidi" w:cstheme="majorBidi"/>
          <w:lang w:val="en-US"/>
        </w:rPr>
        <w:t xml:space="preserve"> et al.</w:t>
      </w:r>
      <w:r w:rsidR="00EA0969">
        <w:rPr>
          <w:rFonts w:asciiTheme="majorBidi" w:eastAsia="Times New Roman" w:hAnsiTheme="majorBidi" w:cstheme="majorBidi"/>
          <w:lang w:val="en-US"/>
        </w:rPr>
        <w:t xml:space="preserve"> </w:t>
      </w:r>
      <w:r w:rsidR="00EA0969">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SEUe6Mvz","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EA0969">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EA0969">
        <w:rPr>
          <w:rFonts w:asciiTheme="majorBidi" w:eastAsia="Times New Roman" w:hAnsiTheme="majorBidi" w:cstheme="majorBidi"/>
          <w:lang w:val="en-US"/>
        </w:rPr>
        <w:fldChar w:fldCharType="end"/>
      </w:r>
      <w:r w:rsidRPr="006D1FD4">
        <w:rPr>
          <w:rFonts w:asciiTheme="majorBidi" w:eastAsia="Times New Roman" w:hAnsiTheme="majorBidi" w:cstheme="majorBidi"/>
          <w:lang w:val="en-US"/>
        </w:rPr>
        <w:t xml:space="preserve">; </w:t>
      </w:r>
      <w:proofErr w:type="spellStart"/>
      <w:r w:rsidRPr="006D1FD4">
        <w:rPr>
          <w:rFonts w:asciiTheme="majorBidi" w:eastAsia="Times New Roman" w:hAnsiTheme="majorBidi" w:cstheme="majorBidi"/>
          <w:lang w:val="en-US"/>
        </w:rPr>
        <w:t>Vafaeinasab</w:t>
      </w:r>
      <w:proofErr w:type="spellEnd"/>
      <w:r w:rsidRPr="006D1FD4">
        <w:rPr>
          <w:rFonts w:asciiTheme="majorBidi" w:eastAsia="Times New Roman" w:hAnsiTheme="majorBidi" w:cstheme="majorBidi"/>
          <w:lang w:val="en-US"/>
        </w:rPr>
        <w:t xml:space="preserve"> </w:t>
      </w:r>
      <w:r>
        <w:rPr>
          <w:rFonts w:asciiTheme="majorBidi" w:eastAsia="Times New Roman" w:hAnsiTheme="majorBidi" w:cstheme="majorBidi"/>
          <w:lang w:val="en-US"/>
        </w:rPr>
        <w:t>et al.</w:t>
      </w:r>
      <w:r w:rsidR="00DD681A">
        <w:rPr>
          <w:rFonts w:asciiTheme="majorBidi" w:eastAsia="Times New Roman" w:hAnsiTheme="majorBidi" w:cstheme="majorBidi"/>
          <w:lang w:val="en-US"/>
        </w:rPr>
        <w:t xml:space="preserve"> </w:t>
      </w:r>
      <w:r w:rsidR="00DD681A">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Bck5iBwq","properties":{"unsorted":false,"formattedCitation":"[28]","plainCitation":"[28]","noteIndex":0},"citationItems":[{"id":"g6iDE82k/l0R4jyDB","uris":["http://zotero.org/users/19709799/items/R4ADPE66"],"itemData":{"id":"JbUMJjXw/BQQKuHa2","type":"article-journal","container-title":"Endocrinology, Diabetes &amp; Metabolism","DOI":"10.1002/edm2.70128","ISSN":"2398-9238, 2398-9238","issue":"6","journalAbbreviation":"Endocrino Diabet &amp;amp; Metabol","language":"en","page":"e70128","source":"DOI.org (Crossref)","title":"The Comparison of the Effect of Adding Empagliflozin to the Medication Regimen on Peripheral Neuropathy in Patients With Type &lt;span style=\"font-variant:small-caps;\"&gt;II&lt;/span&gt; Diabetes: A Double Blind Randomised Clinical Trial","title-short":"The Comparison of the Effect of Adding Empagliflozin to the Medication Regimen on Peripheral Neuropathy in Patients With Type &lt;span style=\"font-variant","volume":"8","author":[{"family":"Vafaeinasab","given":"Mohammadreza"},{"family":"Mirzaei Malekabad","given":"Fatemeh"},{"family":"Khatibi","given":"Amidodin"},{"family":"Ghadiri‐Anari","given":"Akram"},{"family":"Zare Bidaki","given":"Marzieh"},{"family":"Azizi","given":"Raihane"}],"issued":{"date-parts":[["2025",11]]}}}],"schema":"https://github.com/citation-style-language/schema/raw/master/csl-citation.json"} </w:instrText>
      </w:r>
      <w:r w:rsidR="00DD681A">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[28]</w:t>
      </w:r>
      <w:r w:rsidR="00DD681A">
        <w:rPr>
          <w:rFonts w:asciiTheme="majorBidi" w:eastAsia="Times New Roman" w:hAnsiTheme="majorBidi" w:cstheme="majorBidi"/>
          <w:lang w:val="en-US"/>
        </w:rPr>
        <w:fldChar w:fldCharType="end"/>
      </w:r>
      <w:r w:rsidRPr="006D1FD4">
        <w:rPr>
          <w:rFonts w:asciiTheme="majorBidi" w:eastAsia="Times New Roman" w:hAnsiTheme="majorBidi" w:cstheme="majorBidi"/>
          <w:lang w:val="en-US"/>
        </w:rPr>
        <w:t xml:space="preserve">) and one prospective cohort study (Ishibashi </w:t>
      </w:r>
      <w:r>
        <w:rPr>
          <w:rFonts w:asciiTheme="majorBidi" w:eastAsia="Times New Roman" w:hAnsiTheme="majorBidi" w:cstheme="majorBidi"/>
          <w:lang w:val="en-US"/>
        </w:rPr>
        <w:t>et al.</w:t>
      </w:r>
      <w:r w:rsidRPr="006D1FD4">
        <w:rPr>
          <w:rFonts w:asciiTheme="majorBidi" w:eastAsia="Times New Roman" w:hAnsiTheme="majorBidi" w:cstheme="majorBidi"/>
          <w:lang w:val="en-US"/>
        </w:rPr>
        <w:t xml:space="preserve">). Meta-analysis of all three studies using a fixed-effects model demonstrated a statistically significant improvement in sural SNCV in the SGLT2i group compared to controls (MD 2.92 m/s; 95% CI 1.43 to 4.42; p &lt; 0.01; I² = 0%, p = 0.60), with complete absence of statistical heterogeneity indicating a highly consistent direction of effect across studies. Right limb data from El-Haggar </w:t>
      </w:r>
      <w:r w:rsidR="009B7911">
        <w:rPr>
          <w:rFonts w:asciiTheme="majorBidi" w:eastAsia="Times New Roman" w:hAnsiTheme="majorBidi" w:cstheme="majorBidi"/>
          <w:lang w:val="en-US"/>
        </w:rPr>
        <w:t>et al.</w:t>
      </w:r>
      <w:r w:rsidR="003547BD">
        <w:rPr>
          <w:rFonts w:asciiTheme="majorBidi" w:eastAsia="Times New Roman" w:hAnsiTheme="majorBidi" w:cstheme="majorBidi"/>
          <w:lang w:val="en-US"/>
        </w:rPr>
        <w:t xml:space="preserve"> </w:t>
      </w:r>
      <w:r w:rsidR="003547BD">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rwwCJ91F","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3547BD">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3547BD">
        <w:rPr>
          <w:rFonts w:asciiTheme="majorBidi" w:eastAsia="Times New Roman" w:hAnsiTheme="majorBidi" w:cstheme="majorBidi"/>
          <w:lang w:val="en-US"/>
        </w:rPr>
        <w:fldChar w:fldCharType="end"/>
      </w:r>
      <w:r w:rsidR="009B7911">
        <w:rPr>
          <w:rFonts w:asciiTheme="majorBidi" w:eastAsia="Times New Roman" w:hAnsiTheme="majorBidi" w:cstheme="majorBidi"/>
          <w:lang w:val="en-US"/>
        </w:rPr>
        <w:t xml:space="preserve"> </w:t>
      </w:r>
      <w:r w:rsidRPr="006D1FD4">
        <w:rPr>
          <w:rFonts w:asciiTheme="majorBidi" w:eastAsia="Times New Roman" w:hAnsiTheme="majorBidi" w:cstheme="majorBidi"/>
          <w:lang w:val="en-US"/>
        </w:rPr>
        <w:t>were designated as the primary dataset as described in the methods. A pre-specified sensitivity analysis restricted to the two RCTs only</w:t>
      </w:r>
      <w:r w:rsidR="00F653EF">
        <w:rPr>
          <w:rFonts w:asciiTheme="majorBidi" w:eastAsia="Times New Roman" w:hAnsiTheme="majorBidi" w:cstheme="majorBidi"/>
          <w:lang w:val="en-US"/>
        </w:rPr>
        <w:t>,</w:t>
      </w:r>
      <w:r w:rsidRPr="006D1FD4">
        <w:rPr>
          <w:rFonts w:asciiTheme="majorBidi" w:eastAsia="Times New Roman" w:hAnsiTheme="majorBidi" w:cstheme="majorBidi"/>
          <w:lang w:val="en-US"/>
        </w:rPr>
        <w:t xml:space="preserve"> yielded a consistent and significant result (MD 3.38 m/s; 95% CI 1.63 to 5.13; p = 0.0002; I² = 0%), confirming that the primary finding was robust to the exclusion of observational data and was not dependent on the contribution of the cohort study. A further sensitivity analysis substituting left limb data from El-Haggar </w:t>
      </w:r>
      <w:r w:rsidR="002B7C1E">
        <w:rPr>
          <w:rFonts w:asciiTheme="majorBidi" w:eastAsia="Times New Roman" w:hAnsiTheme="majorBidi" w:cstheme="majorBidi"/>
          <w:lang w:val="en-US"/>
        </w:rPr>
        <w:t xml:space="preserve">et al. </w:t>
      </w:r>
      <w:r w:rsidR="002B7C1E">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nG93sjGZ","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2B7C1E">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2B7C1E">
        <w:rPr>
          <w:rFonts w:asciiTheme="majorBidi" w:eastAsia="Times New Roman" w:hAnsiTheme="majorBidi" w:cstheme="majorBidi"/>
          <w:lang w:val="en-US"/>
        </w:rPr>
        <w:fldChar w:fldCharType="end"/>
      </w:r>
      <w:r w:rsidR="002B7C1E">
        <w:rPr>
          <w:rFonts w:asciiTheme="majorBidi" w:eastAsia="Times New Roman" w:hAnsiTheme="majorBidi" w:cstheme="majorBidi"/>
          <w:lang w:val="en-US"/>
        </w:rPr>
        <w:t xml:space="preserve"> </w:t>
      </w:r>
      <w:r w:rsidRPr="006D1FD4">
        <w:rPr>
          <w:rFonts w:asciiTheme="majorBidi" w:eastAsia="Times New Roman" w:hAnsiTheme="majorBidi" w:cstheme="majorBidi"/>
          <w:lang w:val="en-US"/>
        </w:rPr>
        <w:t xml:space="preserve">also yielded consistent findings (MD 2.84 m/s; 95% CI 1.41 to 4.27; p &lt; 0.01; I² = 0%, p = 0.58), indicating that the primary finding was not materially influenced by the choice of limb in that study. The consistency of results across all sensitivity analyses strengthens confidence in the direction and magnitude of the sural SNCV effect. The forest plot is presented in Figure </w:t>
      </w:r>
      <w:r w:rsidR="003C4038">
        <w:rPr>
          <w:rFonts w:asciiTheme="majorBidi" w:eastAsia="Times New Roman" w:hAnsiTheme="majorBidi" w:cstheme="majorBidi"/>
          <w:lang w:val="en-US"/>
        </w:rPr>
        <w:t>4</w:t>
      </w:r>
      <w:r w:rsidRPr="006D1FD4">
        <w:rPr>
          <w:rFonts w:asciiTheme="majorBidi" w:eastAsia="Times New Roman" w:hAnsiTheme="majorBidi" w:cstheme="majorBidi"/>
          <w:lang w:val="en-US"/>
        </w:rPr>
        <w:t>.</w:t>
      </w:r>
    </w:p>
    <w:p w14:paraId="5FE60DEA" w14:textId="77777777" w:rsidR="006D1FD4" w:rsidRPr="006D1FD4" w:rsidRDefault="006D1FD4" w:rsidP="006D1FD4">
      <w:pPr>
        <w:spacing w:before="100" w:beforeAutospacing="1" w:after="100" w:afterAutospacing="1" w:line="360" w:lineRule="auto"/>
        <w:outlineLvl w:val="4"/>
        <w:rPr>
          <w:rFonts w:asciiTheme="majorBidi" w:eastAsia="Times New Roman" w:hAnsiTheme="majorBidi" w:cstheme="majorBidi"/>
          <w:b/>
          <w:bCs/>
          <w:lang w:val="en-US"/>
        </w:rPr>
      </w:pPr>
      <w:r w:rsidRPr="006D1FD4">
        <w:rPr>
          <w:rFonts w:asciiTheme="majorBidi" w:eastAsia="Times New Roman" w:hAnsiTheme="majorBidi" w:cstheme="majorBidi"/>
          <w:b/>
          <w:bCs/>
          <w:lang w:val="en-US"/>
        </w:rPr>
        <w:t>3.4.2 Sural Nerve Sensory Amplitude</w:t>
      </w:r>
    </w:p>
    <w:p w14:paraId="3D80A365" w14:textId="75B71A9A" w:rsidR="006D1FD4" w:rsidRPr="006D1FD4" w:rsidRDefault="006D1FD4" w:rsidP="00EE5ADB">
      <w:pPr>
        <w:spacing w:before="100" w:beforeAutospacing="1" w:after="100" w:afterAutospacing="1" w:line="360" w:lineRule="auto"/>
        <w:jc w:val="both"/>
        <w:outlineLvl w:val="4"/>
        <w:rPr>
          <w:rFonts w:asciiTheme="majorBidi" w:eastAsia="Times New Roman" w:hAnsiTheme="majorBidi" w:cstheme="majorBidi"/>
          <w:lang w:val="en-US"/>
        </w:rPr>
      </w:pPr>
      <w:r w:rsidRPr="006D1FD4">
        <w:rPr>
          <w:rFonts w:asciiTheme="majorBidi" w:eastAsia="Times New Roman" w:hAnsiTheme="majorBidi" w:cstheme="majorBidi"/>
          <w:lang w:val="en-US"/>
        </w:rPr>
        <w:t xml:space="preserve">Sural nerve sensory amplitude was reported in the same three studies as sural SNCV. Unlike the velocity analysis, moderate-to-substantial statistical heterogeneity was detected across studies (I² = 62%, p = 0.07), and a random-effects model was therefore applied. The primary pooled analysis incorporating both RCTs and Ishibashi </w:t>
      </w:r>
      <w:r w:rsidR="00BA416F">
        <w:rPr>
          <w:rFonts w:asciiTheme="majorBidi" w:eastAsia="Times New Roman" w:hAnsiTheme="majorBidi" w:cstheme="majorBidi"/>
          <w:lang w:val="en-US"/>
        </w:rPr>
        <w:t xml:space="preserve">et al. </w:t>
      </w:r>
      <w:r w:rsidR="00BA416F">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{"citationID":"zyCnWqkS","properties":{"unsorted":false,"formattedCitation":"[26]","plainCitation":"[26]","noteIndex":0},"citationItems":[{"id":108,"uris":["http://zotero.org/groups/6437514/items/MHNR4PT3"],"itemData":{"id":108,"type":"article-journal","abstract":"Aims\n              \n                This three-year follow-up study aimed to elucidate whether sodium-glucose cotransporter-2 inhibitors (SGLT2is) have any protection against diabetic neuropathy and nephropathy in patients with type 2 diabetes\n                via\n                reducing variability in glycemia and extraglycemic factors or their averages.\n              \n            \n            \n              Methods\n              Two type 2 diabetic cohorts of 40 and 73 patients treated with or without SGLT2i along with 60 control subjects were recruited. Two diabetic cohorts matched for HbA1c levels and oral hypoglycemic agents other than SGLT2is underwent glycemic control with or without SGLT2is more than two years. The urinary albumin to creatinine ratio (ACR), estimated glomerular filtration rate (eGFR) every 3 months and neuropathy outcome measures and mean Z-score of 8 neurophysiological tests were determined at the baseline and endpoint. Glycemic variability, evaluated by the coefficient of variation of monthly measured HbA1c levels and casual postprandial plasma glucose (CPPG), and coefficient of variation and average of extraglycemic parameters in diabetic cohorts were determined.\n            \n            \n              Results\n              The glycemic variability and variability of some extraglycemic factors in SGLT2i cohort were smaller than those in non-SGLT2i cohort. However, only smaller coefficient of variation of HbA1c improved some neuropathy outcome measures, and ameliorated eGFR decline. SGLT2i improved the Z-score of neurophysiological tests. The optimized changes in the blood pressure, HDL-cholesterol and uric acid by SGLT2i led to neurological and renal protection. SGLT2i decreased the prevalence of nephropathy significantly and the prevalence of neuropathy insignificantly.\n            \n            \n              Conclusion\n              Over 3 years period, SGLT2i significantly improved some neuropathy outcome measures, mean Z-score of 8 neurophysiological tests, and attenuated nephropathy in modestly controlled type 2 diabetes by reducing glycemic variability and mean nonglycemic factors of diabetic microvascular complication.","container-title":"Frontiers in Endocrinology","DOI":"10.3389/fendo.2022.864332","ISSN":"1664-2392","journalAbbreviation":"Front. Endocrinol.","page":"864332","source":"DOI.org (Crossref)","title":"Sodium Glucose Cotransporter-2 Inhibitor Protects Against Diabetic Neuropathy and Nephropathy in Modestly Controlled Type 2 Diabetes: Follow-Up Study","title-short":"Sodium Glucose Cotransporter-2 Inhibitor Protects Against Diabetic Neuropathy and Nephropathy in Modestly Controlled Type 2 Diabetes","volume":"13","author":[{"family":"Ishibashi","given":"Fukashi"},{"family":"Kosaka","given":"Aiko"},{"family":"Tavakoli","given":"Mitra"}],"issued":{"date-parts":[["2022",6,17]]}}}],"schema":"https://github.com/citation-style-language/schema/raw/master/csl-citation.json"} </w:instrText>
      </w:r>
      <w:r w:rsidR="00BA416F">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[26]</w:t>
      </w:r>
      <w:r w:rsidR="00BA416F">
        <w:rPr>
          <w:rFonts w:asciiTheme="majorBidi" w:eastAsia="Times New Roman" w:hAnsiTheme="majorBidi" w:cstheme="majorBidi"/>
          <w:lang w:val="en-US"/>
        </w:rPr>
        <w:fldChar w:fldCharType="end"/>
      </w:r>
      <w:r w:rsidRPr="006D1FD4">
        <w:rPr>
          <w:rFonts w:asciiTheme="majorBidi" w:eastAsia="Times New Roman" w:hAnsiTheme="majorBidi" w:cstheme="majorBidi"/>
          <w:lang w:val="en-US"/>
        </w:rPr>
        <w:t xml:space="preserve"> yielded a statistically significant difference </w:t>
      </w:r>
      <w:proofErr w:type="spellStart"/>
      <w:r w:rsidRPr="006D1FD4">
        <w:rPr>
          <w:rFonts w:asciiTheme="majorBidi" w:eastAsia="Times New Roman" w:hAnsiTheme="majorBidi" w:cstheme="majorBidi"/>
          <w:lang w:val="en-US"/>
        </w:rPr>
        <w:t>favouring</w:t>
      </w:r>
      <w:proofErr w:type="spellEnd"/>
      <w:r w:rsidRPr="006D1FD4">
        <w:rPr>
          <w:rFonts w:asciiTheme="majorBidi" w:eastAsia="Times New Roman" w:hAnsiTheme="majorBidi" w:cstheme="majorBidi"/>
          <w:lang w:val="en-US"/>
        </w:rPr>
        <w:t xml:space="preserve"> the SGLT2i group (MD 1.41 µV; 95% CI 0.10 to 2.73; p = 0.03). However, this finding must be interpreted with caution. A pre-specified sensitivity analysis restricted to RCTs only rendered the pooled effect non-significant (MD 1.15 µV; 95% CI </w:t>
      </w:r>
      <w:r w:rsidR="00241A31">
        <w:rPr>
          <w:rFonts w:asciiTheme="majorBidi" w:eastAsia="Times New Roman" w:hAnsiTheme="majorBidi" w:cstheme="majorBidi"/>
          <w:lang w:val="en-US"/>
        </w:rPr>
        <w:t>-</w:t>
      </w:r>
      <w:r w:rsidRPr="006D1FD4">
        <w:rPr>
          <w:rFonts w:asciiTheme="majorBidi" w:eastAsia="Times New Roman" w:hAnsiTheme="majorBidi" w:cstheme="majorBidi"/>
          <w:lang w:val="en-US"/>
        </w:rPr>
        <w:t xml:space="preserve">0.85 to 3.15; p = 0.26), indicating that the significant primary result was driven predominantly by the observational cohort rather than the </w:t>
      </w:r>
      <w:proofErr w:type="spellStart"/>
      <w:r w:rsidRPr="006D1FD4">
        <w:rPr>
          <w:rFonts w:asciiTheme="majorBidi" w:eastAsia="Times New Roman" w:hAnsiTheme="majorBidi" w:cstheme="majorBidi"/>
          <w:lang w:val="en-US"/>
        </w:rPr>
        <w:t>randomised</w:t>
      </w:r>
      <w:proofErr w:type="spellEnd"/>
      <w:r w:rsidRPr="006D1FD4">
        <w:rPr>
          <w:rFonts w:asciiTheme="majorBidi" w:eastAsia="Times New Roman" w:hAnsiTheme="majorBidi" w:cstheme="majorBidi"/>
          <w:lang w:val="en-US"/>
        </w:rPr>
        <w:t xml:space="preserve"> controlled trial evidence. A further sensitivity analysis substituting left limb data from El-Haggar </w:t>
      </w:r>
      <w:r w:rsidR="0006444B">
        <w:rPr>
          <w:rFonts w:asciiTheme="majorBidi" w:eastAsia="Times New Roman" w:hAnsiTheme="majorBidi" w:cstheme="majorBidi"/>
          <w:lang w:val="en-US"/>
        </w:rPr>
        <w:t xml:space="preserve">et al. </w:t>
      </w:r>
      <w:r w:rsidR="0006444B">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4GefHIyD","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06444B">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06444B">
        <w:rPr>
          <w:rFonts w:asciiTheme="majorBidi" w:eastAsia="Times New Roman" w:hAnsiTheme="majorBidi" w:cstheme="majorBidi"/>
          <w:lang w:val="en-US"/>
        </w:rPr>
        <w:fldChar w:fldCharType="end"/>
      </w:r>
      <w:r w:rsidRPr="006D1FD4">
        <w:rPr>
          <w:rFonts w:asciiTheme="majorBidi" w:eastAsia="Times New Roman" w:hAnsiTheme="majorBidi" w:cstheme="majorBidi"/>
          <w:lang w:val="en-US"/>
        </w:rPr>
        <w:t xml:space="preserve"> in the full three-study pool produced results consistent with the primary analysis (MD 1.52 µV; 95% CI 0.02 to 3.01; p = 0.03; I² = 71%, p = 0.05), though heterogeneity increased marginally. On the basis of these findings</w:t>
      </w:r>
      <w:r w:rsidR="00F653EF">
        <w:rPr>
          <w:rFonts w:asciiTheme="majorBidi" w:eastAsia="Times New Roman" w:hAnsiTheme="majorBidi" w:cstheme="majorBidi"/>
          <w:lang w:val="en-US"/>
        </w:rPr>
        <w:t xml:space="preserve">, </w:t>
      </w:r>
      <w:r w:rsidRPr="006D1FD4">
        <w:rPr>
          <w:rFonts w:asciiTheme="majorBidi" w:eastAsia="Times New Roman" w:hAnsiTheme="majorBidi" w:cstheme="majorBidi"/>
          <w:lang w:val="en-US"/>
        </w:rPr>
        <w:t xml:space="preserve">the evidence for a significant SGLT2i effect on sural nerve sensory amplitude is currently </w:t>
      </w:r>
      <w:r w:rsidRPr="006D1FD4">
        <w:rPr>
          <w:rFonts w:asciiTheme="majorBidi" w:eastAsia="Times New Roman" w:hAnsiTheme="majorBidi" w:cstheme="majorBidi"/>
          <w:lang w:val="en-US"/>
        </w:rPr>
        <w:lastRenderedPageBreak/>
        <w:t xml:space="preserve">insufficient to draw firm conclusions, and this outcome is considered inconclusive pending larger </w:t>
      </w:r>
      <w:proofErr w:type="spellStart"/>
      <w:r w:rsidRPr="006D1FD4">
        <w:rPr>
          <w:rFonts w:asciiTheme="majorBidi" w:eastAsia="Times New Roman" w:hAnsiTheme="majorBidi" w:cstheme="majorBidi"/>
          <w:lang w:val="en-US"/>
        </w:rPr>
        <w:t>randomised</w:t>
      </w:r>
      <w:proofErr w:type="spellEnd"/>
      <w:r w:rsidRPr="006D1FD4">
        <w:rPr>
          <w:rFonts w:asciiTheme="majorBidi" w:eastAsia="Times New Roman" w:hAnsiTheme="majorBidi" w:cstheme="majorBidi"/>
          <w:lang w:val="en-US"/>
        </w:rPr>
        <w:t xml:space="preserve"> trials with sufficient follow-up to detect amplitude changes. The forest plot is presented in Figure </w:t>
      </w:r>
      <w:r w:rsidR="003C4038">
        <w:rPr>
          <w:rFonts w:asciiTheme="majorBidi" w:eastAsia="Times New Roman" w:hAnsiTheme="majorBidi" w:cstheme="majorBidi"/>
          <w:lang w:val="en-US"/>
        </w:rPr>
        <w:t>4</w:t>
      </w:r>
      <w:r w:rsidRPr="006D1FD4">
        <w:rPr>
          <w:rFonts w:asciiTheme="majorBidi" w:eastAsia="Times New Roman" w:hAnsiTheme="majorBidi" w:cstheme="majorBidi"/>
          <w:lang w:val="en-US"/>
        </w:rPr>
        <w:t>.</w:t>
      </w:r>
    </w:p>
    <w:p w14:paraId="67861718" w14:textId="371BB878" w:rsidR="009F0A3E" w:rsidRPr="009F0A3E" w:rsidRDefault="009F0A3E" w:rsidP="00C208BC">
      <w:pPr>
        <w:spacing w:before="100" w:beforeAutospacing="1" w:after="100" w:afterAutospacing="1" w:line="360" w:lineRule="auto"/>
        <w:jc w:val="both"/>
        <w:outlineLvl w:val="4"/>
        <w:rPr>
          <w:rFonts w:asciiTheme="majorBidi" w:eastAsia="Times New Roman" w:hAnsiTheme="majorBidi" w:cstheme="majorBidi"/>
          <w:b/>
          <w:bCs/>
          <w:lang w:val="en-US"/>
        </w:rPr>
      </w:pPr>
      <w:r w:rsidRPr="009F0A3E">
        <w:rPr>
          <w:rFonts w:asciiTheme="majorBidi" w:eastAsia="Times New Roman" w:hAnsiTheme="majorBidi" w:cstheme="majorBidi"/>
          <w:b/>
          <w:bCs/>
          <w:lang w:val="en-US"/>
        </w:rPr>
        <w:t>3.4.3 Peroneal Nerve Motor Latency</w:t>
      </w:r>
    </w:p>
    <w:p w14:paraId="1E30E709" w14:textId="7C94F879" w:rsidR="009F0A3E" w:rsidRPr="009F0A3E" w:rsidRDefault="009F0A3E" w:rsidP="00EE5ADB">
      <w:pPr>
        <w:spacing w:before="100" w:beforeAutospacing="1" w:after="100" w:afterAutospacing="1" w:line="360" w:lineRule="auto"/>
        <w:jc w:val="both"/>
        <w:rPr>
          <w:rFonts w:asciiTheme="majorBidi" w:eastAsia="Times New Roman" w:hAnsiTheme="majorBidi" w:cstheme="majorBidi"/>
          <w:lang w:val="en-US"/>
        </w:rPr>
      </w:pPr>
      <w:r w:rsidRPr="009F0A3E">
        <w:rPr>
          <w:rFonts w:asciiTheme="majorBidi" w:eastAsia="Times New Roman" w:hAnsiTheme="majorBidi" w:cstheme="majorBidi"/>
          <w:lang w:val="en-US"/>
        </w:rPr>
        <w:t xml:space="preserve">Peroneal nerve motor latency was reported in two RCTs: El-Haggar </w:t>
      </w:r>
      <w:r w:rsidR="00E838F4">
        <w:rPr>
          <w:rFonts w:asciiTheme="majorBidi" w:eastAsia="Times New Roman" w:hAnsiTheme="majorBidi" w:cstheme="majorBidi"/>
          <w:lang w:val="en-US"/>
        </w:rPr>
        <w:t>et al.</w:t>
      </w:r>
      <w:r w:rsidR="0006444B">
        <w:rPr>
          <w:rFonts w:asciiTheme="majorBidi" w:eastAsia="Times New Roman" w:hAnsiTheme="majorBidi" w:cstheme="majorBidi"/>
          <w:lang w:val="en-US"/>
        </w:rPr>
        <w:t xml:space="preserve"> </w:t>
      </w:r>
      <w:r w:rsidR="0006444B">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09i0WxY6","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06444B">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06444B">
        <w:rPr>
          <w:rFonts w:asciiTheme="majorBidi" w:eastAsia="Times New Roman" w:hAnsiTheme="majorBidi" w:cstheme="majorBidi"/>
          <w:lang w:val="en-US"/>
        </w:rPr>
        <w:fldChar w:fldCharType="end"/>
      </w:r>
      <w:r w:rsidR="0006444B">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 xml:space="preserve">and </w:t>
      </w:r>
      <w:proofErr w:type="spellStart"/>
      <w:r w:rsidRPr="009F0A3E">
        <w:rPr>
          <w:rFonts w:asciiTheme="majorBidi" w:eastAsia="Times New Roman" w:hAnsiTheme="majorBidi" w:cstheme="majorBidi"/>
          <w:lang w:val="en-US"/>
        </w:rPr>
        <w:t>Vafaeinasab</w:t>
      </w:r>
      <w:proofErr w:type="spellEnd"/>
      <w:r w:rsidRPr="009F0A3E">
        <w:rPr>
          <w:rFonts w:asciiTheme="majorBidi" w:eastAsia="Times New Roman" w:hAnsiTheme="majorBidi" w:cstheme="majorBidi"/>
          <w:lang w:val="en-US"/>
        </w:rPr>
        <w:t xml:space="preserve"> </w:t>
      </w:r>
      <w:r w:rsidR="00E838F4">
        <w:rPr>
          <w:rFonts w:asciiTheme="majorBidi" w:eastAsia="Times New Roman" w:hAnsiTheme="majorBidi" w:cstheme="majorBidi"/>
          <w:lang w:val="en-US"/>
        </w:rPr>
        <w:t>et al</w:t>
      </w:r>
      <w:r w:rsidRPr="009F0A3E">
        <w:rPr>
          <w:rFonts w:asciiTheme="majorBidi" w:eastAsia="Times New Roman" w:hAnsiTheme="majorBidi" w:cstheme="majorBidi"/>
          <w:lang w:val="en-US"/>
        </w:rPr>
        <w:t>.</w:t>
      </w:r>
      <w:r w:rsidR="0006444B">
        <w:rPr>
          <w:rFonts w:asciiTheme="majorBidi" w:eastAsia="Times New Roman" w:hAnsiTheme="majorBidi" w:cstheme="majorBidi"/>
          <w:lang w:val="en-US"/>
        </w:rPr>
        <w:t xml:space="preserve"> </w:t>
      </w:r>
      <w:r w:rsidR="0006444B">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T33TgxMa","properties":{"unsorted":false,"formattedCitation":"[28]","plainCitation":"[28]","noteIndex":0},"citationItems":[{"id":"g6iDE82k/l0R4jyDB","uris":["http://zotero.org/users/19709799/items/R4ADPE66"],"itemData":{"id":"JbUMJjXw/BQQKuHa2","type":"article-journal","container-title":"Endocrinology, Diabetes &amp; Metabolism","DOI":"10.1002/edm2.70128","ISSN":"2398-9238, 2398-9238","issue":"6","journalAbbreviation":"Endocrino Diabet &amp;amp; Metabol","language":"en","page":"e70128","source":"DOI.org (Crossref)","title":"The Comparison of the Effect of Adding Empagliflozin to the Medication Regimen on Peripheral Neuropathy in Patients With Type &lt;span style=\"font-variant:small-caps;\"&gt;II&lt;/span&gt; Diabetes: A Double Blind Randomised Clinical Trial","title-short":"The Comparison of the Effect of Adding Empagliflozin to the Medication Regimen on Peripheral Neuropathy in Patients With Type &lt;span style=\"font-variant","volume":"8","author":[{"family":"Vafaeinasab","given":"Mohammadreza"},{"family":"Mirzaei Malekabad","given":"Fatemeh"},{"family":"Khatibi","given":"Amidodin"},{"family":"Ghadiri‐Anari","given":"Akram"},{"family":"Zare Bidaki","given":"Marzieh"},{"family":"Azizi","given":"Raihane"}],"issued":{"date-parts":[["2025",11]]}}}],"schema":"https://github.com/citation-style-language/schema/raw/master/csl-citation.json"} </w:instrText>
      </w:r>
      <w:r w:rsidR="0006444B">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[28]</w:t>
      </w:r>
      <w:r w:rsidR="0006444B">
        <w:rPr>
          <w:rFonts w:asciiTheme="majorBidi" w:eastAsia="Times New Roman" w:hAnsiTheme="majorBidi" w:cstheme="majorBidi"/>
          <w:lang w:val="en-US"/>
        </w:rPr>
        <w:fldChar w:fldCharType="end"/>
      </w:r>
      <w:r w:rsidRPr="009F0A3E">
        <w:rPr>
          <w:rFonts w:asciiTheme="majorBidi" w:eastAsia="Times New Roman" w:hAnsiTheme="majorBidi" w:cstheme="majorBidi"/>
          <w:lang w:val="en-US"/>
        </w:rPr>
        <w:t xml:space="preserve"> Meta-analysis using a fixed-effects model demonstrated a statistically significant reduction in peroneal nerve motor latency in the SGLT2i group compared to controls (MD </w:t>
      </w:r>
      <w:r w:rsidR="00241A31">
        <w:rPr>
          <w:rFonts w:asciiTheme="majorBidi" w:eastAsia="Times New Roman" w:hAnsiTheme="majorBidi" w:cstheme="majorBidi"/>
          <w:lang w:val="en-US"/>
        </w:rPr>
        <w:t>-</w:t>
      </w:r>
      <w:r w:rsidRPr="009F0A3E">
        <w:rPr>
          <w:rFonts w:asciiTheme="majorBidi" w:eastAsia="Times New Roman" w:hAnsiTheme="majorBidi" w:cstheme="majorBidi"/>
          <w:lang w:val="en-US"/>
        </w:rPr>
        <w:t xml:space="preserve">0.29 </w:t>
      </w:r>
      <w:proofErr w:type="spellStart"/>
      <w:r w:rsidRPr="009F0A3E">
        <w:rPr>
          <w:rFonts w:asciiTheme="majorBidi" w:eastAsia="Times New Roman" w:hAnsiTheme="majorBidi" w:cstheme="majorBidi"/>
          <w:lang w:val="en-US"/>
        </w:rPr>
        <w:t>ms</w:t>
      </w:r>
      <w:proofErr w:type="spellEnd"/>
      <w:r w:rsidRPr="009F0A3E">
        <w:rPr>
          <w:rFonts w:asciiTheme="majorBidi" w:eastAsia="Times New Roman" w:hAnsiTheme="majorBidi" w:cstheme="majorBidi"/>
          <w:lang w:val="en-US"/>
        </w:rPr>
        <w:t xml:space="preserve">; 95% CI </w:t>
      </w:r>
      <w:r w:rsidR="00241A31">
        <w:rPr>
          <w:rFonts w:asciiTheme="majorBidi" w:eastAsia="Times New Roman" w:hAnsiTheme="majorBidi" w:cstheme="majorBidi"/>
          <w:lang w:val="en-US"/>
        </w:rPr>
        <w:t>-</w:t>
      </w:r>
      <w:r w:rsidRPr="009F0A3E">
        <w:rPr>
          <w:rFonts w:asciiTheme="majorBidi" w:eastAsia="Times New Roman" w:hAnsiTheme="majorBidi" w:cstheme="majorBidi"/>
          <w:lang w:val="en-US"/>
        </w:rPr>
        <w:t xml:space="preserve">0.38 to </w:t>
      </w:r>
      <w:r w:rsidR="00241A31">
        <w:rPr>
          <w:rFonts w:asciiTheme="majorBidi" w:eastAsia="Times New Roman" w:hAnsiTheme="majorBidi" w:cstheme="majorBidi"/>
          <w:lang w:val="en-US"/>
        </w:rPr>
        <w:t>-</w:t>
      </w:r>
      <w:r w:rsidRPr="009F0A3E">
        <w:rPr>
          <w:rFonts w:asciiTheme="majorBidi" w:eastAsia="Times New Roman" w:hAnsiTheme="majorBidi" w:cstheme="majorBidi"/>
          <w:lang w:val="en-US"/>
        </w:rPr>
        <w:t xml:space="preserve">0.20; p &lt; 0.01), with no evidence of heterogeneity (I² = 0%, p = 0.57). A reduction in motor latency reflects faster nerve conduction and is consistent with improvement in peripheral motor nerve function. Sensitivity analysis incorporating left limb data from El-Haggar </w:t>
      </w:r>
      <w:r w:rsidR="00E838F4">
        <w:rPr>
          <w:rFonts w:asciiTheme="majorBidi" w:eastAsia="Times New Roman" w:hAnsiTheme="majorBidi" w:cstheme="majorBidi"/>
          <w:lang w:val="en-US"/>
        </w:rPr>
        <w:t>et al.</w:t>
      </w:r>
      <w:r w:rsidR="00A27F98">
        <w:rPr>
          <w:rFonts w:asciiTheme="majorBidi" w:eastAsia="Times New Roman" w:hAnsiTheme="majorBidi" w:cstheme="majorBidi"/>
          <w:lang w:val="en-US"/>
        </w:rPr>
        <w:t xml:space="preserve"> </w:t>
      </w:r>
      <w:r w:rsidR="00A27F98">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foFzjILw","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A27F98">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A27F98">
        <w:rPr>
          <w:rFonts w:asciiTheme="majorBidi" w:eastAsia="Times New Roman" w:hAnsiTheme="majorBidi" w:cstheme="majorBidi"/>
          <w:lang w:val="en-US"/>
        </w:rPr>
        <w:fldChar w:fldCharType="end"/>
      </w:r>
      <w:r w:rsidR="00E838F4">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 xml:space="preserve">confirmed the finding remained statistically significant (MD </w:t>
      </w:r>
      <w:r w:rsidR="00241A31">
        <w:rPr>
          <w:rFonts w:asciiTheme="majorBidi" w:eastAsia="Times New Roman" w:hAnsiTheme="majorBidi" w:cstheme="majorBidi"/>
          <w:lang w:val="en-US"/>
        </w:rPr>
        <w:t>-</w:t>
      </w:r>
      <w:r w:rsidRPr="009F0A3E">
        <w:rPr>
          <w:rFonts w:asciiTheme="majorBidi" w:eastAsia="Times New Roman" w:hAnsiTheme="majorBidi" w:cstheme="majorBidi"/>
          <w:lang w:val="en-US"/>
        </w:rPr>
        <w:t xml:space="preserve">0.29 </w:t>
      </w:r>
      <w:proofErr w:type="spellStart"/>
      <w:r w:rsidRPr="009F0A3E">
        <w:rPr>
          <w:rFonts w:asciiTheme="majorBidi" w:eastAsia="Times New Roman" w:hAnsiTheme="majorBidi" w:cstheme="majorBidi"/>
          <w:lang w:val="en-US"/>
        </w:rPr>
        <w:t>ms</w:t>
      </w:r>
      <w:proofErr w:type="spellEnd"/>
      <w:r w:rsidRPr="009F0A3E">
        <w:rPr>
          <w:rFonts w:asciiTheme="majorBidi" w:eastAsia="Times New Roman" w:hAnsiTheme="majorBidi" w:cstheme="majorBidi"/>
          <w:lang w:val="en-US"/>
        </w:rPr>
        <w:t xml:space="preserve">; 95% CI </w:t>
      </w:r>
      <w:r w:rsidR="00241A31">
        <w:rPr>
          <w:rFonts w:asciiTheme="majorBidi" w:eastAsia="Times New Roman" w:hAnsiTheme="majorBidi" w:cstheme="majorBidi"/>
          <w:lang w:val="en-US"/>
        </w:rPr>
        <w:t>-</w:t>
      </w:r>
      <w:r w:rsidRPr="009F0A3E">
        <w:rPr>
          <w:rFonts w:asciiTheme="majorBidi" w:eastAsia="Times New Roman" w:hAnsiTheme="majorBidi" w:cstheme="majorBidi"/>
          <w:lang w:val="en-US"/>
        </w:rPr>
        <w:t xml:space="preserve">0.41 to </w:t>
      </w:r>
      <w:r w:rsidR="00241A31">
        <w:rPr>
          <w:rFonts w:asciiTheme="majorBidi" w:eastAsia="Times New Roman" w:hAnsiTheme="majorBidi" w:cstheme="majorBidi"/>
          <w:lang w:val="en-US"/>
        </w:rPr>
        <w:t>-</w:t>
      </w:r>
      <w:r w:rsidRPr="009F0A3E">
        <w:rPr>
          <w:rFonts w:asciiTheme="majorBidi" w:eastAsia="Times New Roman" w:hAnsiTheme="majorBidi" w:cstheme="majorBidi"/>
          <w:lang w:val="en-US"/>
        </w:rPr>
        <w:t xml:space="preserve">0.17; p &lt; 0.01). </w:t>
      </w:r>
      <w:r w:rsidR="003C4038">
        <w:rPr>
          <w:rFonts w:asciiTheme="majorBidi" w:eastAsia="Times New Roman" w:hAnsiTheme="majorBidi" w:cstheme="majorBidi"/>
          <w:lang w:val="en-US"/>
        </w:rPr>
        <w:t>The forest plot is presented in Figure 5</w:t>
      </w:r>
      <w:r w:rsidR="00836784">
        <w:rPr>
          <w:rFonts w:asciiTheme="majorBidi" w:eastAsia="Times New Roman" w:hAnsiTheme="majorBidi" w:cstheme="majorBidi"/>
          <w:lang w:val="en-US"/>
        </w:rPr>
        <w:t>.</w:t>
      </w:r>
    </w:p>
    <w:p w14:paraId="551C0CA6" w14:textId="77777777" w:rsidR="009F0A3E" w:rsidRPr="009F0A3E" w:rsidRDefault="009F0A3E" w:rsidP="00C208BC">
      <w:pPr>
        <w:spacing w:before="100" w:beforeAutospacing="1" w:after="100" w:afterAutospacing="1" w:line="360" w:lineRule="auto"/>
        <w:jc w:val="both"/>
        <w:outlineLvl w:val="4"/>
        <w:rPr>
          <w:rFonts w:asciiTheme="majorBidi" w:eastAsia="Times New Roman" w:hAnsiTheme="majorBidi" w:cstheme="majorBidi"/>
          <w:b/>
          <w:bCs/>
          <w:lang w:val="en-US"/>
        </w:rPr>
      </w:pPr>
      <w:r w:rsidRPr="009F0A3E">
        <w:rPr>
          <w:rFonts w:asciiTheme="majorBidi" w:eastAsia="Times New Roman" w:hAnsiTheme="majorBidi" w:cstheme="majorBidi"/>
          <w:b/>
          <w:bCs/>
          <w:lang w:val="en-US"/>
        </w:rPr>
        <w:t>3.4.4 Peroneal Nerve Motor Conduction Velocity</w:t>
      </w:r>
    </w:p>
    <w:p w14:paraId="301E27FA" w14:textId="5D51BE02" w:rsidR="009F0A3E" w:rsidRPr="009F0A3E" w:rsidRDefault="009F0A3E" w:rsidP="00EE5ADB">
      <w:pPr>
        <w:spacing w:before="100" w:beforeAutospacing="1" w:after="100" w:afterAutospacing="1" w:line="360" w:lineRule="auto"/>
        <w:jc w:val="both"/>
        <w:rPr>
          <w:rFonts w:asciiTheme="majorBidi" w:eastAsia="Times New Roman" w:hAnsiTheme="majorBidi" w:cstheme="majorBidi"/>
          <w:lang w:val="en-US"/>
        </w:rPr>
      </w:pPr>
      <w:r w:rsidRPr="009F0A3E">
        <w:rPr>
          <w:rFonts w:asciiTheme="majorBidi" w:eastAsia="Times New Roman" w:hAnsiTheme="majorBidi" w:cstheme="majorBidi"/>
          <w:lang w:val="en-US"/>
        </w:rPr>
        <w:t xml:space="preserve">Peroneal nerve motor conduction velocity was reported in the same two RCTs. Meta-analysis using a random-effects model applied due to moderate heterogeneity (I² = 57%, p = 0.129) demonstrated no statistically significant difference between the SGLT2i and control groups (MD 0.85 m/s; 95% CI </w:t>
      </w:r>
      <w:r w:rsidR="0002688A">
        <w:rPr>
          <w:rFonts w:asciiTheme="majorBidi" w:eastAsia="Times New Roman" w:hAnsiTheme="majorBidi" w:cstheme="majorBidi"/>
          <w:lang w:val="en-US"/>
        </w:rPr>
        <w:t>-</w:t>
      </w:r>
      <w:r w:rsidRPr="009F0A3E">
        <w:rPr>
          <w:rFonts w:asciiTheme="majorBidi" w:eastAsia="Times New Roman" w:hAnsiTheme="majorBidi" w:cstheme="majorBidi"/>
          <w:lang w:val="en-US"/>
        </w:rPr>
        <w:t xml:space="preserve">0.41 to 2.12; p = 0.19). Sensitivity analysis with left limb data from El-Haggar </w:t>
      </w:r>
      <w:r w:rsidR="0006444B">
        <w:rPr>
          <w:rFonts w:asciiTheme="majorBidi" w:eastAsia="Times New Roman" w:hAnsiTheme="majorBidi" w:cstheme="majorBidi"/>
          <w:lang w:val="en-US"/>
        </w:rPr>
        <w:t xml:space="preserve">et al. </w:t>
      </w:r>
      <w:r w:rsidR="0006444B">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098DzIlk","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06444B">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06444B">
        <w:rPr>
          <w:rFonts w:asciiTheme="majorBidi" w:eastAsia="Times New Roman" w:hAnsiTheme="majorBidi" w:cstheme="majorBidi"/>
          <w:lang w:val="en-US"/>
        </w:rPr>
        <w:fldChar w:fldCharType="end"/>
      </w:r>
      <w:r w:rsidR="0006444B">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 xml:space="preserve">did not alter this conclusion. </w:t>
      </w:r>
      <w:r w:rsidR="003C4038">
        <w:rPr>
          <w:rFonts w:asciiTheme="majorBidi" w:eastAsia="Times New Roman" w:hAnsiTheme="majorBidi" w:cstheme="majorBidi"/>
          <w:lang w:val="en-US"/>
        </w:rPr>
        <w:t>The forest plot is presented in Figure 5</w:t>
      </w:r>
      <w:r w:rsidR="00836784">
        <w:rPr>
          <w:rFonts w:asciiTheme="majorBidi" w:eastAsia="Times New Roman" w:hAnsiTheme="majorBidi" w:cstheme="majorBidi"/>
          <w:lang w:val="en-US"/>
        </w:rPr>
        <w:t>.</w:t>
      </w:r>
    </w:p>
    <w:p w14:paraId="0FF07C56" w14:textId="77777777" w:rsidR="009F0A3E" w:rsidRPr="009F0A3E" w:rsidRDefault="009F0A3E" w:rsidP="00C208BC">
      <w:pPr>
        <w:spacing w:before="100" w:beforeAutospacing="1" w:after="100" w:afterAutospacing="1" w:line="360" w:lineRule="auto"/>
        <w:jc w:val="both"/>
        <w:outlineLvl w:val="4"/>
        <w:rPr>
          <w:rFonts w:asciiTheme="majorBidi" w:eastAsia="Times New Roman" w:hAnsiTheme="majorBidi" w:cstheme="majorBidi"/>
          <w:b/>
          <w:bCs/>
          <w:lang w:val="en-US"/>
        </w:rPr>
      </w:pPr>
      <w:r w:rsidRPr="009F0A3E">
        <w:rPr>
          <w:rFonts w:asciiTheme="majorBidi" w:eastAsia="Times New Roman" w:hAnsiTheme="majorBidi" w:cstheme="majorBidi"/>
          <w:b/>
          <w:bCs/>
          <w:lang w:val="en-US"/>
        </w:rPr>
        <w:t>3.4.5 Peroneal Nerve Motor Amplitude</w:t>
      </w:r>
    </w:p>
    <w:p w14:paraId="17DEB2E8" w14:textId="746F93D2" w:rsidR="009F0A3E" w:rsidRPr="009F0A3E" w:rsidRDefault="009F0A3E" w:rsidP="00EE5ADB">
      <w:pPr>
        <w:spacing w:before="100" w:beforeAutospacing="1" w:after="100" w:afterAutospacing="1" w:line="360" w:lineRule="auto"/>
        <w:jc w:val="both"/>
        <w:rPr>
          <w:rFonts w:asciiTheme="majorBidi" w:eastAsia="Times New Roman" w:hAnsiTheme="majorBidi" w:cstheme="majorBidi"/>
          <w:lang w:val="en-US"/>
        </w:rPr>
      </w:pPr>
      <w:r w:rsidRPr="009F0A3E">
        <w:rPr>
          <w:rFonts w:asciiTheme="majorBidi" w:eastAsia="Times New Roman" w:hAnsiTheme="majorBidi" w:cstheme="majorBidi"/>
          <w:lang w:val="en-US"/>
        </w:rPr>
        <w:t xml:space="preserve">Peroneal nerve motor amplitude was reported in El-Haggar </w:t>
      </w:r>
      <w:r w:rsidR="00E838F4">
        <w:rPr>
          <w:rFonts w:asciiTheme="majorBidi" w:eastAsia="Times New Roman" w:hAnsiTheme="majorBidi" w:cstheme="majorBidi"/>
          <w:lang w:val="en-US"/>
        </w:rPr>
        <w:t>et al.</w:t>
      </w:r>
      <w:r w:rsidRPr="009F0A3E">
        <w:rPr>
          <w:rFonts w:asciiTheme="majorBidi" w:eastAsia="Times New Roman" w:hAnsiTheme="majorBidi" w:cstheme="majorBidi"/>
          <w:lang w:val="en-US"/>
        </w:rPr>
        <w:t xml:space="preserve"> </w:t>
      </w:r>
      <w:r w:rsidR="0006444B">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lcIoCU7w","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06444B">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06444B">
        <w:rPr>
          <w:rFonts w:asciiTheme="majorBidi" w:eastAsia="Times New Roman" w:hAnsiTheme="majorBidi" w:cstheme="majorBidi"/>
          <w:lang w:val="en-US"/>
        </w:rPr>
        <w:fldChar w:fldCharType="end"/>
      </w:r>
      <w:r w:rsidR="0006444B">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 xml:space="preserve">and </w:t>
      </w:r>
      <w:proofErr w:type="spellStart"/>
      <w:r w:rsidRPr="009F0A3E">
        <w:rPr>
          <w:rFonts w:asciiTheme="majorBidi" w:eastAsia="Times New Roman" w:hAnsiTheme="majorBidi" w:cstheme="majorBidi"/>
          <w:lang w:val="en-US"/>
        </w:rPr>
        <w:t>Vafaeinasab</w:t>
      </w:r>
      <w:proofErr w:type="spellEnd"/>
      <w:r w:rsidRPr="009F0A3E">
        <w:rPr>
          <w:rFonts w:asciiTheme="majorBidi" w:eastAsia="Times New Roman" w:hAnsiTheme="majorBidi" w:cstheme="majorBidi"/>
          <w:lang w:val="en-US"/>
        </w:rPr>
        <w:t xml:space="preserve"> </w:t>
      </w:r>
      <w:r w:rsidR="00E838F4">
        <w:rPr>
          <w:rFonts w:asciiTheme="majorBidi" w:eastAsia="Times New Roman" w:hAnsiTheme="majorBidi" w:cstheme="majorBidi"/>
          <w:lang w:val="en-US"/>
        </w:rPr>
        <w:t>et al</w:t>
      </w:r>
      <w:r w:rsidRPr="009F0A3E">
        <w:rPr>
          <w:rFonts w:asciiTheme="majorBidi" w:eastAsia="Times New Roman" w:hAnsiTheme="majorBidi" w:cstheme="majorBidi"/>
          <w:lang w:val="en-US"/>
        </w:rPr>
        <w:t xml:space="preserve">. </w:t>
      </w:r>
      <w:r w:rsidR="0006444B">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xrdxQLZu","properties":{"unsorted":false,"formattedCitation":"[28]","plainCitation":"[28]","noteIndex":0},"citationItems":[{"id":"g6iDE82k/l0R4jyDB","uris":["http://zotero.org/users/19709799/items/R4ADPE66"],"itemData":{"id":"JbUMJjXw/BQQKuHa2","type":"article-journal","container-title":"Endocrinology, Diabetes &amp; Metabolism","DOI":"10.1002/edm2.70128","ISSN":"2398-9238, 2398-9238","issue":"6","journalAbbreviation":"Endocrino Diabet &amp;amp; Metabol","language":"en","page":"e70128","source":"DOI.org (Crossref)","title":"The Comparison of the Effect of Adding Empagliflozin to the Medication Regimen on Peripheral Neuropathy in Patients With Type &lt;span style=\"font-variant:small-caps;\"&gt;II&lt;/span&gt; Diabetes: A Double Blind Randomised Clinical Trial","title-short":"The Comparison of the Effect of Adding Empagliflozin to the Medication Regimen on Peripheral Neuropathy in Patients With Type &lt;span style=\"font-variant","volume":"8","author":[{"family":"Vafaeinasab","given":"Mohammadreza"},{"family":"Mirzaei Malekabad","given":"Fatemeh"},{"family":"Khatibi","given":"Amidodin"},{"family":"Ghadiri‐Anari","given":"Akram"},{"family":"Zare Bidaki","given":"Marzieh"},{"family":"Azizi","given":"Raihane"}],"issued":{"date-parts":[["2025",11]]}}}],"schema":"https://github.com/citation-style-language/schema/raw/master/csl-citation.json"} </w:instrText>
      </w:r>
      <w:r w:rsidR="0006444B">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[28]</w:t>
      </w:r>
      <w:r w:rsidR="0006444B">
        <w:rPr>
          <w:rFonts w:asciiTheme="majorBidi" w:eastAsia="Times New Roman" w:hAnsiTheme="majorBidi" w:cstheme="majorBidi"/>
          <w:lang w:val="en-US"/>
        </w:rPr>
        <w:fldChar w:fldCharType="end"/>
      </w:r>
      <w:r w:rsidR="0006444B">
        <w:rPr>
          <w:rFonts w:asciiTheme="majorBidi" w:eastAsia="Times New Roman" w:hAnsiTheme="majorBidi" w:cstheme="majorBidi"/>
          <w:lang w:val="en-US"/>
        </w:rPr>
        <w:t xml:space="preserve">. </w:t>
      </w:r>
      <w:r w:rsidR="00BC298C">
        <w:rPr>
          <w:rFonts w:asciiTheme="majorBidi" w:eastAsia="Times New Roman" w:hAnsiTheme="majorBidi" w:cstheme="majorBidi"/>
          <w:lang w:val="en-US"/>
        </w:rPr>
        <w:t>High</w:t>
      </w:r>
      <w:r w:rsidRPr="009F0A3E">
        <w:rPr>
          <w:rFonts w:asciiTheme="majorBidi" w:eastAsia="Times New Roman" w:hAnsiTheme="majorBidi" w:cstheme="majorBidi"/>
          <w:lang w:val="en-US"/>
        </w:rPr>
        <w:t xml:space="preserve"> statistical heterogeneity was identified across the two studies (I² = 90%, p = 0.0014), indicating fundamental differences in the underlying effect estimates</w:t>
      </w:r>
      <w:r w:rsidR="00090960">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 xml:space="preserve">A random-effects meta-analysis was performed (MD 0.54 mV; 95% CI </w:t>
      </w:r>
      <w:r w:rsidR="00095D2F">
        <w:rPr>
          <w:rFonts w:asciiTheme="majorBidi" w:eastAsia="Times New Roman" w:hAnsiTheme="majorBidi" w:cstheme="majorBidi"/>
          <w:lang w:val="en-US"/>
        </w:rPr>
        <w:t>-</w:t>
      </w:r>
      <w:r w:rsidRPr="009F0A3E">
        <w:rPr>
          <w:rFonts w:asciiTheme="majorBidi" w:eastAsia="Times New Roman" w:hAnsiTheme="majorBidi" w:cstheme="majorBidi"/>
          <w:lang w:val="en-US"/>
        </w:rPr>
        <w:t xml:space="preserve">0.44 to 1.52; p = 0.28), however this pooled estimate should be interpreted with extreme caution given the degree of heterogeneity. Sensitivity analysis with left limb data from El-Haggar </w:t>
      </w:r>
      <w:r w:rsidR="00E838F4">
        <w:rPr>
          <w:rFonts w:asciiTheme="majorBidi" w:eastAsia="Times New Roman" w:hAnsiTheme="majorBidi" w:cstheme="majorBidi"/>
          <w:lang w:val="en-US"/>
        </w:rPr>
        <w:t>et al.</w:t>
      </w:r>
      <w:r w:rsidR="00BC298C">
        <w:rPr>
          <w:rFonts w:asciiTheme="majorBidi" w:eastAsia="Times New Roman" w:hAnsiTheme="majorBidi" w:cstheme="majorBidi"/>
          <w:lang w:val="en-US"/>
        </w:rPr>
        <w:t xml:space="preserve"> </w:t>
      </w:r>
      <w:r w:rsidR="00BC298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WvG2Eo5q","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BC298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BC298C">
        <w:rPr>
          <w:rFonts w:asciiTheme="majorBidi" w:eastAsia="Times New Roman" w:hAnsiTheme="majorBidi" w:cstheme="majorBidi"/>
          <w:lang w:val="en-US"/>
        </w:rPr>
        <w:fldChar w:fldCharType="end"/>
      </w:r>
      <w:r w:rsidR="00E838F4">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continued to show no significant difference.</w:t>
      </w:r>
      <w:r w:rsidR="00E838F4">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No firm conclusions can be drawn regarding the effect of SGLT2i therapy on peroneal nerve motor amplitude from the current evidence.</w:t>
      </w:r>
      <w:r w:rsidR="003C4038">
        <w:rPr>
          <w:rFonts w:asciiTheme="majorBidi" w:eastAsia="Times New Roman" w:hAnsiTheme="majorBidi" w:cstheme="majorBidi"/>
          <w:lang w:val="en-US"/>
        </w:rPr>
        <w:t xml:space="preserve"> The forest plot is presented in Figure 5</w:t>
      </w:r>
      <w:r w:rsidR="00836784">
        <w:rPr>
          <w:rFonts w:asciiTheme="majorBidi" w:eastAsia="Times New Roman" w:hAnsiTheme="majorBidi" w:cstheme="majorBidi"/>
          <w:lang w:val="en-US"/>
        </w:rPr>
        <w:t>.</w:t>
      </w:r>
    </w:p>
    <w:p w14:paraId="55822295" w14:textId="6A90D432" w:rsidR="009F0A3E" w:rsidRPr="009F0A3E" w:rsidRDefault="009F0A3E" w:rsidP="00C208BC">
      <w:pPr>
        <w:spacing w:before="100" w:beforeAutospacing="1" w:after="100" w:afterAutospacing="1" w:line="360" w:lineRule="auto"/>
        <w:jc w:val="both"/>
        <w:outlineLvl w:val="4"/>
        <w:rPr>
          <w:rFonts w:asciiTheme="majorBidi" w:eastAsia="Times New Roman" w:hAnsiTheme="majorBidi" w:cstheme="majorBidi"/>
          <w:b/>
          <w:bCs/>
          <w:lang w:val="en-US"/>
        </w:rPr>
      </w:pPr>
      <w:r w:rsidRPr="009F0A3E">
        <w:rPr>
          <w:rFonts w:asciiTheme="majorBidi" w:eastAsia="Times New Roman" w:hAnsiTheme="majorBidi" w:cstheme="majorBidi"/>
          <w:b/>
          <w:bCs/>
          <w:lang w:val="en-US"/>
        </w:rPr>
        <w:t>3.4.6 Oxidative Stress</w:t>
      </w:r>
      <w:r w:rsidR="00F653EF">
        <w:rPr>
          <w:rFonts w:asciiTheme="majorBidi" w:eastAsia="Times New Roman" w:hAnsiTheme="majorBidi" w:cstheme="majorBidi"/>
          <w:b/>
          <w:bCs/>
          <w:lang w:val="en-US"/>
        </w:rPr>
        <w:t>:</w:t>
      </w:r>
      <w:r w:rsidRPr="009F0A3E">
        <w:rPr>
          <w:rFonts w:asciiTheme="majorBidi" w:eastAsia="Times New Roman" w:hAnsiTheme="majorBidi" w:cstheme="majorBidi"/>
          <w:b/>
          <w:bCs/>
          <w:lang w:val="en-US"/>
        </w:rPr>
        <w:t xml:space="preserve"> Malondialdehyde</w:t>
      </w:r>
    </w:p>
    <w:p w14:paraId="42B1D4FE" w14:textId="7F2EA1B9" w:rsidR="009F0A3E" w:rsidRPr="009F0A3E" w:rsidRDefault="00EC5ACB" w:rsidP="00EE5ADB">
      <w:pPr>
        <w:spacing w:before="100" w:beforeAutospacing="1" w:after="100" w:afterAutospacing="1" w:line="360" w:lineRule="auto"/>
        <w:jc w:val="both"/>
        <w:rPr>
          <w:rFonts w:asciiTheme="majorBidi" w:eastAsia="Times New Roman" w:hAnsiTheme="majorBidi" w:cstheme="majorBidi"/>
          <w:lang w:val="en-US"/>
        </w:rPr>
      </w:pPr>
      <w:r w:rsidRPr="00EC5ACB">
        <w:rPr>
          <w:rFonts w:asciiTheme="majorBidi" w:eastAsia="Times New Roman" w:hAnsiTheme="majorBidi" w:cstheme="majorBidi"/>
          <w:lang w:val="en-US"/>
        </w:rPr>
        <w:t xml:space="preserve">Malondialdehyde (MDA), a marker of lipid peroxidation and oxidative stress, was reported in two RCTs: El-Haggar </w:t>
      </w:r>
      <w:r w:rsidR="002B7C1E">
        <w:rPr>
          <w:rFonts w:asciiTheme="majorBidi" w:eastAsia="Times New Roman" w:hAnsiTheme="majorBidi" w:cstheme="majorBidi"/>
          <w:lang w:val="en-US"/>
        </w:rPr>
        <w:t xml:space="preserve">et al. </w:t>
      </w:r>
      <w:r w:rsidR="002B7C1E">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gwfxsxBz","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2B7C1E">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2B7C1E">
        <w:rPr>
          <w:rFonts w:asciiTheme="majorBidi" w:eastAsia="Times New Roman" w:hAnsiTheme="majorBidi" w:cstheme="majorBidi"/>
          <w:lang w:val="en-US"/>
        </w:rPr>
        <w:fldChar w:fldCharType="end"/>
      </w:r>
      <w:r w:rsidRPr="00EC5ACB">
        <w:rPr>
          <w:rFonts w:asciiTheme="majorBidi" w:eastAsia="Times New Roman" w:hAnsiTheme="majorBidi" w:cstheme="majorBidi"/>
          <w:lang w:val="en-US"/>
        </w:rPr>
        <w:t xml:space="preserve"> and Adhikari </w:t>
      </w:r>
      <w:r w:rsidR="002B7C1E">
        <w:rPr>
          <w:rFonts w:asciiTheme="majorBidi" w:eastAsia="Times New Roman" w:hAnsiTheme="majorBidi" w:cstheme="majorBidi"/>
          <w:lang w:val="en-US"/>
        </w:rPr>
        <w:t xml:space="preserve">et al </w:t>
      </w:r>
      <w:r w:rsidR="002B7C1E">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IAFulfso","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2B7C1E">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[25]</w:t>
      </w:r>
      <w:r w:rsidR="002B7C1E">
        <w:rPr>
          <w:rFonts w:asciiTheme="majorBidi" w:eastAsia="Times New Roman" w:hAnsiTheme="majorBidi" w:cstheme="majorBidi"/>
          <w:lang w:val="en-US"/>
        </w:rPr>
        <w:fldChar w:fldCharType="end"/>
      </w:r>
      <w:r w:rsidRPr="00EC5ACB">
        <w:rPr>
          <w:rFonts w:asciiTheme="majorBidi" w:eastAsia="Times New Roman" w:hAnsiTheme="majorBidi" w:cstheme="majorBidi"/>
          <w:lang w:val="en-US"/>
        </w:rPr>
        <w:t xml:space="preserve">. Meta-analysis using a random-effects model revealed extreme statistical heterogeneity between the two studies (I² = 98%, p &lt; 0.0001), indicating </w:t>
      </w:r>
      <w:r w:rsidRPr="00EC5ACB">
        <w:rPr>
          <w:rFonts w:asciiTheme="majorBidi" w:eastAsia="Times New Roman" w:hAnsiTheme="majorBidi" w:cstheme="majorBidi"/>
          <w:lang w:val="en-US"/>
        </w:rPr>
        <w:lastRenderedPageBreak/>
        <w:t xml:space="preserve">fundamental differences in the underlying effect estimates that severely limit the interpretability of the pooled result. The pooled analysis yielded a non-significant between-group difference (MD 1.78; 95% CI </w:t>
      </w:r>
      <w:r w:rsidR="00225F03">
        <w:rPr>
          <w:rFonts w:asciiTheme="majorBidi" w:eastAsia="Times New Roman" w:hAnsiTheme="majorBidi" w:cstheme="majorBidi"/>
          <w:lang w:val="en-US"/>
        </w:rPr>
        <w:t>-</w:t>
      </w:r>
      <w:r w:rsidRPr="00EC5ACB">
        <w:rPr>
          <w:rFonts w:asciiTheme="majorBidi" w:eastAsia="Times New Roman" w:hAnsiTheme="majorBidi" w:cstheme="majorBidi"/>
          <w:lang w:val="en-US"/>
        </w:rPr>
        <w:t xml:space="preserve">1.72 to 5.27; p = 0.32), however given the degree of heterogeneity this summary estimate should not be interpreted as a meaningful representation of either study's findings in isolation. Examining the individual study estimates reveals a striking divergence: El-Haggar </w:t>
      </w:r>
      <w:r w:rsidR="00967CB3">
        <w:rPr>
          <w:rFonts w:asciiTheme="majorBidi" w:eastAsia="Times New Roman" w:hAnsiTheme="majorBidi" w:cstheme="majorBidi"/>
          <w:lang w:val="en-US"/>
        </w:rPr>
        <w:t xml:space="preserve">et al. </w:t>
      </w:r>
      <w:r w:rsidR="00967CB3">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FK8Z40Zv","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967CB3">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967CB3">
        <w:rPr>
          <w:rFonts w:asciiTheme="majorBidi" w:eastAsia="Times New Roman" w:hAnsiTheme="majorBidi" w:cstheme="majorBidi"/>
          <w:lang w:val="en-US"/>
        </w:rPr>
        <w:fldChar w:fldCharType="end"/>
      </w:r>
      <w:r w:rsidRPr="00EC5ACB">
        <w:rPr>
          <w:rFonts w:asciiTheme="majorBidi" w:eastAsia="Times New Roman" w:hAnsiTheme="majorBidi" w:cstheme="majorBidi"/>
          <w:lang w:val="en-US"/>
        </w:rPr>
        <w:t xml:space="preserve"> reported a large significant reduction in MDA </w:t>
      </w:r>
      <w:proofErr w:type="spellStart"/>
      <w:r w:rsidRPr="00EC5ACB">
        <w:rPr>
          <w:rFonts w:asciiTheme="majorBidi" w:eastAsia="Times New Roman" w:hAnsiTheme="majorBidi" w:cstheme="majorBidi"/>
          <w:lang w:val="en-US"/>
        </w:rPr>
        <w:t>favouring</w:t>
      </w:r>
      <w:proofErr w:type="spellEnd"/>
      <w:r w:rsidRPr="00EC5ACB">
        <w:rPr>
          <w:rFonts w:asciiTheme="majorBidi" w:eastAsia="Times New Roman" w:hAnsiTheme="majorBidi" w:cstheme="majorBidi"/>
          <w:lang w:val="en-US"/>
        </w:rPr>
        <w:t xml:space="preserve"> the SGLT2i group (MD 3.60; 95% CI 2.53 to 4.67), while Adhikari </w:t>
      </w:r>
      <w:r w:rsidR="00967CB3">
        <w:rPr>
          <w:rFonts w:asciiTheme="majorBidi" w:eastAsia="Times New Roman" w:hAnsiTheme="majorBidi" w:cstheme="majorBidi"/>
          <w:lang w:val="en-US"/>
        </w:rPr>
        <w:t xml:space="preserve">et al. </w:t>
      </w:r>
      <w:r w:rsidR="00967CB3">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yhzuBicc","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967CB3">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[25]</w:t>
      </w:r>
      <w:r w:rsidR="00967CB3">
        <w:rPr>
          <w:rFonts w:asciiTheme="majorBidi" w:eastAsia="Times New Roman" w:hAnsiTheme="majorBidi" w:cstheme="majorBidi"/>
          <w:lang w:val="en-US"/>
        </w:rPr>
        <w:fldChar w:fldCharType="end"/>
      </w:r>
      <w:r w:rsidRPr="00EC5ACB">
        <w:rPr>
          <w:rFonts w:asciiTheme="majorBidi" w:eastAsia="Times New Roman" w:hAnsiTheme="majorBidi" w:cstheme="majorBidi"/>
          <w:lang w:val="en-US"/>
        </w:rPr>
        <w:t xml:space="preserve"> reported a near-null between-group difference (MD 0.03; 95% CI </w:t>
      </w:r>
      <w:r w:rsidR="00225F03">
        <w:rPr>
          <w:rFonts w:asciiTheme="majorBidi" w:eastAsia="Times New Roman" w:hAnsiTheme="majorBidi" w:cstheme="majorBidi"/>
          <w:lang w:val="en-US"/>
        </w:rPr>
        <w:t>-</w:t>
      </w:r>
      <w:r w:rsidRPr="00EC5ACB">
        <w:rPr>
          <w:rFonts w:asciiTheme="majorBidi" w:eastAsia="Times New Roman" w:hAnsiTheme="majorBidi" w:cstheme="majorBidi"/>
          <w:lang w:val="en-US"/>
        </w:rPr>
        <w:t xml:space="preserve">0.03 to 0.10). This </w:t>
      </w:r>
      <w:r w:rsidR="00967CB3">
        <w:rPr>
          <w:rFonts w:asciiTheme="majorBidi" w:eastAsia="Times New Roman" w:hAnsiTheme="majorBidi" w:cstheme="majorBidi"/>
          <w:lang w:val="en-US"/>
        </w:rPr>
        <w:t>difference</w:t>
      </w:r>
      <w:r w:rsidRPr="00EC5ACB">
        <w:rPr>
          <w:rFonts w:asciiTheme="majorBidi" w:eastAsia="Times New Roman" w:hAnsiTheme="majorBidi" w:cstheme="majorBidi"/>
          <w:lang w:val="en-US"/>
        </w:rPr>
        <w:t xml:space="preserve"> is likely explained by the observation that in Adhikari </w:t>
      </w:r>
      <w:r w:rsidR="00967CB3">
        <w:rPr>
          <w:rFonts w:asciiTheme="majorBidi" w:eastAsia="Times New Roman" w:hAnsiTheme="majorBidi" w:cstheme="majorBidi"/>
          <w:lang w:val="en-US"/>
        </w:rPr>
        <w:t xml:space="preserve">et al. </w:t>
      </w:r>
      <w:r w:rsidR="00967CB3">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ElnyL1CH","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967CB3">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[25]</w:t>
      </w:r>
      <w:r w:rsidR="00967CB3">
        <w:rPr>
          <w:rFonts w:asciiTheme="majorBidi" w:eastAsia="Times New Roman" w:hAnsiTheme="majorBidi" w:cstheme="majorBidi"/>
          <w:lang w:val="en-US"/>
        </w:rPr>
        <w:fldChar w:fldCharType="end"/>
      </w:r>
      <w:r w:rsidRPr="00EC5ACB">
        <w:rPr>
          <w:rFonts w:asciiTheme="majorBidi" w:eastAsia="Times New Roman" w:hAnsiTheme="majorBidi" w:cstheme="majorBidi"/>
          <w:lang w:val="en-US"/>
        </w:rPr>
        <w:t xml:space="preserve">, MDA decreased significantly in both the dapagliflozin and control groups (both p &lt; 0.001), suggesting that </w:t>
      </w:r>
      <w:proofErr w:type="spellStart"/>
      <w:r w:rsidRPr="00EC5ACB">
        <w:rPr>
          <w:rFonts w:asciiTheme="majorBidi" w:eastAsia="Times New Roman" w:hAnsiTheme="majorBidi" w:cstheme="majorBidi"/>
          <w:lang w:val="en-US"/>
        </w:rPr>
        <w:t>optimised</w:t>
      </w:r>
      <w:proofErr w:type="spellEnd"/>
      <w:r w:rsidRPr="00EC5ACB">
        <w:rPr>
          <w:rFonts w:asciiTheme="majorBidi" w:eastAsia="Times New Roman" w:hAnsiTheme="majorBidi" w:cstheme="majorBidi"/>
          <w:lang w:val="en-US"/>
        </w:rPr>
        <w:t xml:space="preserve"> standard diabetic care itself may independently reduce systemic oxidative stress sufficiently to attenuate any detectable SGLT2i-specific antioxidant effect in a between-group comparison. The contrasting result in El-Haggar </w:t>
      </w:r>
      <w:r w:rsidR="00F653EF">
        <w:rPr>
          <w:rFonts w:asciiTheme="majorBidi" w:eastAsia="Times New Roman" w:hAnsiTheme="majorBidi" w:cstheme="majorBidi"/>
          <w:lang w:val="en-US"/>
        </w:rPr>
        <w:t>et al.</w:t>
      </w:r>
      <w:r w:rsidR="00BF49F9">
        <w:rPr>
          <w:rFonts w:asciiTheme="majorBidi" w:eastAsia="Times New Roman" w:hAnsiTheme="majorBidi" w:cstheme="majorBidi"/>
          <w:lang w:val="en-US"/>
        </w:rPr>
        <w:t xml:space="preserve"> </w:t>
      </w:r>
      <w:r w:rsidR="00BF49F9">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1PT7uMp7","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BF49F9">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BF49F9">
        <w:rPr>
          <w:rFonts w:asciiTheme="majorBidi" w:eastAsia="Times New Roman" w:hAnsiTheme="majorBidi" w:cstheme="majorBidi"/>
          <w:lang w:val="en-US"/>
        </w:rPr>
        <w:fldChar w:fldCharType="end"/>
      </w:r>
      <w:r w:rsidR="00967CB3">
        <w:rPr>
          <w:rFonts w:asciiTheme="majorBidi" w:eastAsia="Times New Roman" w:hAnsiTheme="majorBidi" w:cstheme="majorBidi"/>
          <w:lang w:val="en-US"/>
        </w:rPr>
        <w:t xml:space="preserve">, </w:t>
      </w:r>
      <w:r w:rsidRPr="00EC5ACB">
        <w:rPr>
          <w:rFonts w:asciiTheme="majorBidi" w:eastAsia="Times New Roman" w:hAnsiTheme="majorBidi" w:cstheme="majorBidi"/>
          <w:lang w:val="en-US"/>
        </w:rPr>
        <w:t>may reflect background therapy, or the specific SGLT2i agent and dose used. Given the heterogeneity and the presence of only two contributing studies, no reliable pooled conclusion regarding the effect of SGLT2 inhibitors on MDA can be drawn from the current evidence.</w:t>
      </w:r>
      <w:r w:rsidR="00967CB3">
        <w:rPr>
          <w:rFonts w:asciiTheme="majorBidi" w:eastAsia="Times New Roman" w:hAnsiTheme="majorBidi" w:cstheme="majorBidi"/>
          <w:lang w:val="en-US"/>
        </w:rPr>
        <w:t xml:space="preserve"> It is also important to note that an additional source of heterogeneity is </w:t>
      </w:r>
      <w:r w:rsidR="00F050B1">
        <w:rPr>
          <w:rFonts w:asciiTheme="majorBidi" w:eastAsia="Times New Roman" w:hAnsiTheme="majorBidi" w:cstheme="majorBidi"/>
          <w:lang w:val="en-US"/>
        </w:rPr>
        <w:t xml:space="preserve">the </w:t>
      </w:r>
      <w:r w:rsidR="00967CB3">
        <w:rPr>
          <w:rFonts w:asciiTheme="majorBidi" w:eastAsia="Times New Roman" w:hAnsiTheme="majorBidi" w:cstheme="majorBidi"/>
          <w:lang w:val="en-US"/>
        </w:rPr>
        <w:t>difference between baseline MDA levels in El-Haggar et al.</w:t>
      </w:r>
      <w:r w:rsidR="00BF49F9">
        <w:rPr>
          <w:rFonts w:asciiTheme="majorBidi" w:eastAsia="Times New Roman" w:hAnsiTheme="majorBidi" w:cstheme="majorBidi"/>
          <w:lang w:val="en-US"/>
        </w:rPr>
        <w:t xml:space="preserve"> </w:t>
      </w:r>
      <w:r w:rsidR="00BF49F9">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EYU1dOQH","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BF49F9">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BF49F9">
        <w:rPr>
          <w:rFonts w:asciiTheme="majorBidi" w:eastAsia="Times New Roman" w:hAnsiTheme="majorBidi" w:cstheme="majorBidi"/>
          <w:lang w:val="en-US"/>
        </w:rPr>
        <w:fldChar w:fldCharType="end"/>
      </w:r>
      <w:r w:rsidR="00967CB3">
        <w:rPr>
          <w:rFonts w:asciiTheme="majorBidi" w:eastAsia="Times New Roman" w:hAnsiTheme="majorBidi" w:cstheme="majorBidi"/>
          <w:lang w:val="en-US"/>
        </w:rPr>
        <w:t xml:space="preserve"> vs Adhikari et al.</w:t>
      </w:r>
      <w:r w:rsidR="00BF49F9">
        <w:rPr>
          <w:rFonts w:asciiTheme="majorBidi" w:eastAsia="Times New Roman" w:hAnsiTheme="majorBidi" w:cstheme="majorBidi"/>
          <w:lang w:val="en-US"/>
        </w:rPr>
        <w:t xml:space="preserve"> </w:t>
      </w:r>
      <w:r w:rsidR="00BF49F9">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tKyS6D01","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BF49F9">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[25]</w:t>
      </w:r>
      <w:r w:rsidR="00BF49F9">
        <w:rPr>
          <w:rFonts w:asciiTheme="majorBidi" w:eastAsia="Times New Roman" w:hAnsiTheme="majorBidi" w:cstheme="majorBidi"/>
          <w:lang w:val="en-US"/>
        </w:rPr>
        <w:fldChar w:fldCharType="end"/>
      </w:r>
      <w:r w:rsidR="00F050B1">
        <w:rPr>
          <w:rFonts w:asciiTheme="majorBidi" w:eastAsia="Times New Roman" w:hAnsiTheme="majorBidi" w:cstheme="majorBidi"/>
          <w:lang w:val="en-US"/>
        </w:rPr>
        <w:t xml:space="preserve"> where MDA levels at baseline were considerably higher in El-Haggar et al.</w:t>
      </w:r>
      <w:r w:rsidR="00BF49F9">
        <w:rPr>
          <w:rFonts w:asciiTheme="majorBidi" w:eastAsia="Times New Roman" w:hAnsiTheme="majorBidi" w:cstheme="majorBidi"/>
          <w:lang w:val="en-US"/>
        </w:rPr>
        <w:t xml:space="preserve"> </w:t>
      </w:r>
      <w:r w:rsidR="00BF49F9">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dJUJjq5Q","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BF49F9">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BF49F9">
        <w:rPr>
          <w:rFonts w:asciiTheme="majorBidi" w:eastAsia="Times New Roman" w:hAnsiTheme="majorBidi" w:cstheme="majorBidi"/>
          <w:lang w:val="en-US"/>
        </w:rPr>
        <w:fldChar w:fldCharType="end"/>
      </w:r>
      <w:r w:rsidR="00CB1E0F">
        <w:rPr>
          <w:rFonts w:asciiTheme="majorBidi" w:eastAsia="Times New Roman" w:hAnsiTheme="majorBidi" w:cstheme="majorBidi"/>
          <w:lang w:val="en-US"/>
        </w:rPr>
        <w:t>.</w:t>
      </w:r>
      <w:r w:rsidR="00967CB3">
        <w:rPr>
          <w:rFonts w:asciiTheme="majorBidi" w:eastAsia="Times New Roman" w:hAnsiTheme="majorBidi" w:cstheme="majorBidi"/>
          <w:lang w:val="en-US"/>
        </w:rPr>
        <w:t xml:space="preserve"> </w:t>
      </w:r>
      <w:r w:rsidRPr="00EC5ACB">
        <w:rPr>
          <w:rFonts w:asciiTheme="majorBidi" w:eastAsia="Times New Roman" w:hAnsiTheme="majorBidi" w:cstheme="majorBidi"/>
          <w:lang w:val="en-US"/>
        </w:rPr>
        <w:t xml:space="preserve">The forest plot is presented in Figure </w:t>
      </w:r>
      <w:r w:rsidR="003C4038">
        <w:rPr>
          <w:rFonts w:asciiTheme="majorBidi" w:eastAsia="Times New Roman" w:hAnsiTheme="majorBidi" w:cstheme="majorBidi"/>
          <w:lang w:val="en-US"/>
        </w:rPr>
        <w:t>6</w:t>
      </w:r>
      <w:r w:rsidRPr="00EC5ACB">
        <w:rPr>
          <w:rFonts w:asciiTheme="majorBidi" w:eastAsia="Times New Roman" w:hAnsiTheme="majorBidi" w:cstheme="majorBidi"/>
          <w:lang w:val="en-US"/>
        </w:rPr>
        <w:t>.</w:t>
      </w:r>
    </w:p>
    <w:p w14:paraId="3B44E69F" w14:textId="77777777" w:rsidR="009F0A3E" w:rsidRPr="00B077A2" w:rsidRDefault="009F0A3E" w:rsidP="00C208BC">
      <w:pPr>
        <w:spacing w:before="100" w:beforeAutospacing="1" w:after="100" w:afterAutospacing="1" w:line="360" w:lineRule="auto"/>
        <w:jc w:val="both"/>
        <w:outlineLvl w:val="3"/>
        <w:rPr>
          <w:rFonts w:asciiTheme="majorBidi" w:eastAsia="Times New Roman" w:hAnsiTheme="majorBidi" w:cstheme="majorBidi"/>
          <w:b/>
          <w:bCs/>
          <w:i/>
          <w:iCs/>
          <w:lang w:val="en-US"/>
        </w:rPr>
      </w:pPr>
      <w:r w:rsidRPr="00B077A2">
        <w:rPr>
          <w:rFonts w:asciiTheme="majorBidi" w:eastAsia="Times New Roman" w:hAnsiTheme="majorBidi" w:cstheme="majorBidi"/>
          <w:b/>
          <w:bCs/>
          <w:i/>
          <w:iCs/>
          <w:lang w:val="en-US"/>
        </w:rPr>
        <w:t>3.5 Narrative Synthesis of Non-Pooled Outcomes</w:t>
      </w:r>
    </w:p>
    <w:p w14:paraId="5D502D23" w14:textId="57167D22" w:rsidR="009F0A3E" w:rsidRPr="009F0A3E" w:rsidRDefault="009F0A3E" w:rsidP="00434BA4">
      <w:pPr>
        <w:spacing w:before="100" w:beforeAutospacing="1" w:after="100" w:afterAutospacing="1" w:line="360" w:lineRule="auto"/>
        <w:jc w:val="both"/>
        <w:rPr>
          <w:rFonts w:asciiTheme="majorBidi" w:eastAsia="Times New Roman" w:hAnsiTheme="majorBidi" w:cstheme="majorBidi"/>
          <w:lang w:val="en-US"/>
        </w:rPr>
      </w:pPr>
      <w:r w:rsidRPr="009F0A3E">
        <w:rPr>
          <w:rFonts w:asciiTheme="majorBidi" w:eastAsia="Times New Roman" w:hAnsiTheme="majorBidi" w:cstheme="majorBidi"/>
          <w:lang w:val="en-US"/>
        </w:rPr>
        <w:t>The following studies and outcomes could not be incorporated into quantitative synthesis due to the</w:t>
      </w:r>
      <w:r w:rsidR="00434BA4">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absence of a comparator group, incompatibility of study designs, or insufficient number of studies</w:t>
      </w:r>
      <w:r w:rsidR="00434BA4">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reporting the outcome.</w:t>
      </w:r>
    </w:p>
    <w:p w14:paraId="67E08D93" w14:textId="77777777" w:rsidR="009F0A3E" w:rsidRPr="009F0A3E" w:rsidRDefault="009F0A3E" w:rsidP="00C208BC">
      <w:pPr>
        <w:spacing w:before="100" w:beforeAutospacing="1" w:after="100" w:afterAutospacing="1" w:line="360" w:lineRule="auto"/>
        <w:jc w:val="both"/>
        <w:outlineLvl w:val="4"/>
        <w:rPr>
          <w:rFonts w:asciiTheme="majorBidi" w:eastAsia="Times New Roman" w:hAnsiTheme="majorBidi" w:cstheme="majorBidi"/>
          <w:b/>
          <w:bCs/>
          <w:lang w:val="en-US"/>
        </w:rPr>
      </w:pPr>
      <w:r w:rsidRPr="009F0A3E">
        <w:rPr>
          <w:rFonts w:asciiTheme="majorBidi" w:eastAsia="Times New Roman" w:hAnsiTheme="majorBidi" w:cstheme="majorBidi"/>
          <w:b/>
          <w:bCs/>
          <w:lang w:val="en-US"/>
        </w:rPr>
        <w:t>3.5.1 Mehta 2021</w:t>
      </w:r>
    </w:p>
    <w:p w14:paraId="2CA435E4" w14:textId="29D0455E" w:rsidR="009F0A3E" w:rsidRPr="009F0A3E" w:rsidRDefault="009F0A3E" w:rsidP="00EE5ADB">
      <w:pPr>
        <w:spacing w:before="100" w:beforeAutospacing="1" w:after="100" w:afterAutospacing="1" w:line="360" w:lineRule="auto"/>
        <w:jc w:val="both"/>
        <w:rPr>
          <w:rFonts w:asciiTheme="majorBidi" w:eastAsia="Times New Roman" w:hAnsiTheme="majorBidi" w:cstheme="majorBidi"/>
          <w:lang w:val="en-US"/>
        </w:rPr>
      </w:pPr>
      <w:r w:rsidRPr="009F0A3E">
        <w:rPr>
          <w:rFonts w:asciiTheme="majorBidi" w:eastAsia="Times New Roman" w:hAnsiTheme="majorBidi" w:cstheme="majorBidi"/>
          <w:lang w:val="en-US"/>
        </w:rPr>
        <w:t xml:space="preserve">Mehta </w:t>
      </w:r>
      <w:r w:rsidR="00004396">
        <w:rPr>
          <w:rFonts w:asciiTheme="majorBidi" w:eastAsia="Times New Roman" w:hAnsiTheme="majorBidi" w:cstheme="majorBidi"/>
          <w:lang w:val="en-US"/>
        </w:rPr>
        <w:t>et al.</w:t>
      </w:r>
      <w:r w:rsidR="00A27F98">
        <w:rPr>
          <w:rFonts w:asciiTheme="majorBidi" w:eastAsia="Times New Roman" w:hAnsiTheme="majorBidi" w:cstheme="majorBidi"/>
          <w:lang w:val="en-US"/>
        </w:rPr>
        <w:t xml:space="preserve"> </w:t>
      </w:r>
      <w:r w:rsidR="00A27F98">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O33EQGYY","properties":{"unsorted":false,"formattedCitation":"[24]","plainCitation":"[24]","noteIndex":0},"citationItems":[{"id":"g6iDE82k/3HuQ46Dp","uris":["http://zotero.org/users/19709799/items/AALKKIVG"],"itemData":{"id":"JbUMJjXw/8mR0vTnE","type":"article-journal","container-title":"Cureus","DOI":"10.7759/cureus.20208","ISSN":"2168-8184","language":"en","source":"DOI.org (Crossref)","title":"Effectiveness of Empagliflozin With Vitamin D Supplementation in Peripheral Neuropathy in Type 2 Diabetic Patients","URL":"https://www.cureus.com/articles/78182-effectiveness-of-empagliflozin-with-vitamin-d-supplementation-in-peripheral-neuropathy-in-type-2-diabetic-patients","author":[{"family":"Mehta","given":"Sanjana"},{"family":"Nain","given":"Parminder"},{"family":"Agrawal","given":"Bimal K"},{"family":"Singh","given":"Rajinder P"},{"family":"Kaur","given":"Jaspreet"},{"family":"Maity","given":"Sabyasachi"},{"family":"Bhattarcharjee","given":"Aniruddha"},{"family":"Peela","given":"Jagannadha"},{"family":"Nauhria","given":"Shreya"},{"family":"Nauhria","given":"Samal"}],"accessed":{"date-parts":[["2026",2,23]]},"issued":{"date-parts":[["2021",12,6]]}}}],"schema":"https://github.com/citation-style-language/schema/raw/master/csl-citation.json"} </w:instrText>
      </w:r>
      <w:r w:rsidR="00A27F98">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[24]</w:t>
      </w:r>
      <w:r w:rsidR="00A27F98">
        <w:rPr>
          <w:rFonts w:asciiTheme="majorBidi" w:eastAsia="Times New Roman" w:hAnsiTheme="majorBidi" w:cstheme="majorBidi"/>
          <w:lang w:val="en-US"/>
        </w:rPr>
        <w:fldChar w:fldCharType="end"/>
      </w:r>
      <w:r w:rsidRPr="009F0A3E">
        <w:rPr>
          <w:rFonts w:asciiTheme="majorBidi" w:eastAsia="Times New Roman" w:hAnsiTheme="majorBidi" w:cstheme="majorBidi"/>
          <w:lang w:val="en-US"/>
        </w:rPr>
        <w:t xml:space="preserve"> was a three-arm open-label RCT comparing empagliflozin monotherapy, combined empagliflozin with Vitamin D, and placebo. With regard to SGLT2i monotherapy, no significant improvement was observed in neuropathic pain or sensory outcomes compared to placebo. Statistically significant improvements in neuropathic pain scores as measured by the DN-4, NPSI, and IPSWICH Touch the Toes Test</w:t>
      </w:r>
      <w:r w:rsidR="002455E4">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 xml:space="preserve">were observed exclusively in the combination arm (empagliflozin + Vitamin D), and not in the empagliflozin monotherapy arm. These findings therefore do not provide independent evidence of a neuroprotective effect attributable to SGLT2 </w:t>
      </w:r>
      <w:r w:rsidR="000A3992">
        <w:rPr>
          <w:rFonts w:asciiTheme="majorBidi" w:eastAsia="Times New Roman" w:hAnsiTheme="majorBidi" w:cstheme="majorBidi"/>
          <w:lang w:val="en-US"/>
        </w:rPr>
        <w:t>inhibitors</w:t>
      </w:r>
      <w:r w:rsidRPr="009F0A3E">
        <w:rPr>
          <w:rFonts w:asciiTheme="majorBidi" w:eastAsia="Times New Roman" w:hAnsiTheme="majorBidi" w:cstheme="majorBidi"/>
          <w:lang w:val="en-US"/>
        </w:rPr>
        <w:t xml:space="preserve"> alone. Furthermore, the open-label design introduces a substantial risk of performance and detection bias, particularly for patient-reported outcomes, and the findings from the combination arm should not be attributed to SGLT2i therapy in isolation. This study contributes no quantitative data to the pooled analyses and its findings are considered hypothesis-generating only.</w:t>
      </w:r>
    </w:p>
    <w:p w14:paraId="32B43E7A" w14:textId="7F1211D7" w:rsidR="009F0A3E" w:rsidRPr="009F0A3E" w:rsidRDefault="009F0A3E" w:rsidP="00C208BC">
      <w:pPr>
        <w:spacing w:before="100" w:beforeAutospacing="1" w:after="100" w:afterAutospacing="1" w:line="360" w:lineRule="auto"/>
        <w:jc w:val="both"/>
        <w:outlineLvl w:val="4"/>
        <w:rPr>
          <w:rFonts w:asciiTheme="majorBidi" w:eastAsia="Times New Roman" w:hAnsiTheme="majorBidi" w:cstheme="majorBidi"/>
          <w:b/>
          <w:bCs/>
          <w:lang w:val="en-US"/>
        </w:rPr>
      </w:pPr>
      <w:r w:rsidRPr="009F0A3E">
        <w:rPr>
          <w:rFonts w:asciiTheme="majorBidi" w:eastAsia="Times New Roman" w:hAnsiTheme="majorBidi" w:cstheme="majorBidi"/>
          <w:b/>
          <w:bCs/>
          <w:lang w:val="en-US"/>
        </w:rPr>
        <w:lastRenderedPageBreak/>
        <w:t>3.5.2 Liao 2022 (Post-Hoc Analysis of CREDENCE</w:t>
      </w:r>
      <w:r w:rsidR="00DD206C">
        <w:rPr>
          <w:rFonts w:asciiTheme="majorBidi" w:eastAsia="Times New Roman" w:hAnsiTheme="majorBidi" w:cstheme="majorBidi"/>
          <w:b/>
          <w:bCs/>
          <w:lang w:val="en-US"/>
        </w:rPr>
        <w:t xml:space="preserve"> trial</w:t>
      </w:r>
      <w:r w:rsidRPr="009F0A3E">
        <w:rPr>
          <w:rFonts w:asciiTheme="majorBidi" w:eastAsia="Times New Roman" w:hAnsiTheme="majorBidi" w:cstheme="majorBidi"/>
          <w:b/>
          <w:bCs/>
          <w:lang w:val="en-US"/>
        </w:rPr>
        <w:t>)</w:t>
      </w:r>
    </w:p>
    <w:p w14:paraId="47CD8F35" w14:textId="2B070DC7" w:rsidR="009F0A3E" w:rsidRDefault="009F0A3E" w:rsidP="00EE5ADB">
      <w:pPr>
        <w:spacing w:before="100" w:beforeAutospacing="1" w:after="100" w:afterAutospacing="1" w:line="360" w:lineRule="auto"/>
        <w:jc w:val="both"/>
        <w:rPr>
          <w:rFonts w:asciiTheme="majorBidi" w:eastAsia="Times New Roman" w:hAnsiTheme="majorBidi" w:cstheme="majorBidi"/>
          <w:lang w:val="en-US"/>
        </w:rPr>
      </w:pPr>
      <w:r w:rsidRPr="009F0A3E">
        <w:rPr>
          <w:rFonts w:asciiTheme="majorBidi" w:eastAsia="Times New Roman" w:hAnsiTheme="majorBidi" w:cstheme="majorBidi"/>
          <w:lang w:val="en-US"/>
        </w:rPr>
        <w:t xml:space="preserve">Liao </w:t>
      </w:r>
      <w:r w:rsidR="00004396">
        <w:rPr>
          <w:rFonts w:asciiTheme="majorBidi" w:eastAsia="Times New Roman" w:hAnsiTheme="majorBidi" w:cstheme="majorBidi"/>
          <w:lang w:val="en-US"/>
        </w:rPr>
        <w:t>et al.</w:t>
      </w:r>
      <w:r w:rsidR="00A27F98">
        <w:rPr>
          <w:rFonts w:asciiTheme="majorBidi" w:eastAsia="Times New Roman" w:hAnsiTheme="majorBidi" w:cstheme="majorBidi"/>
          <w:lang w:val="en-US"/>
        </w:rPr>
        <w:t xml:space="preserve"> </w:t>
      </w:r>
      <w:r w:rsidR="00A27F98">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JOqpdueO","properties":{"unsorted":false,"formattedCitation":"[23]","plainCitation":"[23]","noteIndex":0},"citationItems":[{"id":"g6iDE82k/ceewgwi1","uris":["http://zotero.org/users/19709799/items/NQ3358CH"],"itemData":{"id":"JbUMJjXw/9bk55yIl","type":"article-journal","container-title":"Diabetes &amp; Metabolism","DOI":"10.1016/j.diabet.2022.101331","ISSN":"12623636","issue":"4","journalAbbreviation":"Diabetes &amp; Metabolism","language":"en","page":"101331","source":"DOI.org (Crossref)","title":"The impact of canagliflozin on the risk of neuropathy events: A post-hoc exploratory analysis of the CREDENCE trial","title-short":"The impact of canagliflozin on the risk of neuropathy events","volume":"48","author":[{"family":"Liao","given":"Jinlan"},{"family":"Kang","given":"Amy"},{"family":"Xia","given":"Chao"},{"family":"Young","given":"Tamara"},{"family":"Di Tanna","given":"Gian Luca"},{"family":"Arnott","given":"Clare"},{"family":"Pollock","given":"Carol"},{"family":"Krishnan","given":"Arun V."},{"family":"Agarwal","given":"Rajiv"},{"family":"Bakris","given":"George"},{"family":"Charytan","given":"David M."},{"family":"De Zeeuw","given":"Dick"},{"family":"Heerspink","given":"Hiddo J.L."},{"family":"Levin","given":"Adeera"},{"family":"Neal","given":"Bruce"},{"family":"Wheeler","given":"David C."},{"family":"Zhang","given":"Hong"},{"family":"Zinman","given":"Bernard"},{"family":"Mahaffey","given":"Kenneth W."},{"family":"Perkovic","given":"Vlado"},{"family":"Jardine","given":"Meg J"},{"family":"Smyth","given":"Brendan"}],"issued":{"date-parts":[["2022",7]]}}}],"schema":"https://github.com/citation-style-language/schema/raw/master/csl-citation.json"} </w:instrText>
      </w:r>
      <w:r w:rsidR="00A27F98">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[23]</w:t>
      </w:r>
      <w:r w:rsidR="00A27F98">
        <w:rPr>
          <w:rFonts w:asciiTheme="majorBidi" w:eastAsia="Times New Roman" w:hAnsiTheme="majorBidi" w:cstheme="majorBidi"/>
          <w:lang w:val="en-US"/>
        </w:rPr>
        <w:fldChar w:fldCharType="end"/>
      </w:r>
      <w:r w:rsidRPr="009F0A3E">
        <w:rPr>
          <w:rFonts w:asciiTheme="majorBidi" w:eastAsia="Times New Roman" w:hAnsiTheme="majorBidi" w:cstheme="majorBidi"/>
          <w:lang w:val="en-US"/>
        </w:rPr>
        <w:t xml:space="preserve"> was a post-hoc analysis of the CREDENCE trial, which was originally designed to evaluate the effect of canagliflozin on renal outcomes in patients with diabetic kidney disease. The primary endpoint of this post-hoc analysis was the first occurrence of an adverse neuropathy event among trial participants. The analysis found no significant effect of canagliflozin on neuropathy event rates. Several important limitations constrain the interpretability of this finding in the context of the present review: neuropathy events as adverse event recordings represent a clinical and administrative endpoint that is methodologically distinct from the objective electrodiagnostic outcomes evaluated in the quantitative synthesis; the CREDENCE population was enriched for kidney disease rather than neuropathy; and post-hoc analyses carry an inherent risk of type II error when the trial was not powered for this endpoint. Nonetheless, this null finding from a large, well-conducted RCT is an important counterpoint and should temper overinterpretation of the positive primary meta-analysis results.</w:t>
      </w:r>
    </w:p>
    <w:p w14:paraId="3685D355" w14:textId="34A75C97" w:rsidR="00FC0C4C" w:rsidRPr="009F0A3E" w:rsidRDefault="00FC0C4C" w:rsidP="00FC0C4C">
      <w:pPr>
        <w:spacing w:before="100" w:beforeAutospacing="1" w:after="100" w:afterAutospacing="1" w:line="360" w:lineRule="auto"/>
        <w:jc w:val="both"/>
        <w:outlineLvl w:val="4"/>
        <w:rPr>
          <w:rFonts w:asciiTheme="majorBidi" w:eastAsia="Times New Roman" w:hAnsiTheme="majorBidi" w:cstheme="majorBidi"/>
          <w:b/>
          <w:bCs/>
          <w:lang w:val="en-US"/>
        </w:rPr>
      </w:pPr>
      <w:r w:rsidRPr="009F0A3E">
        <w:rPr>
          <w:rFonts w:asciiTheme="majorBidi" w:eastAsia="Times New Roman" w:hAnsiTheme="majorBidi" w:cstheme="majorBidi"/>
          <w:b/>
          <w:bCs/>
          <w:lang w:val="en-US"/>
        </w:rPr>
        <w:t>3.5.</w:t>
      </w:r>
      <w:r>
        <w:rPr>
          <w:rFonts w:asciiTheme="majorBidi" w:eastAsia="Times New Roman" w:hAnsiTheme="majorBidi" w:cstheme="majorBidi"/>
          <w:b/>
          <w:bCs/>
          <w:lang w:val="en-US"/>
        </w:rPr>
        <w:t>3</w:t>
      </w:r>
      <w:r w:rsidRPr="009F0A3E">
        <w:rPr>
          <w:rFonts w:asciiTheme="majorBidi" w:eastAsia="Times New Roman" w:hAnsiTheme="majorBidi" w:cstheme="majorBidi"/>
          <w:b/>
          <w:bCs/>
          <w:lang w:val="en-US"/>
        </w:rPr>
        <w:t xml:space="preserve"> </w:t>
      </w:r>
      <w:proofErr w:type="spellStart"/>
      <w:r w:rsidRPr="009F0A3E">
        <w:rPr>
          <w:rFonts w:asciiTheme="majorBidi" w:eastAsia="Times New Roman" w:hAnsiTheme="majorBidi" w:cstheme="majorBidi"/>
          <w:b/>
          <w:bCs/>
          <w:lang w:val="en-US"/>
        </w:rPr>
        <w:t>Klabuzai</w:t>
      </w:r>
      <w:proofErr w:type="spellEnd"/>
      <w:r w:rsidRPr="009F0A3E">
        <w:rPr>
          <w:rFonts w:asciiTheme="majorBidi" w:eastAsia="Times New Roman" w:hAnsiTheme="majorBidi" w:cstheme="majorBidi"/>
          <w:b/>
          <w:bCs/>
          <w:lang w:val="en-US"/>
        </w:rPr>
        <w:t xml:space="preserve"> 2025</w:t>
      </w:r>
    </w:p>
    <w:p w14:paraId="006B7C22" w14:textId="3C9C626B" w:rsidR="00FC0C4C" w:rsidRPr="009F0A3E" w:rsidRDefault="00FC0C4C" w:rsidP="00EE5ADB">
      <w:pPr>
        <w:spacing w:before="100" w:beforeAutospacing="1" w:after="100" w:afterAutospacing="1" w:line="360" w:lineRule="auto"/>
        <w:jc w:val="both"/>
        <w:rPr>
          <w:rFonts w:asciiTheme="majorBidi" w:eastAsia="Times New Roman" w:hAnsiTheme="majorBidi" w:cstheme="majorBidi"/>
          <w:lang w:val="en-US"/>
        </w:rPr>
      </w:pPr>
      <w:proofErr w:type="spellStart"/>
      <w:r w:rsidRPr="009F0A3E">
        <w:rPr>
          <w:rFonts w:asciiTheme="majorBidi" w:eastAsia="Times New Roman" w:hAnsiTheme="majorBidi" w:cstheme="majorBidi"/>
          <w:lang w:val="en-US"/>
        </w:rPr>
        <w:t>Klabuzai</w:t>
      </w:r>
      <w:proofErr w:type="spellEnd"/>
      <w:r w:rsidRPr="009F0A3E">
        <w:rPr>
          <w:rFonts w:asciiTheme="majorBidi" w:eastAsia="Times New Roman" w:hAnsiTheme="majorBidi" w:cstheme="majorBidi"/>
          <w:lang w:val="en-US"/>
        </w:rPr>
        <w:t xml:space="preserve"> </w:t>
      </w:r>
      <w:r>
        <w:rPr>
          <w:rFonts w:asciiTheme="majorBidi" w:eastAsia="Times New Roman" w:hAnsiTheme="majorBidi" w:cstheme="majorBidi"/>
          <w:lang w:val="en-US"/>
        </w:rPr>
        <w:t>et al.</w:t>
      </w:r>
      <w:r w:rsidR="00A27F98">
        <w:rPr>
          <w:rFonts w:asciiTheme="majorBidi" w:eastAsia="Times New Roman" w:hAnsiTheme="majorBidi" w:cstheme="majorBidi"/>
          <w:lang w:val="en-US"/>
        </w:rPr>
        <w:t xml:space="preserve"> </w:t>
      </w:r>
      <w:r w:rsidR="00A27F98">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tXUUzC8E","properties":{"unsorted":false,"formattedCitation":"[27]","plainCitation":"[27]","noteIndex":0},"citationItems":[{"id":"g6iDE82k/JdrpB4DC","uris":["http://zotero.org/users/19709799/items/LNHXRLVE"],"itemData":{"id":"JbUMJjXw/9OuJhd84","type":"article-journal","container-title":"Antioxidants","DOI":"10.3390/antiox14030289","ISSN":"2076-3921","issue":"3","journalAbbreviation":"Antioxidants","language":"en","page":"289","source":"DOI.org (Crossref)","title":"The Impact of SGLT-2 Inhibitors on Hydroxyl Radical Markers and Diabetic Neuropathy: A Short-Term Clinical Study","title-short":"The Impact of SGLT-2 Inhibitors on Hydroxyl Radical Markers and Diabetic Neuropathy","volume":"14","author":[{"family":"Klabuzai","given":"Ágnes"},{"family":"Bekő","given":"Viktória"},{"family":"Sütő","given":"Zsófia"},{"family":"Horváth","given":"Marcell"},{"family":"Wágner","given":"Zoltán"},{"family":"Vágási","given":"Katalin"},{"family":"Pfeil","given":"Veronika"},{"family":"Süle","given":"Miklós"},{"family":"Grosz","given":"György"},{"family":"Wittmann","given":"István"},{"family":"Kun","given":"Szilárd"}],"issued":{"date-parts":[["2025",2,28]]}}}],"schema":"https://github.com/citation-style-language/schema/raw/master/csl-citation.json"} </w:instrText>
      </w:r>
      <w:r w:rsidR="00A27F98">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[27]</w:t>
      </w:r>
      <w:r w:rsidR="00A27F98">
        <w:rPr>
          <w:rFonts w:asciiTheme="majorBidi" w:eastAsia="Times New Roman" w:hAnsiTheme="majorBidi" w:cstheme="majorBidi"/>
          <w:lang w:val="en-US"/>
        </w:rPr>
        <w:fldChar w:fldCharType="end"/>
      </w:r>
      <w:r w:rsidRPr="009F0A3E">
        <w:rPr>
          <w:rFonts w:asciiTheme="majorBidi" w:eastAsia="Times New Roman" w:hAnsiTheme="majorBidi" w:cstheme="majorBidi"/>
          <w:lang w:val="en-US"/>
        </w:rPr>
        <w:t xml:space="preserve"> was a single-arm interventional study and therefore contributes to narrative synthesis only, with no comparator group available for effect estimation. The study found no significant changes in standard neuropathy assessments including monofilament testing, pinprick, </w:t>
      </w:r>
      <w:proofErr w:type="spellStart"/>
      <w:r w:rsidRPr="009F0A3E">
        <w:rPr>
          <w:rFonts w:asciiTheme="majorBidi" w:eastAsia="Times New Roman" w:hAnsiTheme="majorBidi" w:cstheme="majorBidi"/>
          <w:lang w:val="en-US"/>
        </w:rPr>
        <w:t>Tiptherm</w:t>
      </w:r>
      <w:proofErr w:type="spellEnd"/>
      <w:r w:rsidRPr="009F0A3E">
        <w:rPr>
          <w:rFonts w:asciiTheme="majorBidi" w:eastAsia="Times New Roman" w:hAnsiTheme="majorBidi" w:cstheme="majorBidi"/>
          <w:lang w:val="en-US"/>
        </w:rPr>
        <w:t>, calibrated tuning fork, DN4, NTSS, NDS, or current perception threshold (CPT) overall. However, in a pre-specified subgroup of patients with elevated baseline CPT values, SGLT2i treatment was associated with significantly reduced CPT of the peroneal nerve at 2000 Hz on the right side (p = 0.004) and at 250 Hz bilaterally (p &lt; 0.01), as well as improvements in CPT of the median nerve at 2000 Hz and 5 Hz on the left side. A positive correlation between hydroxyl free radical markers and CPT changes was also reported, suggesting a possible mechanistic link between oxidative stress reduction and improved nerve function. The absence of a control group renders these findings uninterpretable as evidence of treatment efficacy, and the subgroup nature of the CPT findings introduces a substantial risk of type I error. These results are considered exploratory only.</w:t>
      </w:r>
    </w:p>
    <w:p w14:paraId="33FBC9A2" w14:textId="384C7B25" w:rsidR="009F0A3E" w:rsidRPr="009F0A3E" w:rsidRDefault="009F0A3E" w:rsidP="00C208BC">
      <w:pPr>
        <w:spacing w:before="100" w:beforeAutospacing="1" w:after="100" w:afterAutospacing="1" w:line="360" w:lineRule="auto"/>
        <w:jc w:val="both"/>
        <w:outlineLvl w:val="4"/>
        <w:rPr>
          <w:rFonts w:asciiTheme="majorBidi" w:eastAsia="Times New Roman" w:hAnsiTheme="majorBidi" w:cstheme="majorBidi"/>
          <w:b/>
          <w:bCs/>
          <w:lang w:val="en-US"/>
        </w:rPr>
      </w:pPr>
      <w:r w:rsidRPr="009F0A3E">
        <w:rPr>
          <w:rFonts w:asciiTheme="majorBidi" w:eastAsia="Times New Roman" w:hAnsiTheme="majorBidi" w:cstheme="majorBidi"/>
          <w:b/>
          <w:bCs/>
          <w:lang w:val="en-US"/>
        </w:rPr>
        <w:t>3.5.</w:t>
      </w:r>
      <w:r w:rsidR="00FC0C4C">
        <w:rPr>
          <w:rFonts w:asciiTheme="majorBidi" w:eastAsia="Times New Roman" w:hAnsiTheme="majorBidi" w:cstheme="majorBidi"/>
          <w:b/>
          <w:bCs/>
          <w:lang w:val="en-US"/>
        </w:rPr>
        <w:t>4</w:t>
      </w:r>
      <w:r w:rsidRPr="009F0A3E">
        <w:rPr>
          <w:rFonts w:asciiTheme="majorBidi" w:eastAsia="Times New Roman" w:hAnsiTheme="majorBidi" w:cstheme="majorBidi"/>
          <w:b/>
          <w:bCs/>
          <w:lang w:val="en-US"/>
        </w:rPr>
        <w:t xml:space="preserve"> Ishibashi 2022</w:t>
      </w:r>
    </w:p>
    <w:p w14:paraId="5D731C79" w14:textId="079309AC" w:rsidR="009F0A3E" w:rsidRPr="009F0A3E" w:rsidRDefault="009F0A3E" w:rsidP="00EE5ADB">
      <w:pPr>
        <w:spacing w:before="100" w:beforeAutospacing="1" w:after="100" w:afterAutospacing="1" w:line="360" w:lineRule="auto"/>
        <w:jc w:val="both"/>
        <w:rPr>
          <w:rFonts w:asciiTheme="majorBidi" w:eastAsia="Times New Roman" w:hAnsiTheme="majorBidi" w:cstheme="majorBidi"/>
          <w:lang w:val="en-US"/>
        </w:rPr>
      </w:pPr>
      <w:r w:rsidRPr="009F0A3E">
        <w:rPr>
          <w:rFonts w:asciiTheme="majorBidi" w:eastAsia="Times New Roman" w:hAnsiTheme="majorBidi" w:cstheme="majorBidi"/>
          <w:lang w:val="en-US"/>
        </w:rPr>
        <w:t>Beyond the sural nerve conduction data contribut</w:t>
      </w:r>
      <w:r w:rsidR="00004396">
        <w:rPr>
          <w:rFonts w:asciiTheme="majorBidi" w:eastAsia="Times New Roman" w:hAnsiTheme="majorBidi" w:cstheme="majorBidi"/>
          <w:lang w:val="en-US"/>
        </w:rPr>
        <w:t>ing</w:t>
      </w:r>
      <w:r w:rsidRPr="009F0A3E">
        <w:rPr>
          <w:rFonts w:asciiTheme="majorBidi" w:eastAsia="Times New Roman" w:hAnsiTheme="majorBidi" w:cstheme="majorBidi"/>
          <w:lang w:val="en-US"/>
        </w:rPr>
        <w:t xml:space="preserve"> to the sensitivity analysis, Ishibashi </w:t>
      </w:r>
      <w:r w:rsidR="00004396">
        <w:rPr>
          <w:rFonts w:asciiTheme="majorBidi" w:eastAsia="Times New Roman" w:hAnsiTheme="majorBidi" w:cstheme="majorBidi"/>
          <w:lang w:val="en-US"/>
        </w:rPr>
        <w:t>et al.</w:t>
      </w:r>
      <w:r w:rsidR="002709AC">
        <w:rPr>
          <w:rFonts w:asciiTheme="majorBidi" w:eastAsia="Times New Roman" w:hAnsiTheme="majorBidi" w:cstheme="majorBidi"/>
          <w:lang w:val="en-US"/>
        </w:rPr>
        <w:t xml:space="preserve"> </w:t>
      </w:r>
      <w:r w:rsidR="002709A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{"citationID":"os7TRZcU","properties":{"unsorted":false,"formattedCitation":"[26]","plainCitation":"[26]","noteIndex":0},"citationItems":[{"id":108,"uris":["http://zotero.org/groups/6437514/items/MHNR4PT3"],"itemData":{"id":108,"type":"article-journal","abstract":"Aims\n              \n                This three-year follow-up study aimed to elucidate whether sodium-glucose cotransporter-2 inhibitors (SGLT2is) have any protection against diabetic neuropathy and nephropathy in patients with type 2 diabetes\n                via\n                reducing variability in glycemia and extraglycemic factors or their averages.\n              \n            \n            \n              Methods\n              Two type 2 diabetic cohorts of 40 and 73 patients treated with or without SGLT2i along with 60 control subjects were recruited. Two diabetic cohorts matched for HbA1c levels and oral hypoglycemic agents other than SGLT2is underwent glycemic control with or without SGLT2is more than two years. The urinary albumin to creatinine ratio (ACR), estimated glomerular filtration rate (eGFR) every 3 months and neuropathy outcome measures and mean Z-score of 8 neurophysiological tests were determined at the baseline and endpoint. Glycemic variability, evaluated by the coefficient of variation of monthly measured HbA1c levels and casual postprandial plasma glucose (CPPG), and coefficient of variation and average of extraglycemic parameters in diabetic cohorts were determined.\n            \n            \n              Results\n              The glycemic variability and variability of some extraglycemic factors in SGLT2i cohort were smaller than those in non-SGLT2i cohort. However, only smaller coefficient of variation of HbA1c improved some neuropathy outcome measures, and ameliorated eGFR decline. SGLT2i improved the Z-score of neurophysiological tests. The optimized changes in the blood pressure, HDL-cholesterol and uric acid by SGLT2i led to neurological and renal protection. SGLT2i decreased the prevalence of nephropathy significantly and the prevalence of neuropathy insignificantly.\n            \n            \n              Conclusion\n              Over 3 years period, SGLT2i significantly improved some neuropathy outcome measures, mean Z-score of 8 neurophysiological tests, and attenuated nephropathy in modestly controlled type 2 diabetes by reducing glycemic variability and mean nonglycemic factors of diabetic microvascular complication.","container-title":"Frontiers in Endocrinology","DOI":"10.3389/fendo.2022.864332","ISSN":"1664-2392","journalAbbreviation":"Front. Endocrinol.","page":"864332","source":"DOI.org (Crossref)","title":"Sodium Glucose Cotransporter-2 Inhibitor Protects Against Diabetic Neuropathy and Nephropathy in Modestly Controlled Type 2 Diabetes: Follow-Up Study","title-short":"Sodium Glucose Cotransporter-2 Inhibitor Protects Against Diabetic Neuropathy and Nephropathy in Modestly Controlled Type 2 Diabetes","volume":"13","author":[{"family":"Ishibashi","given":"Fukashi"},{"family":"Kosaka","given":"Aiko"},{"family":"Tavakoli","given":"Mitra"}],"issued":{"date-parts":[["2022",6,17]]}}}],"schema":"https://github.com/citation-style-language/schema/raw/master/csl-citation.json"} </w:instrText>
      </w:r>
      <w:r w:rsidR="002709A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[26]</w:t>
      </w:r>
      <w:r w:rsidR="002709AC">
        <w:rPr>
          <w:rFonts w:asciiTheme="majorBidi" w:eastAsia="Times New Roman" w:hAnsiTheme="majorBidi" w:cstheme="majorBidi"/>
          <w:lang w:val="en-US"/>
        </w:rPr>
        <w:fldChar w:fldCharType="end"/>
      </w:r>
      <w:r w:rsidRPr="009F0A3E">
        <w:rPr>
          <w:rFonts w:asciiTheme="majorBidi" w:eastAsia="Times New Roman" w:hAnsiTheme="majorBidi" w:cstheme="majorBidi"/>
          <w:lang w:val="en-US"/>
        </w:rPr>
        <w:t xml:space="preserve"> reported several additional outcomes of relevance. Over a three-year follow-up</w:t>
      </w:r>
      <w:r w:rsidR="002455E4">
        <w:rPr>
          <w:rFonts w:asciiTheme="majorBidi" w:eastAsia="Times New Roman" w:hAnsiTheme="majorBidi" w:cstheme="majorBidi"/>
          <w:lang w:val="en-US"/>
        </w:rPr>
        <w:t>, which was</w:t>
      </w:r>
      <w:r w:rsidRPr="009F0A3E">
        <w:rPr>
          <w:rFonts w:asciiTheme="majorBidi" w:eastAsia="Times New Roman" w:hAnsiTheme="majorBidi" w:cstheme="majorBidi"/>
          <w:lang w:val="en-US"/>
        </w:rPr>
        <w:t xml:space="preserve"> the longest among included studies</w:t>
      </w:r>
      <w:r w:rsidR="002455E4">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 xml:space="preserve">patients receiving SGLT2 inhibitors demonstrated a significantly improved overall neurophysiological Z-score compared to those not receiving SGLT2i therapy, as well as improvements in the Neuropathy Disability Score (NDS) and warm perception threshold (WPT). Median nerve sensory amplitude also improved significantly in the SGLT2i group. Notably, no significant changes were observed in median motor conduction velocity, vibration perception threshold, </w:t>
      </w:r>
      <w:r w:rsidRPr="009F0A3E">
        <w:rPr>
          <w:rFonts w:asciiTheme="majorBidi" w:eastAsia="Times New Roman" w:hAnsiTheme="majorBidi" w:cstheme="majorBidi"/>
          <w:lang w:val="en-US"/>
        </w:rPr>
        <w:lastRenderedPageBreak/>
        <w:t xml:space="preserve">current perception threshold, or CVR-R interval. With regard to corneal confocal microscopy, both groups demonstrated significantly reduced CNFD, CNFL, and branch frequency at both timepoints, and CNBD was significantly decreased in both groups </w:t>
      </w:r>
      <w:r w:rsidR="001C71F6">
        <w:rPr>
          <w:rFonts w:asciiTheme="majorBidi" w:eastAsia="Times New Roman" w:hAnsiTheme="majorBidi" w:cstheme="majorBidi"/>
          <w:lang w:val="en-US"/>
        </w:rPr>
        <w:t>as well</w:t>
      </w:r>
      <w:r w:rsidRPr="009F0A3E">
        <w:rPr>
          <w:rFonts w:asciiTheme="majorBidi" w:eastAsia="Times New Roman" w:hAnsiTheme="majorBidi" w:cstheme="majorBidi"/>
          <w:lang w:val="en-US"/>
        </w:rPr>
        <w:t>, with no significant between-group difference attributable to SGLT2i treatment. The prevalence of neuropathy showed a non-significant decrease in the SGLT2i group (22.5% to 17.5%) and a non-significant increase in the non-SGLT2i group (20.5% to 28.8%). While these findings are directionally supportive of a neuroprotective effect, the observational design limits causal inference.</w:t>
      </w:r>
    </w:p>
    <w:p w14:paraId="241838E2" w14:textId="7E986AF7" w:rsidR="009F0A3E" w:rsidRPr="009F0A3E" w:rsidRDefault="009F0A3E" w:rsidP="00C208BC">
      <w:pPr>
        <w:spacing w:before="100" w:beforeAutospacing="1" w:after="100" w:afterAutospacing="1" w:line="360" w:lineRule="auto"/>
        <w:jc w:val="both"/>
        <w:outlineLvl w:val="4"/>
        <w:rPr>
          <w:rFonts w:asciiTheme="majorBidi" w:eastAsia="Times New Roman" w:hAnsiTheme="majorBidi" w:cstheme="majorBidi"/>
          <w:b/>
          <w:bCs/>
          <w:lang w:val="en-US"/>
        </w:rPr>
      </w:pPr>
      <w:r w:rsidRPr="009F0A3E">
        <w:rPr>
          <w:rFonts w:asciiTheme="majorBidi" w:eastAsia="Times New Roman" w:hAnsiTheme="majorBidi" w:cstheme="majorBidi"/>
          <w:b/>
          <w:bCs/>
          <w:lang w:val="en-US"/>
        </w:rPr>
        <w:t>3.5.</w:t>
      </w:r>
      <w:r w:rsidR="00FC0C4C">
        <w:rPr>
          <w:rFonts w:asciiTheme="majorBidi" w:eastAsia="Times New Roman" w:hAnsiTheme="majorBidi" w:cstheme="majorBidi"/>
          <w:b/>
          <w:bCs/>
          <w:lang w:val="en-US"/>
        </w:rPr>
        <w:t>5</w:t>
      </w:r>
      <w:r w:rsidRPr="009F0A3E">
        <w:rPr>
          <w:rFonts w:asciiTheme="majorBidi" w:eastAsia="Times New Roman" w:hAnsiTheme="majorBidi" w:cstheme="majorBidi"/>
          <w:b/>
          <w:bCs/>
          <w:lang w:val="en-US"/>
        </w:rPr>
        <w:t xml:space="preserve"> Adhikari 2025</w:t>
      </w:r>
    </w:p>
    <w:p w14:paraId="504AF14B" w14:textId="0AF99094" w:rsidR="009F0A3E" w:rsidRPr="009F0A3E" w:rsidRDefault="009F0A3E" w:rsidP="00EE5ADB">
      <w:pPr>
        <w:spacing w:before="100" w:beforeAutospacing="1" w:after="100" w:afterAutospacing="1" w:line="360" w:lineRule="auto"/>
        <w:jc w:val="both"/>
        <w:rPr>
          <w:rFonts w:asciiTheme="majorBidi" w:eastAsia="Times New Roman" w:hAnsiTheme="majorBidi" w:cstheme="majorBidi"/>
          <w:lang w:val="en-US"/>
        </w:rPr>
      </w:pPr>
      <w:r w:rsidRPr="009F0A3E">
        <w:rPr>
          <w:rFonts w:asciiTheme="majorBidi" w:eastAsia="Times New Roman" w:hAnsiTheme="majorBidi" w:cstheme="majorBidi"/>
          <w:lang w:val="en-US"/>
        </w:rPr>
        <w:t xml:space="preserve">Beyond its contribution to the MDA meta-analysis, Adhikari </w:t>
      </w:r>
      <w:r w:rsidR="002B7C1E">
        <w:rPr>
          <w:rFonts w:asciiTheme="majorBidi" w:eastAsia="Times New Roman" w:hAnsiTheme="majorBidi" w:cstheme="majorBidi"/>
          <w:lang w:val="en-US"/>
        </w:rPr>
        <w:t xml:space="preserve">et al. </w:t>
      </w:r>
      <w:r w:rsidR="002B7C1E">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Qvcl4LZX","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2B7C1E">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[25]</w:t>
      </w:r>
      <w:r w:rsidR="002B7C1E">
        <w:rPr>
          <w:rFonts w:asciiTheme="majorBidi" w:eastAsia="Times New Roman" w:hAnsiTheme="majorBidi" w:cstheme="majorBidi"/>
          <w:lang w:val="en-US"/>
        </w:rPr>
        <w:fldChar w:fldCharType="end"/>
      </w:r>
      <w:r w:rsidR="002B7C1E">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 xml:space="preserve">reported several additional outcomes. Significant improvements in CNFD (p = 0.002), CNBD (p &lt; 0.001), and CNFL (p = 0.025) were observed in the dapagliflozin group, alongside a significant increase in intraepidermal nerve </w:t>
      </w:r>
      <w:proofErr w:type="spellStart"/>
      <w:r w:rsidRPr="009F0A3E">
        <w:rPr>
          <w:rFonts w:asciiTheme="majorBidi" w:eastAsia="Times New Roman" w:hAnsiTheme="majorBidi" w:cstheme="majorBidi"/>
          <w:lang w:val="en-US"/>
        </w:rPr>
        <w:t>fibre</w:t>
      </w:r>
      <w:proofErr w:type="spellEnd"/>
      <w:r w:rsidRPr="009F0A3E">
        <w:rPr>
          <w:rFonts w:asciiTheme="majorBidi" w:eastAsia="Times New Roman" w:hAnsiTheme="majorBidi" w:cstheme="majorBidi"/>
          <w:lang w:val="en-US"/>
        </w:rPr>
        <w:t xml:space="preserve"> density (IENFD) (p = 0.01), though notably IENFD also improved significantly in the control group. Glutathione peroxidase, an endogenous antioxidant enzyme, increased significantly with dapagliflozin (p = 0.02), suggesting a possible antioxidant mechanism. These findings are notable in that Adhikari </w:t>
      </w:r>
      <w:r w:rsidR="002B7C1E">
        <w:rPr>
          <w:rFonts w:asciiTheme="majorBidi" w:eastAsia="Times New Roman" w:hAnsiTheme="majorBidi" w:cstheme="majorBidi"/>
          <w:lang w:val="en-US"/>
        </w:rPr>
        <w:t xml:space="preserve">et al. </w:t>
      </w:r>
      <w:r w:rsidR="002B7C1E">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UDZbeCOw","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2B7C1E">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[25]</w:t>
      </w:r>
      <w:r w:rsidR="002B7C1E">
        <w:rPr>
          <w:rFonts w:asciiTheme="majorBidi" w:eastAsia="Times New Roman" w:hAnsiTheme="majorBidi" w:cstheme="majorBidi"/>
          <w:lang w:val="en-US"/>
        </w:rPr>
        <w:fldChar w:fldCharType="end"/>
      </w:r>
      <w:r w:rsidRPr="009F0A3E">
        <w:rPr>
          <w:rFonts w:asciiTheme="majorBidi" w:eastAsia="Times New Roman" w:hAnsiTheme="majorBidi" w:cstheme="majorBidi"/>
          <w:lang w:val="en-US"/>
        </w:rPr>
        <w:t xml:space="preserve"> is the only RCT to demonstrate significant CCM improvements with SGLT2i therapy. However, as this represents a single study, and given the absence of </w:t>
      </w:r>
      <w:proofErr w:type="spellStart"/>
      <w:r w:rsidRPr="009F0A3E">
        <w:rPr>
          <w:rFonts w:asciiTheme="majorBidi" w:eastAsia="Times New Roman" w:hAnsiTheme="majorBidi" w:cstheme="majorBidi"/>
          <w:lang w:val="en-US"/>
        </w:rPr>
        <w:t>poolable</w:t>
      </w:r>
      <w:proofErr w:type="spellEnd"/>
      <w:r w:rsidRPr="009F0A3E">
        <w:rPr>
          <w:rFonts w:asciiTheme="majorBidi" w:eastAsia="Times New Roman" w:hAnsiTheme="majorBidi" w:cstheme="majorBidi"/>
          <w:lang w:val="en-US"/>
        </w:rPr>
        <w:t xml:space="preserve"> CCM data, these findings are considered preliminary and require replication.</w:t>
      </w:r>
    </w:p>
    <w:p w14:paraId="36CFB060" w14:textId="6CCC8F0A" w:rsidR="009F0A3E" w:rsidRPr="009F0A3E" w:rsidRDefault="009F0A3E" w:rsidP="00C208BC">
      <w:pPr>
        <w:spacing w:before="100" w:beforeAutospacing="1" w:after="100" w:afterAutospacing="1" w:line="360" w:lineRule="auto"/>
        <w:jc w:val="both"/>
        <w:outlineLvl w:val="4"/>
        <w:rPr>
          <w:rFonts w:asciiTheme="majorBidi" w:eastAsia="Times New Roman" w:hAnsiTheme="majorBidi" w:cstheme="majorBidi"/>
          <w:b/>
          <w:bCs/>
          <w:lang w:val="en-US"/>
        </w:rPr>
      </w:pPr>
      <w:r w:rsidRPr="009F0A3E">
        <w:rPr>
          <w:rFonts w:asciiTheme="majorBidi" w:eastAsia="Times New Roman" w:hAnsiTheme="majorBidi" w:cstheme="majorBidi"/>
          <w:b/>
          <w:bCs/>
          <w:lang w:val="en-US"/>
        </w:rPr>
        <w:t xml:space="preserve">3.5.6 </w:t>
      </w:r>
      <w:proofErr w:type="spellStart"/>
      <w:r w:rsidRPr="009F0A3E">
        <w:rPr>
          <w:rFonts w:asciiTheme="majorBidi" w:eastAsia="Times New Roman" w:hAnsiTheme="majorBidi" w:cstheme="majorBidi"/>
          <w:b/>
          <w:bCs/>
          <w:lang w:val="en-US"/>
        </w:rPr>
        <w:t>Vafaeinasab</w:t>
      </w:r>
      <w:proofErr w:type="spellEnd"/>
      <w:r w:rsidRPr="009F0A3E">
        <w:rPr>
          <w:rFonts w:asciiTheme="majorBidi" w:eastAsia="Times New Roman" w:hAnsiTheme="majorBidi" w:cstheme="majorBidi"/>
          <w:b/>
          <w:bCs/>
          <w:lang w:val="en-US"/>
        </w:rPr>
        <w:t xml:space="preserve"> 2025</w:t>
      </w:r>
    </w:p>
    <w:p w14:paraId="58AE3388" w14:textId="2BA3874E" w:rsidR="009F0A3E" w:rsidRPr="009F0A3E" w:rsidRDefault="009F0A3E" w:rsidP="00EE5ADB">
      <w:pPr>
        <w:spacing w:before="100" w:beforeAutospacing="1" w:after="100" w:afterAutospacing="1" w:line="360" w:lineRule="auto"/>
        <w:jc w:val="both"/>
        <w:rPr>
          <w:rFonts w:asciiTheme="majorBidi" w:eastAsia="Times New Roman" w:hAnsiTheme="majorBidi" w:cstheme="majorBidi"/>
          <w:lang w:val="en-US"/>
        </w:rPr>
      </w:pPr>
      <w:r w:rsidRPr="009F0A3E">
        <w:rPr>
          <w:rFonts w:asciiTheme="majorBidi" w:eastAsia="Times New Roman" w:hAnsiTheme="majorBidi" w:cstheme="majorBidi"/>
          <w:lang w:val="en-US"/>
        </w:rPr>
        <w:t xml:space="preserve">Beyond its contributions to the pooled analyses, </w:t>
      </w:r>
      <w:proofErr w:type="spellStart"/>
      <w:r w:rsidRPr="009F0A3E">
        <w:rPr>
          <w:rFonts w:asciiTheme="majorBidi" w:eastAsia="Times New Roman" w:hAnsiTheme="majorBidi" w:cstheme="majorBidi"/>
          <w:lang w:val="en-US"/>
        </w:rPr>
        <w:t>Vafaeinasab</w:t>
      </w:r>
      <w:proofErr w:type="spellEnd"/>
      <w:r w:rsidRPr="009F0A3E">
        <w:rPr>
          <w:rFonts w:asciiTheme="majorBidi" w:eastAsia="Times New Roman" w:hAnsiTheme="majorBidi" w:cstheme="majorBidi"/>
          <w:lang w:val="en-US"/>
        </w:rPr>
        <w:t xml:space="preserve"> </w:t>
      </w:r>
      <w:r w:rsidR="0095588F">
        <w:rPr>
          <w:rFonts w:asciiTheme="majorBidi" w:eastAsia="Times New Roman" w:hAnsiTheme="majorBidi" w:cstheme="majorBidi"/>
          <w:lang w:val="en-US"/>
        </w:rPr>
        <w:t>et al.</w:t>
      </w:r>
      <w:r w:rsidR="002709AC">
        <w:rPr>
          <w:rFonts w:asciiTheme="majorBidi" w:eastAsia="Times New Roman" w:hAnsiTheme="majorBidi" w:cstheme="majorBidi"/>
          <w:lang w:val="en-US"/>
        </w:rPr>
        <w:t xml:space="preserve"> </w:t>
      </w:r>
      <w:r w:rsidR="002709A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DdD5hsP7","properties":{"unsorted":false,"formattedCitation":"[28]","plainCitation":"[28]","noteIndex":0},"citationItems":[{"id":"g6iDE82k/l0R4jyDB","uris":["http://zotero.org/users/19709799/items/R4ADPE66"],"itemData":{"id":"JbUMJjXw/BQQKuHa2","type":"article-journal","container-title":"Endocrinology, Diabetes &amp; Metabolism","DOI":"10.1002/edm2.70128","ISSN":"2398-9238, 2398-9238","issue":"6","journalAbbreviation":"Endocrino Diabet &amp;amp; Metabol","language":"en","page":"e70128","source":"DOI.org (Crossref)","title":"The Comparison of the Effect of Adding Empagliflozin to the Medication Regimen on Peripheral Neuropathy in Patients With Type &lt;span style=\"font-variant:small-caps;\"&gt;II&lt;/span&gt; Diabetes: A Double Blind Randomised Clinical Trial","title-short":"The Comparison of the Effect of Adding Empagliflozin to the Medication Regimen on Peripheral Neuropathy in Patients With Type &lt;span style=\"font-variant","volume":"8","author":[{"family":"Vafaeinasab","given":"Mohammadreza"},{"family":"Mirzaei Malekabad","given":"Fatemeh"},{"family":"Khatibi","given":"Amidodin"},{"family":"Ghadiri‐Anari","given":"Akram"},{"family":"Zare Bidaki","given":"Marzieh"},{"family":"Azizi","given":"Raihane"}],"issued":{"date-parts":[["2025",11]]}}}],"schema":"https://github.com/citation-style-language/schema/raw/master/csl-citation.json"} </w:instrText>
      </w:r>
      <w:r w:rsidR="002709A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[28]</w:t>
      </w:r>
      <w:r w:rsidR="002709AC">
        <w:rPr>
          <w:rFonts w:asciiTheme="majorBidi" w:eastAsia="Times New Roman" w:hAnsiTheme="majorBidi" w:cstheme="majorBidi"/>
          <w:lang w:val="en-US"/>
        </w:rPr>
        <w:fldChar w:fldCharType="end"/>
      </w:r>
      <w:r w:rsidRPr="009F0A3E">
        <w:rPr>
          <w:rFonts w:asciiTheme="majorBidi" w:eastAsia="Times New Roman" w:hAnsiTheme="majorBidi" w:cstheme="majorBidi"/>
          <w:lang w:val="en-US"/>
        </w:rPr>
        <w:t xml:space="preserve"> reported that the MNSI oral questionnaire score improved significantly in the SGLT2i treatment group, while no significant difference was observed in MNSI clinical examination scores between groups. </w:t>
      </w:r>
    </w:p>
    <w:p w14:paraId="2DFBCE63" w14:textId="6742127F" w:rsidR="009F0A3E" w:rsidRPr="009F0A3E" w:rsidRDefault="009F0A3E" w:rsidP="00C208BC">
      <w:pPr>
        <w:spacing w:before="100" w:beforeAutospacing="1" w:after="100" w:afterAutospacing="1" w:line="360" w:lineRule="auto"/>
        <w:jc w:val="both"/>
        <w:outlineLvl w:val="4"/>
        <w:rPr>
          <w:rFonts w:asciiTheme="majorBidi" w:eastAsia="Times New Roman" w:hAnsiTheme="majorBidi" w:cstheme="majorBidi"/>
          <w:b/>
          <w:bCs/>
          <w:lang w:val="en-US"/>
        </w:rPr>
      </w:pPr>
      <w:r w:rsidRPr="009F0A3E">
        <w:rPr>
          <w:rFonts w:asciiTheme="majorBidi" w:eastAsia="Times New Roman" w:hAnsiTheme="majorBidi" w:cstheme="majorBidi"/>
          <w:b/>
          <w:bCs/>
          <w:lang w:val="en-US"/>
        </w:rPr>
        <w:t>3.5.7 El-Haggar 2024</w:t>
      </w:r>
    </w:p>
    <w:p w14:paraId="3029679C" w14:textId="428246D4" w:rsidR="009F0A3E" w:rsidRPr="009F0A3E" w:rsidRDefault="009F0A3E" w:rsidP="00EE5ADB">
      <w:pPr>
        <w:spacing w:before="100" w:beforeAutospacing="1" w:after="100" w:afterAutospacing="1" w:line="360" w:lineRule="auto"/>
        <w:jc w:val="both"/>
        <w:rPr>
          <w:rFonts w:asciiTheme="majorBidi" w:eastAsia="Times New Roman" w:hAnsiTheme="majorBidi" w:cstheme="majorBidi"/>
          <w:lang w:val="en-US"/>
        </w:rPr>
      </w:pPr>
      <w:r w:rsidRPr="009F0A3E">
        <w:rPr>
          <w:rFonts w:asciiTheme="majorBidi" w:eastAsia="Times New Roman" w:hAnsiTheme="majorBidi" w:cstheme="majorBidi"/>
          <w:lang w:val="en-US"/>
        </w:rPr>
        <w:t xml:space="preserve">El-Haggar </w:t>
      </w:r>
      <w:r w:rsidR="002709AC">
        <w:rPr>
          <w:rFonts w:asciiTheme="majorBidi" w:eastAsia="Times New Roman" w:hAnsiTheme="majorBidi" w:cstheme="majorBidi"/>
          <w:lang w:val="en-US"/>
        </w:rPr>
        <w:t xml:space="preserve">et al. </w:t>
      </w:r>
      <w:r w:rsidR="002709A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yJFdCGxm","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2709A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[19]</w:t>
      </w:r>
      <w:r w:rsidR="002709AC">
        <w:rPr>
          <w:rFonts w:asciiTheme="majorBidi" w:eastAsia="Times New Roman" w:hAnsiTheme="majorBidi" w:cstheme="majorBidi"/>
          <w:lang w:val="en-US"/>
        </w:rPr>
        <w:fldChar w:fldCharType="end"/>
      </w:r>
      <w:r w:rsidRPr="009F0A3E">
        <w:rPr>
          <w:rFonts w:asciiTheme="majorBidi" w:eastAsia="Times New Roman" w:hAnsiTheme="majorBidi" w:cstheme="majorBidi"/>
          <w:lang w:val="en-US"/>
        </w:rPr>
        <w:t xml:space="preserve"> reported significant reductions in Neuropathic Symptom Evaluator (NSE) scores within the SGLT2i group, alongside a significant improvement in the Brief Pain Inventory Short Form (BPI-SF). However, the Diabetic Neuropathy Score (DNS) did not show significant between-group differences, suggesting that while electrophysiological and biomarker changes were evident, clinical neuropathy scoring did not reach significance in this study.</w:t>
      </w:r>
    </w:p>
    <w:p w14:paraId="3F7895A0" w14:textId="66084B6A" w:rsidR="009F0A3E" w:rsidRPr="009F0A3E" w:rsidRDefault="009F0A3E" w:rsidP="00C208BC">
      <w:pPr>
        <w:spacing w:before="100" w:beforeAutospacing="1" w:after="100" w:afterAutospacing="1" w:line="360" w:lineRule="auto"/>
        <w:jc w:val="both"/>
        <w:outlineLvl w:val="4"/>
        <w:rPr>
          <w:rFonts w:asciiTheme="majorBidi" w:eastAsia="Times New Roman" w:hAnsiTheme="majorBidi" w:cstheme="majorBidi"/>
          <w:b/>
          <w:bCs/>
          <w:lang w:val="en-US"/>
        </w:rPr>
      </w:pPr>
      <w:r w:rsidRPr="009F0A3E">
        <w:rPr>
          <w:rFonts w:asciiTheme="majorBidi" w:eastAsia="Times New Roman" w:hAnsiTheme="majorBidi" w:cstheme="majorBidi"/>
          <w:b/>
          <w:bCs/>
          <w:lang w:val="en-US"/>
        </w:rPr>
        <w:t>3.5.8 Corneal Confocal Microscopy</w:t>
      </w:r>
    </w:p>
    <w:p w14:paraId="1010FFAF" w14:textId="0A60F0C5" w:rsidR="009F0A3E" w:rsidRDefault="009F0A3E" w:rsidP="00EE5ADB">
      <w:pPr>
        <w:spacing w:before="100" w:beforeAutospacing="1" w:after="100" w:afterAutospacing="1" w:line="360" w:lineRule="auto"/>
        <w:jc w:val="both"/>
        <w:rPr>
          <w:rFonts w:asciiTheme="majorBidi" w:eastAsia="Times New Roman" w:hAnsiTheme="majorBidi" w:cstheme="majorBidi"/>
          <w:lang w:val="en-US"/>
        </w:rPr>
      </w:pPr>
      <w:r w:rsidRPr="009F0A3E">
        <w:rPr>
          <w:rFonts w:asciiTheme="majorBidi" w:eastAsia="Times New Roman" w:hAnsiTheme="majorBidi" w:cstheme="majorBidi"/>
          <w:lang w:val="en-US"/>
        </w:rPr>
        <w:t xml:space="preserve">CCM outcomes were reported in two studies: Adhikari </w:t>
      </w:r>
      <w:r w:rsidR="002B7C1E">
        <w:rPr>
          <w:rFonts w:asciiTheme="majorBidi" w:eastAsia="Times New Roman" w:hAnsiTheme="majorBidi" w:cstheme="majorBidi"/>
          <w:lang w:val="en-US"/>
        </w:rPr>
        <w:t xml:space="preserve">et al. </w:t>
      </w:r>
      <w:r w:rsidR="002B7C1E">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GiPeVxZd","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2B7C1E">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[25]</w:t>
      </w:r>
      <w:r w:rsidR="002B7C1E">
        <w:rPr>
          <w:rFonts w:asciiTheme="majorBidi" w:eastAsia="Times New Roman" w:hAnsiTheme="majorBidi" w:cstheme="majorBidi"/>
          <w:lang w:val="en-US"/>
        </w:rPr>
        <w:fldChar w:fldCharType="end"/>
      </w:r>
      <w:r w:rsidRPr="009F0A3E">
        <w:rPr>
          <w:rFonts w:asciiTheme="majorBidi" w:eastAsia="Times New Roman" w:hAnsiTheme="majorBidi" w:cstheme="majorBidi"/>
          <w:lang w:val="en-US"/>
        </w:rPr>
        <w:t xml:space="preserve"> (RCT) and Ishibashi </w:t>
      </w:r>
      <w:r w:rsidR="002B7C1E">
        <w:rPr>
          <w:rFonts w:asciiTheme="majorBidi" w:eastAsia="Times New Roman" w:hAnsiTheme="majorBidi" w:cstheme="majorBidi"/>
          <w:lang w:val="en-US"/>
        </w:rPr>
        <w:t xml:space="preserve">et al. </w:t>
      </w:r>
      <w:r w:rsidR="002B7C1E">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{"citationID":"MuzRBGuk","properties":{"unsorted":false,"formattedCitation":"[26]","plainCitation":"[26]","noteIndex":0},"citationItems":[{"id":108,"uris":["http://zotero.org/groups/6437514/items/MHNR4PT3"],"itemData":{"id":108,"type":"article-journal","abstract":"Aims\n              \n                This three-year follow-up study aimed to elucidate whether sodium-glucose cotransporter-2 inhibitors (SGLT2is) have any protection against diabetic neuropathy and nephropathy in patients with type 2 diabetes\n                via\n                reducing variability in glycemia and extraglycemic factors or their averages.\n              \n            \n            \n              Methods\n              Two type 2 diabetic cohorts of 40 and 73 patients treated with or without SGLT2i along with 60 control subjects were recruited. Two diabetic cohorts matched for HbA1c levels and oral hypoglycemic agents other than SGLT2is underwent glycemic control with or without SGLT2is more than two years. The urinary albumin to creatinine ratio (ACR), estimated glomerular filtration rate (eGFR) every 3 months and neuropathy outcome measures and mean Z-score of 8 neurophysiological tests were determined at the baseline and endpoint. Glycemic variability, evaluated by the coefficient of variation of monthly measured HbA1c levels and casual postprandial plasma glucose (CPPG), and coefficient of variation and average of extraglycemic parameters in diabetic cohorts were determined.\n            \n            \n              Results\n              The glycemic variability and variability of some extraglycemic factors in SGLT2i cohort were smaller than those in non-SGLT2i cohort. However, only smaller coefficient of variation of HbA1c improved some neuropathy outcome measures, and ameliorated eGFR decline. SGLT2i improved the Z-score of neurophysiological tests. The optimized changes in the blood pressure, HDL-cholesterol and uric acid by SGLT2i led to neurological and renal protection. SGLT2i decreased the prevalence of nephropathy significantly and the prevalence of neuropathy insignificantly.\n            \n            \n              Conclusion\n              Over 3 years period, SGLT2i significantly improved some neuropathy outcome measures, mean Z-score of 8 neurophysiological tests, and attenuated nephropathy in modestly controlled type 2 diabetes by reducing glycemic variability and mean nonglycemic factors of diabetic microvascular complication.","container-title":"Frontiers in Endocrinology","DOI":"10.3389/fendo.2022.864332","ISSN":"1664-2392","journalAbbreviation":"Front. Endocrinol.","page":"864332","source":"DOI.org (Crossref)","title":"Sodium Glucose Cotransporter-2 Inhibitor Protects Against Diabetic Neuropathy and Nephropathy in Modestly Controlled Type 2 Diabetes: Follow-Up Study","title-short":"Sodium Glucose Cotransporter-2 Inhibitor Protects Against Diabetic Neuropathy and Nephropathy in Modestly Controlled Type 2 Diabetes","volume":"13","author":[{"family":"Ishibashi","given":"Fukashi"},{"family":"Kosaka","given":"Aiko"},{"family":"Tavakoli","given":"Mitra"}],"issued":{"date-parts":[["2022",6,17]]}}}],"schema":"https://github.com/citation-style-language/schema/raw/master/csl-citation.json"} </w:instrText>
      </w:r>
      <w:r w:rsidR="002B7C1E">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[26]</w:t>
      </w:r>
      <w:r w:rsidR="002B7C1E">
        <w:rPr>
          <w:rFonts w:asciiTheme="majorBidi" w:eastAsia="Times New Roman" w:hAnsiTheme="majorBidi" w:cstheme="majorBidi"/>
          <w:lang w:val="en-US"/>
        </w:rPr>
        <w:fldChar w:fldCharType="end"/>
      </w:r>
      <w:r w:rsidR="002B7C1E">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 xml:space="preserve">(prospective cohort). </w:t>
      </w:r>
      <w:r w:rsidR="009767B0">
        <w:rPr>
          <w:rFonts w:asciiTheme="majorBidi" w:eastAsia="Times New Roman" w:hAnsiTheme="majorBidi" w:cstheme="majorBidi"/>
          <w:lang w:val="en-US"/>
        </w:rPr>
        <w:t>T</w:t>
      </w:r>
      <w:r w:rsidRPr="009F0A3E">
        <w:rPr>
          <w:rFonts w:asciiTheme="majorBidi" w:eastAsia="Times New Roman" w:hAnsiTheme="majorBidi" w:cstheme="majorBidi"/>
          <w:lang w:val="en-US"/>
        </w:rPr>
        <w:t xml:space="preserve">hese were not pooled due to incompatible study designs and the inherent confounding risk in the observational estimate. Adhikari </w:t>
      </w:r>
      <w:r w:rsidR="0066777A">
        <w:rPr>
          <w:rFonts w:asciiTheme="majorBidi" w:eastAsia="Times New Roman" w:hAnsiTheme="majorBidi" w:cstheme="majorBidi"/>
          <w:lang w:val="en-US"/>
        </w:rPr>
        <w:t xml:space="preserve">et al. </w:t>
      </w:r>
      <w:r w:rsidR="0066777A">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QWEGDYyt","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66777A">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[25]</w:t>
      </w:r>
      <w:r w:rsidR="0066777A">
        <w:rPr>
          <w:rFonts w:asciiTheme="majorBidi" w:eastAsia="Times New Roman" w:hAnsiTheme="majorBidi" w:cstheme="majorBidi"/>
          <w:lang w:val="en-US"/>
        </w:rPr>
        <w:fldChar w:fldCharType="end"/>
      </w:r>
      <w:r w:rsidR="0066777A">
        <w:rPr>
          <w:rFonts w:asciiTheme="majorBidi" w:eastAsia="Times New Roman" w:hAnsiTheme="majorBidi" w:cstheme="majorBidi"/>
          <w:lang w:val="en-US"/>
        </w:rPr>
        <w:t xml:space="preserve"> </w:t>
      </w:r>
      <w:r w:rsidRPr="009F0A3E">
        <w:rPr>
          <w:rFonts w:asciiTheme="majorBidi" w:eastAsia="Times New Roman" w:hAnsiTheme="majorBidi" w:cstheme="majorBidi"/>
          <w:lang w:val="en-US"/>
        </w:rPr>
        <w:t xml:space="preserve">demonstrated significant </w:t>
      </w:r>
      <w:r w:rsidRPr="009F0A3E">
        <w:rPr>
          <w:rFonts w:asciiTheme="majorBidi" w:eastAsia="Times New Roman" w:hAnsiTheme="majorBidi" w:cstheme="majorBidi"/>
          <w:lang w:val="en-US"/>
        </w:rPr>
        <w:lastRenderedPageBreak/>
        <w:t xml:space="preserve">improvements in CNFD, CNBD, and CNFL with dapagliflozin compared to control. In contrast, Ishibashi </w:t>
      </w:r>
      <w:r w:rsidR="00DD206C">
        <w:rPr>
          <w:rFonts w:asciiTheme="majorBidi" w:eastAsia="Times New Roman" w:hAnsiTheme="majorBidi" w:cstheme="majorBidi"/>
          <w:lang w:val="en-US"/>
        </w:rPr>
        <w:t xml:space="preserve">et al. </w:t>
      </w:r>
      <w:r w:rsidR="00DD206C">
        <w:rPr>
          <w:rFonts w:asciiTheme="majorBidi" w:eastAsia="Times New Roman" w:hAnsiTheme="majorBidi" w:cstheme="majorBidi"/>
          <w:lang w:val="en-US"/>
        </w:rPr>
        <w:fldChar w:fldCharType="begin"/>
      </w:r>
      <w:r w:rsidR="00EE5ADB">
        <w:rPr>
          <w:rFonts w:asciiTheme="majorBidi" w:eastAsia="Times New Roman" w:hAnsiTheme="majorBidi" w:cstheme="majorBidi"/>
          <w:lang w:val="en-US"/>
        </w:rPr>
        <w:instrText xml:space="preserve"> ADDIN ZOTERO_ITEM CSL_CITATION {"citationID":"QqIODYd4","properties":{"unsorted":false,"formattedCitation":"[26]","plainCitation":"[26]","noteIndex":0},"citationItems":[{"id":108,"uris":["http://zotero.org/groups/6437514/items/MHNR4PT3"],"itemData":{"id":108,"type":"article-journal","abstract":"Aims\n              \n                This three-year follow-up study aimed to elucidate whether sodium-glucose cotransporter-2 inhibitors (SGLT2is) have any protection against diabetic neuropathy and nephropathy in patients with type 2 diabetes\n                via\n                reducing variability in glycemia and extraglycemic factors or their averages.\n              \n            \n            \n              Methods\n              Two type 2 diabetic cohorts of 40 and 73 patients treated with or without SGLT2i along with 60 control subjects were recruited. Two diabetic cohorts matched for HbA1c levels and oral hypoglycemic agents other than SGLT2is underwent glycemic control with or without SGLT2is more than two years. The urinary albumin to creatinine ratio (ACR), estimated glomerular filtration rate (eGFR) every 3 months and neuropathy outcome measures and mean Z-score of 8 neurophysiological tests were determined at the baseline and endpoint. Glycemic variability, evaluated by the coefficient of variation of monthly measured HbA1c levels and casual postprandial plasma glucose (CPPG), and coefficient of variation and average of extraglycemic parameters in diabetic cohorts were determined.\n            \n            \n              Results\n              The glycemic variability and variability of some extraglycemic factors in SGLT2i cohort were smaller than those in non-SGLT2i cohort. However, only smaller coefficient of variation of HbA1c improved some neuropathy outcome measures, and ameliorated eGFR decline. SGLT2i improved the Z-score of neurophysiological tests. The optimized changes in the blood pressure, HDL-cholesterol and uric acid by SGLT2i led to neurological and renal protection. SGLT2i decreased the prevalence of nephropathy significantly and the prevalence of neuropathy insignificantly.\n            \n            \n              Conclusion\n              Over 3 years period, SGLT2i significantly improved some neuropathy outcome measures, mean Z-score of 8 neurophysiological tests, and attenuated nephropathy in modestly controlled type 2 diabetes by reducing glycemic variability and mean nonglycemic factors of diabetic microvascular complication.","container-title":"Frontiers in Endocrinology","DOI":"10.3389/fendo.2022.864332","ISSN":"1664-2392","journalAbbreviation":"Front. Endocrinol.","page":"864332","source":"DOI.org (Crossref)","title":"Sodium Glucose Cotransporter-2 Inhibitor Protects Against Diabetic Neuropathy and Nephropathy in Modestly Controlled Type 2 Diabetes: Follow-Up Study","title-short":"Sodium Glucose Cotransporter-2 Inhibitor Protects Against Diabetic Neuropathy and Nephropathy in Modestly Controlled Type 2 Diabetes","volume":"13","author":[{"family":"Ishibashi","given":"Fukashi"},{"family":"Kosaka","given":"Aiko"},{"family":"Tavakoli","given":"Mitra"}],"issued":{"date-parts":[["2022",6,17]]}}}],"schema":"https://github.com/citation-style-language/schema/raw/master/csl-citation.json"} </w:instrText>
      </w:r>
      <w:r w:rsidR="00DD206C">
        <w:rPr>
          <w:rFonts w:asciiTheme="majorBidi" w:eastAsia="Times New Roman" w:hAnsiTheme="majorBidi" w:cstheme="majorBidi"/>
          <w:lang w:val="en-US"/>
        </w:rPr>
        <w:fldChar w:fldCharType="separate"/>
      </w:r>
      <w:r w:rsidR="00EE5ADB" w:rsidRPr="00EE5ADB">
        <w:rPr>
          <w:rFonts w:ascii="Times New Roman" w:hAnsi="Times New Roman" w:cs="Times New Roman"/>
          <w:lang w:val="en-US"/>
        </w:rPr>
        <w:t>[26]</w:t>
      </w:r>
      <w:r w:rsidR="00DD206C">
        <w:rPr>
          <w:rFonts w:asciiTheme="majorBidi" w:eastAsia="Times New Roman" w:hAnsiTheme="majorBidi" w:cstheme="majorBidi"/>
          <w:lang w:val="en-US"/>
        </w:rPr>
        <w:fldChar w:fldCharType="end"/>
      </w:r>
      <w:r w:rsidRPr="009F0A3E">
        <w:rPr>
          <w:rFonts w:asciiTheme="majorBidi" w:eastAsia="Times New Roman" w:hAnsiTheme="majorBidi" w:cstheme="majorBidi"/>
          <w:lang w:val="en-US"/>
        </w:rPr>
        <w:t xml:space="preserve"> found no significant between-group differences in any CCM parameter, with both groups showing significantly reduced corneal nerve measures </w:t>
      </w:r>
      <w:r w:rsidR="009767B0">
        <w:rPr>
          <w:rFonts w:asciiTheme="majorBidi" w:eastAsia="Times New Roman" w:hAnsiTheme="majorBidi" w:cstheme="majorBidi"/>
          <w:lang w:val="en-US"/>
        </w:rPr>
        <w:t xml:space="preserve">at </w:t>
      </w:r>
      <w:r w:rsidRPr="009F0A3E">
        <w:rPr>
          <w:rFonts w:asciiTheme="majorBidi" w:eastAsia="Times New Roman" w:hAnsiTheme="majorBidi" w:cstheme="majorBidi"/>
          <w:lang w:val="en-US"/>
        </w:rPr>
        <w:t>all timepoints. Current evidence is insufficient to determine whether SGLT2 inhibitors meaningfully affect corneal nerve morphology in PDN.</w:t>
      </w:r>
    </w:p>
    <w:p w14:paraId="0DB31CDC" w14:textId="64E9A9F8" w:rsidR="00102FFB" w:rsidRPr="00102FFB" w:rsidRDefault="00102FFB" w:rsidP="00102FFB">
      <w:pPr>
        <w:spacing w:before="100" w:beforeAutospacing="1" w:after="100" w:afterAutospacing="1" w:line="360" w:lineRule="auto"/>
        <w:jc w:val="both"/>
        <w:rPr>
          <w:rFonts w:asciiTheme="majorBidi" w:eastAsia="Times New Roman" w:hAnsiTheme="majorBidi" w:cstheme="majorBidi"/>
          <w:b/>
          <w:bCs/>
        </w:rPr>
      </w:pPr>
      <w:r w:rsidRPr="00102FFB">
        <w:rPr>
          <w:rFonts w:asciiTheme="majorBidi" w:eastAsia="Times New Roman" w:hAnsiTheme="majorBidi" w:cstheme="majorBidi"/>
          <w:b/>
          <w:bCs/>
          <w:lang w:val="en-US"/>
        </w:rPr>
        <w:t xml:space="preserve">3.6 </w:t>
      </w:r>
      <w:r w:rsidRPr="00102FFB">
        <w:rPr>
          <w:rFonts w:asciiTheme="majorBidi" w:eastAsia="Times New Roman" w:hAnsiTheme="majorBidi" w:cstheme="majorBidi"/>
          <w:b/>
          <w:bCs/>
        </w:rPr>
        <w:t>Reporting Bias Assessment</w:t>
      </w:r>
    </w:p>
    <w:p w14:paraId="0CE749CE" w14:textId="398EE183" w:rsidR="00102FFB" w:rsidRPr="009F0A3E" w:rsidRDefault="00102FFB" w:rsidP="00102FFB">
      <w:pPr>
        <w:spacing w:before="100" w:beforeAutospacing="1" w:after="100" w:afterAutospacing="1" w:line="360" w:lineRule="auto"/>
        <w:jc w:val="both"/>
        <w:rPr>
          <w:rFonts w:asciiTheme="majorBidi" w:eastAsia="Times New Roman" w:hAnsiTheme="majorBidi" w:cstheme="majorBidi"/>
          <w:lang w:val="en-US"/>
        </w:rPr>
      </w:pPr>
      <w:r w:rsidRPr="00102FFB">
        <w:rPr>
          <w:rFonts w:asciiTheme="majorBidi" w:eastAsia="Times New Roman" w:hAnsiTheme="majorBidi" w:cstheme="majorBidi"/>
        </w:rPr>
        <w:t xml:space="preserve">Formal funnel plot assessment was not performed for any outcome given that fewer than ten studies contributed to each pooled analysis, precluding reliable detection of asymmetry. To assess the possibility of reporting bias, a search of clinical trial registries (ClinicalTrials.gov and WHO ICTRP) was conducted to identify prospectively registered trials investigating SGLT2 inhibitors in diabetic peripheral neuropathy that had not been published or had reported outcomes incompletely. No unpublished or ongoing trials with relevant completed data were identified through registry searching. However, the absence of identifiable unpublished trials does not exclude the possibility of publication bias, as studies with null or </w:t>
      </w:r>
      <w:proofErr w:type="spellStart"/>
      <w:r w:rsidRPr="00102FFB">
        <w:rPr>
          <w:rFonts w:asciiTheme="majorBidi" w:eastAsia="Times New Roman" w:hAnsiTheme="majorBidi" w:cstheme="majorBidi"/>
        </w:rPr>
        <w:t>unfavourable</w:t>
      </w:r>
      <w:proofErr w:type="spellEnd"/>
      <w:r w:rsidRPr="00102FFB">
        <w:rPr>
          <w:rFonts w:asciiTheme="majorBidi" w:eastAsia="Times New Roman" w:hAnsiTheme="majorBidi" w:cstheme="majorBidi"/>
        </w:rPr>
        <w:t xml:space="preserve"> findings may not have been registered or may remain unpublished without registry records. Given the small number of studies contributing to each meta-analysis and the overall limited evidence base, the possibility of publication bias cannot be excluded and represents an acknowledged limitation of this review.</w:t>
      </w:r>
    </w:p>
    <w:p w14:paraId="77E038B2" w14:textId="6EBF6660" w:rsidR="00200DF4" w:rsidRPr="00EF4A89" w:rsidRDefault="00000000" w:rsidP="00C208BC">
      <w:pPr>
        <w:spacing w:after="240" w:line="360" w:lineRule="auto"/>
        <w:rPr>
          <w:rFonts w:asciiTheme="majorBidi" w:eastAsia="Times New Roman" w:hAnsiTheme="majorBidi" w:cstheme="majorBidi"/>
          <w:i/>
          <w:iCs/>
        </w:rPr>
      </w:pPr>
      <w:r w:rsidRPr="00EF4A89">
        <w:rPr>
          <w:rFonts w:asciiTheme="majorBidi" w:hAnsiTheme="majorBidi" w:cstheme="majorBidi"/>
        </w:rPr>
        <w:br w:type="page"/>
      </w:r>
    </w:p>
    <w:p w14:paraId="4C80AA99" w14:textId="73F90ED6" w:rsidR="00200DF4" w:rsidRDefault="00000000" w:rsidP="00C208BC">
      <w:pPr>
        <w:pStyle w:val="Heading1"/>
        <w:spacing w:line="360" w:lineRule="auto"/>
      </w:pPr>
      <w:bookmarkStart w:id="3" w:name="_ruix7xeovzkf" w:colFirst="0" w:colLast="0"/>
      <w:bookmarkEnd w:id="3"/>
      <w:r w:rsidRPr="00ED0F7F">
        <w:lastRenderedPageBreak/>
        <w:t>4. Discussion</w:t>
      </w:r>
    </w:p>
    <w:p w14:paraId="723420DC" w14:textId="77777777" w:rsidR="009F0A3E" w:rsidRPr="009F0A3E" w:rsidRDefault="009F0A3E" w:rsidP="00C208BC">
      <w:pPr>
        <w:spacing w:before="100" w:beforeAutospacing="1" w:after="100" w:afterAutospacing="1" w:line="360" w:lineRule="auto"/>
        <w:jc w:val="both"/>
        <w:outlineLvl w:val="3"/>
        <w:rPr>
          <w:rFonts w:ascii="Times New Roman" w:eastAsia="Times New Roman" w:hAnsi="Times New Roman" w:cs="Times New Roman"/>
          <w:b/>
          <w:bCs/>
          <w:lang w:val="en-US"/>
        </w:rPr>
      </w:pPr>
      <w:r w:rsidRPr="009F0A3E">
        <w:rPr>
          <w:rFonts w:ascii="Times New Roman" w:eastAsia="Times New Roman" w:hAnsi="Times New Roman" w:cs="Times New Roman"/>
          <w:b/>
          <w:bCs/>
          <w:lang w:val="en-US"/>
        </w:rPr>
        <w:t>4.1 Summary of Main Findings</w:t>
      </w:r>
    </w:p>
    <w:p w14:paraId="54DD91AE" w14:textId="7A4D076F" w:rsidR="009F0A3E" w:rsidRPr="009F0A3E" w:rsidRDefault="009F0A3E" w:rsidP="00492DBF">
      <w:pPr>
        <w:spacing w:before="100" w:beforeAutospacing="1" w:after="100" w:afterAutospacing="1" w:line="360" w:lineRule="auto"/>
        <w:jc w:val="both"/>
        <w:rPr>
          <w:rFonts w:ascii="Times New Roman" w:eastAsia="Times New Roman" w:hAnsi="Times New Roman" w:cs="Times New Roman"/>
          <w:lang w:val="en-US"/>
        </w:rPr>
      </w:pPr>
      <w:r w:rsidRPr="009F0A3E">
        <w:rPr>
          <w:rFonts w:ascii="Times New Roman" w:eastAsia="Times New Roman" w:hAnsi="Times New Roman" w:cs="Times New Roman"/>
          <w:lang w:val="en-US"/>
        </w:rPr>
        <w:t xml:space="preserve">This systematic review and meta-analysis is among the first to quantitatively </w:t>
      </w:r>
      <w:proofErr w:type="spellStart"/>
      <w:r w:rsidRPr="009F0A3E">
        <w:rPr>
          <w:rFonts w:ascii="Times New Roman" w:eastAsia="Times New Roman" w:hAnsi="Times New Roman" w:cs="Times New Roman"/>
          <w:lang w:val="en-US"/>
        </w:rPr>
        <w:t>synthesise</w:t>
      </w:r>
      <w:proofErr w:type="spellEnd"/>
      <w:r w:rsidRPr="009F0A3E">
        <w:rPr>
          <w:rFonts w:ascii="Times New Roman" w:eastAsia="Times New Roman" w:hAnsi="Times New Roman" w:cs="Times New Roman"/>
          <w:lang w:val="en-US"/>
        </w:rPr>
        <w:t xml:space="preserve"> the available evidence on the effect of SGLT2 inhibitors on peripheral nerve function in diabetic peripheral neuropathy. </w:t>
      </w:r>
      <w:r w:rsidR="00FC0963">
        <w:rPr>
          <w:rFonts w:ascii="Times New Roman" w:eastAsia="Times New Roman" w:hAnsi="Times New Roman" w:cs="Times New Roman"/>
          <w:lang w:val="en-US"/>
        </w:rPr>
        <w:t xml:space="preserve">In our meta-analysis of nerve conduction outcomes, </w:t>
      </w:r>
      <w:r w:rsidRPr="009F0A3E">
        <w:rPr>
          <w:rFonts w:ascii="Times New Roman" w:eastAsia="Times New Roman" w:hAnsi="Times New Roman" w:cs="Times New Roman"/>
          <w:lang w:val="en-US"/>
        </w:rPr>
        <w:t xml:space="preserve">SGLT2i therapy was associated with a statistically significant improvement in sural nerve sensory conduction velocity, representing the most robust finding of this review. Peroneal nerve motor latency was also significantly reduced across two RCTs, </w:t>
      </w:r>
      <w:r w:rsidR="00FC0963">
        <w:rPr>
          <w:rFonts w:ascii="Times New Roman" w:eastAsia="Times New Roman" w:hAnsi="Times New Roman" w:cs="Times New Roman"/>
          <w:lang w:val="en-US"/>
        </w:rPr>
        <w:t xml:space="preserve">indicating </w:t>
      </w:r>
      <w:r w:rsidRPr="009F0A3E">
        <w:rPr>
          <w:rFonts w:ascii="Times New Roman" w:eastAsia="Times New Roman" w:hAnsi="Times New Roman" w:cs="Times New Roman"/>
          <w:lang w:val="en-US"/>
        </w:rPr>
        <w:t>improved motor nerve conduction. Sural nerve sensory amplitude yielded a significant pooled result; however, this finding was not sustained when the analysis was restricted to RCTs</w:t>
      </w:r>
      <w:r w:rsidR="00E6706D">
        <w:rPr>
          <w:rFonts w:ascii="Times New Roman" w:eastAsia="Times New Roman" w:hAnsi="Times New Roman" w:cs="Times New Roman"/>
          <w:lang w:val="en-US"/>
        </w:rPr>
        <w:t xml:space="preserve"> only</w:t>
      </w:r>
      <w:r w:rsidRPr="009F0A3E">
        <w:rPr>
          <w:rFonts w:ascii="Times New Roman" w:eastAsia="Times New Roman" w:hAnsi="Times New Roman" w:cs="Times New Roman"/>
          <w:lang w:val="en-US"/>
        </w:rPr>
        <w:t xml:space="preserve">, indicating that the </w:t>
      </w:r>
      <w:r w:rsidR="00E6706D">
        <w:rPr>
          <w:rFonts w:ascii="Times New Roman" w:eastAsia="Times New Roman" w:hAnsi="Times New Roman" w:cs="Times New Roman"/>
          <w:lang w:val="en-US"/>
        </w:rPr>
        <w:t>prospective</w:t>
      </w:r>
      <w:r w:rsidRPr="009F0A3E">
        <w:rPr>
          <w:rFonts w:ascii="Times New Roman" w:eastAsia="Times New Roman" w:hAnsi="Times New Roman" w:cs="Times New Roman"/>
          <w:lang w:val="en-US"/>
        </w:rPr>
        <w:t xml:space="preserve"> cohort </w:t>
      </w:r>
      <w:r w:rsidR="00E6706D">
        <w:rPr>
          <w:rFonts w:ascii="Times New Roman" w:eastAsia="Times New Roman" w:hAnsi="Times New Roman" w:cs="Times New Roman"/>
          <w:lang w:val="en-US"/>
        </w:rPr>
        <w:t xml:space="preserve">study data </w:t>
      </w:r>
      <w:r w:rsidRPr="009F0A3E">
        <w:rPr>
          <w:rFonts w:ascii="Times New Roman" w:eastAsia="Times New Roman" w:hAnsi="Times New Roman" w:cs="Times New Roman"/>
          <w:lang w:val="en-US"/>
        </w:rPr>
        <w:t xml:space="preserve">disproportionately drove this result, and the amplitude evidence is therefore considered inconclusive. No significant between-group differences were identified in peroneal nerve motor conduction velocity or amplitude, though these analyses were limited by small study numbers and </w:t>
      </w:r>
      <w:r w:rsidR="00492DBF">
        <w:rPr>
          <w:rFonts w:ascii="Times New Roman" w:eastAsia="Times New Roman" w:hAnsi="Times New Roman" w:cs="Times New Roman"/>
          <w:lang w:val="en-US"/>
        </w:rPr>
        <w:t xml:space="preserve">varying degrees of </w:t>
      </w:r>
      <w:r w:rsidRPr="009F0A3E">
        <w:rPr>
          <w:rFonts w:ascii="Times New Roman" w:eastAsia="Times New Roman" w:hAnsi="Times New Roman" w:cs="Times New Roman"/>
          <w:lang w:val="en-US"/>
        </w:rPr>
        <w:t>heterogeneity. The oxidative stress marker MDA showed no significant between-group difference. Corneal confocal microscopy findings were discordant across the two studies reporting them and are considered insufficient to draw conclusions. Taken together, the evidence suggests a potential neuroprotective effect of SGLT2 inhibit</w:t>
      </w:r>
      <w:r w:rsidR="00492DBF">
        <w:rPr>
          <w:rFonts w:ascii="Times New Roman" w:eastAsia="Times New Roman" w:hAnsi="Times New Roman" w:cs="Times New Roman"/>
          <w:lang w:val="en-US"/>
        </w:rPr>
        <w:t>ors</w:t>
      </w:r>
      <w:r w:rsidRPr="009F0A3E">
        <w:rPr>
          <w:rFonts w:ascii="Times New Roman" w:eastAsia="Times New Roman" w:hAnsi="Times New Roman" w:cs="Times New Roman"/>
          <w:lang w:val="en-US"/>
        </w:rPr>
        <w:t xml:space="preserve"> on peripheral nerve function, most consistently reflected in conduction velocity outcomes.</w:t>
      </w:r>
    </w:p>
    <w:p w14:paraId="2A0C5B5A" w14:textId="77777777" w:rsidR="00D1006E" w:rsidRPr="00D1006E" w:rsidRDefault="00D1006E" w:rsidP="00D1006E">
      <w:pPr>
        <w:spacing w:before="100" w:beforeAutospacing="1" w:after="100" w:afterAutospacing="1" w:line="360" w:lineRule="auto"/>
        <w:jc w:val="both"/>
        <w:outlineLvl w:val="3"/>
        <w:rPr>
          <w:rFonts w:ascii="Times New Roman" w:eastAsia="Times New Roman" w:hAnsi="Times New Roman" w:cs="Times New Roman"/>
          <w:b/>
          <w:bCs/>
          <w:lang w:val="en-US"/>
        </w:rPr>
      </w:pPr>
      <w:r w:rsidRPr="00D1006E">
        <w:rPr>
          <w:rFonts w:ascii="Times New Roman" w:eastAsia="Times New Roman" w:hAnsi="Times New Roman" w:cs="Times New Roman"/>
          <w:b/>
          <w:bCs/>
          <w:lang w:val="en-US"/>
        </w:rPr>
        <w:t>4.2 Interpretation of Sural Nerve Sensory Conduction Velocity</w:t>
      </w:r>
    </w:p>
    <w:p w14:paraId="371954FA" w14:textId="1598A67A" w:rsidR="00D1006E" w:rsidRPr="00D1006E" w:rsidRDefault="00D1006E" w:rsidP="00D1006E">
      <w:pPr>
        <w:spacing w:before="100" w:beforeAutospacing="1" w:after="100" w:afterAutospacing="1" w:line="360" w:lineRule="auto"/>
        <w:jc w:val="both"/>
        <w:outlineLvl w:val="3"/>
        <w:rPr>
          <w:rFonts w:ascii="Times New Roman" w:eastAsia="Times New Roman" w:hAnsi="Times New Roman" w:cs="Times New Roman"/>
          <w:lang w:val="en-US"/>
        </w:rPr>
      </w:pPr>
      <w:r w:rsidRPr="00D1006E">
        <w:rPr>
          <w:rFonts w:ascii="Times New Roman" w:eastAsia="Times New Roman" w:hAnsi="Times New Roman" w:cs="Times New Roman"/>
          <w:lang w:val="en-US"/>
        </w:rPr>
        <w:t xml:space="preserve">The significant improvement in sural SNCV in the meta-analysis (MD 2.92 m/s; 95% CI 1.43 to 4.42; I² = 0%) represents the most clinically meaningful and methodologically consistent finding of this review. The complete absence of statistical heterogeneity across all three studies is particularly noteworthy, as it indicates that the direction and approximate magnitude of the effect remained consistent across different SGLT2i agents, study designs, patient populations, and follow-up durations, lending biological plausibility to a class effect rather than an agent-specific phenomenon. The robustness of this finding is further supported by the pre-specified sensitivity analysis restricted to the two RCTs alone, which yielded a consistent and significant result (MD 3.38 m/s; 95% CI 1.63 to 5.13; p = 0.0002; I² = 0%), confirming that the primary finding was not dependent on the contribution of observational data and was reproducible within the higher-certainty RCT evidence base alone. The magnitude of improvement of approximately 3 m/s, while modest in absolute terms, may represent clinically meaningful </w:t>
      </w:r>
      <w:proofErr w:type="spellStart"/>
      <w:r w:rsidRPr="00D1006E">
        <w:rPr>
          <w:rFonts w:ascii="Times New Roman" w:eastAsia="Times New Roman" w:hAnsi="Times New Roman" w:cs="Times New Roman"/>
          <w:lang w:val="en-US"/>
        </w:rPr>
        <w:t>stabilisation</w:t>
      </w:r>
      <w:proofErr w:type="spellEnd"/>
      <w:r w:rsidRPr="00D1006E">
        <w:rPr>
          <w:rFonts w:ascii="Times New Roman" w:eastAsia="Times New Roman" w:hAnsi="Times New Roman" w:cs="Times New Roman"/>
          <w:lang w:val="en-US"/>
        </w:rPr>
        <w:t xml:space="preserve"> or partial reversal of conduction slowing in a condition where progressive deterioration is the natural history.</w:t>
      </w:r>
    </w:p>
    <w:p w14:paraId="1429009B" w14:textId="4AD876BC" w:rsidR="00D1006E" w:rsidRPr="00D1006E" w:rsidRDefault="00D1006E" w:rsidP="00EE5ADB">
      <w:pPr>
        <w:spacing w:before="100" w:beforeAutospacing="1" w:after="100" w:afterAutospacing="1" w:line="360" w:lineRule="auto"/>
        <w:jc w:val="both"/>
        <w:outlineLvl w:val="3"/>
        <w:rPr>
          <w:rFonts w:ascii="Times New Roman" w:eastAsia="Times New Roman" w:hAnsi="Times New Roman" w:cs="Times New Roman"/>
          <w:lang w:val="en-US"/>
        </w:rPr>
      </w:pPr>
      <w:r w:rsidRPr="00D1006E">
        <w:rPr>
          <w:rFonts w:ascii="Times New Roman" w:eastAsia="Times New Roman" w:hAnsi="Times New Roman" w:cs="Times New Roman"/>
          <w:lang w:val="en-US"/>
        </w:rPr>
        <w:lastRenderedPageBreak/>
        <w:t xml:space="preserve">Several mechanistic pathways may underlie this finding. SGLT2 inhibitors promote a shift toward ketone body </w:t>
      </w:r>
      <w:proofErr w:type="spellStart"/>
      <w:r w:rsidRPr="00D1006E">
        <w:rPr>
          <w:rFonts w:ascii="Times New Roman" w:eastAsia="Times New Roman" w:hAnsi="Times New Roman" w:cs="Times New Roman"/>
          <w:lang w:val="en-US"/>
        </w:rPr>
        <w:t>utilisation</w:t>
      </w:r>
      <w:proofErr w:type="spellEnd"/>
      <w:r w:rsidRPr="00D1006E">
        <w:rPr>
          <w:rFonts w:ascii="Times New Roman" w:eastAsia="Times New Roman" w:hAnsi="Times New Roman" w:cs="Times New Roman"/>
          <w:lang w:val="en-US"/>
        </w:rPr>
        <w:t xml:space="preserve"> as an alternative metabolic substrate, and neurons may benefit from this alternative energy source to maintain axonal function and conduction</w:t>
      </w:r>
      <w:r w:rsidR="005116CC">
        <w:rPr>
          <w:rFonts w:ascii="Times New Roman" w:eastAsia="Times New Roman" w:hAnsi="Times New Roman" w:cs="Times New Roman"/>
          <w:lang w:val="en-US"/>
        </w:rPr>
        <w:t xml:space="preserve"> </w:t>
      </w:r>
      <w:r w:rsidR="005116CC">
        <w:rPr>
          <w:rFonts w:ascii="Times New Roman" w:eastAsia="Times New Roman" w:hAnsi="Times New Roman" w:cs="Times New Roman"/>
          <w:lang w:val="en-US"/>
        </w:rPr>
        <w:fldChar w:fldCharType="begin"/>
      </w:r>
      <w:r w:rsidR="005116CC">
        <w:rPr>
          <w:rFonts w:ascii="Times New Roman" w:eastAsia="Times New Roman" w:hAnsi="Times New Roman" w:cs="Times New Roman"/>
          <w:lang w:val="en-US"/>
        </w:rPr>
        <w:instrText xml:space="preserve"> ADDIN ZOTERO_ITEM CSL_CITATION {"citationID":"Ro2MZs30","properties":{"unsorted":false,"formattedCitation":"[9]","plainCitation":"[9]","noteIndex":0},"citationItems":[{"id":171,"uris":["http://zotero.org/groups/6437514/items/9YPPI3Z3"],"itemData":{"id":171,"type":"article-journal","container-title":"Diabetologia","DOI":"10.1007/s00125-022-05815-1","ISSN":"0012-186X, 1432-0428","issue":"1","journalAbbreviation":"Diabetologia","language":"en","page":"23-32","source":"DOI.org (Crossref)","title":"Ketones: the double-edged sword of SGLT2 inhibitors?","title-short":"Ketones","volume":"66","author":[{"family":"Lupsa","given":"Beatrice C."},{"family":"Kibbey","given":"Richard G."},{"family":"Inzucchi","given":"Silvio E."}],"issued":{"date-parts":[["2023",1]]}}}],"schema":"https://github.com/citation-style-language/schema/raw/master/csl-citation.json"} </w:instrText>
      </w:r>
      <w:r w:rsidR="005116CC">
        <w:rPr>
          <w:rFonts w:ascii="Times New Roman" w:eastAsia="Times New Roman" w:hAnsi="Times New Roman" w:cs="Times New Roman"/>
          <w:lang w:val="en-US"/>
        </w:rPr>
        <w:fldChar w:fldCharType="separate"/>
      </w:r>
      <w:r w:rsidR="005116CC" w:rsidRPr="005116CC">
        <w:rPr>
          <w:rFonts w:ascii="Times New Roman" w:hAnsi="Times New Roman" w:cs="Times New Roman"/>
          <w:lang w:val="en-US"/>
        </w:rPr>
        <w:t>[9]</w:t>
      </w:r>
      <w:r w:rsidR="005116CC">
        <w:rPr>
          <w:rFonts w:ascii="Times New Roman" w:eastAsia="Times New Roman" w:hAnsi="Times New Roman" w:cs="Times New Roman"/>
          <w:lang w:val="en-US"/>
        </w:rPr>
        <w:fldChar w:fldCharType="end"/>
      </w:r>
      <w:r w:rsidRPr="00D1006E">
        <w:rPr>
          <w:rFonts w:ascii="Times New Roman" w:eastAsia="Times New Roman" w:hAnsi="Times New Roman" w:cs="Times New Roman"/>
          <w:lang w:val="en-US"/>
        </w:rPr>
        <w:t>. Additionally,</w:t>
      </w:r>
      <w:r w:rsidR="005F7578" w:rsidRPr="005F7578">
        <w:t xml:space="preserve"> </w:t>
      </w:r>
      <w:r w:rsidR="005F7578" w:rsidRPr="005F7578">
        <w:rPr>
          <w:rFonts w:ascii="Times New Roman" w:eastAsia="Times New Roman" w:hAnsi="Times New Roman" w:cs="Times New Roman"/>
        </w:rPr>
        <w:t xml:space="preserve">SGLT2 </w:t>
      </w:r>
      <w:r w:rsidR="005F7578">
        <w:rPr>
          <w:rFonts w:ascii="Times New Roman" w:eastAsia="Times New Roman" w:hAnsi="Times New Roman" w:cs="Times New Roman"/>
        </w:rPr>
        <w:t>inhibitors are</w:t>
      </w:r>
      <w:r w:rsidR="005F7578" w:rsidRPr="005F7578">
        <w:rPr>
          <w:rFonts w:ascii="Times New Roman" w:eastAsia="Times New Roman" w:hAnsi="Times New Roman" w:cs="Times New Roman"/>
        </w:rPr>
        <w:t xml:space="preserve"> associated with reductions in systemic and microvascular oxidative stress and improvements in endothelial function through </w:t>
      </w:r>
      <w:proofErr w:type="spellStart"/>
      <w:r w:rsidR="005F7578" w:rsidRPr="005F7578">
        <w:rPr>
          <w:rFonts w:ascii="Times New Roman" w:eastAsia="Times New Roman" w:hAnsi="Times New Roman" w:cs="Times New Roman"/>
        </w:rPr>
        <w:t>haemodynamic</w:t>
      </w:r>
      <w:proofErr w:type="spellEnd"/>
      <w:r w:rsidR="005F7578" w:rsidRPr="005F7578">
        <w:rPr>
          <w:rFonts w:ascii="Times New Roman" w:eastAsia="Times New Roman" w:hAnsi="Times New Roman" w:cs="Times New Roman"/>
        </w:rPr>
        <w:t xml:space="preserve"> effects, which may translate to improvements in </w:t>
      </w:r>
      <w:proofErr w:type="spellStart"/>
      <w:r w:rsidR="005F7578" w:rsidRPr="005F7578">
        <w:rPr>
          <w:rFonts w:ascii="Times New Roman" w:eastAsia="Times New Roman" w:hAnsi="Times New Roman" w:cs="Times New Roman"/>
        </w:rPr>
        <w:t>endoneurial</w:t>
      </w:r>
      <w:proofErr w:type="spellEnd"/>
      <w:r w:rsidR="005F7578" w:rsidRPr="005F7578">
        <w:rPr>
          <w:rFonts w:ascii="Times New Roman" w:eastAsia="Times New Roman" w:hAnsi="Times New Roman" w:cs="Times New Roman"/>
        </w:rPr>
        <w:t xml:space="preserve"> perfusion given that </w:t>
      </w:r>
      <w:proofErr w:type="spellStart"/>
      <w:r w:rsidR="005F7578" w:rsidRPr="005F7578">
        <w:rPr>
          <w:rFonts w:ascii="Times New Roman" w:eastAsia="Times New Roman" w:hAnsi="Times New Roman" w:cs="Times New Roman"/>
        </w:rPr>
        <w:t>endoneurial</w:t>
      </w:r>
      <w:proofErr w:type="spellEnd"/>
      <w:r w:rsidR="005F7578" w:rsidRPr="005F7578">
        <w:rPr>
          <w:rFonts w:ascii="Times New Roman" w:eastAsia="Times New Roman" w:hAnsi="Times New Roman" w:cs="Times New Roman"/>
        </w:rPr>
        <w:t xml:space="preserve"> hypoxia and reduced nerve blood flow are established contributors to conduction slowing in diabetic neuropathy</w:t>
      </w:r>
      <w:r w:rsidR="005F7578">
        <w:rPr>
          <w:rFonts w:ascii="Times New Roman" w:eastAsia="Times New Roman" w:hAnsi="Times New Roman" w:cs="Times New Roman"/>
        </w:rPr>
        <w:t xml:space="preserve"> </w:t>
      </w:r>
      <w:r w:rsidR="00215EC9">
        <w:rPr>
          <w:rFonts w:ascii="Times New Roman" w:eastAsia="Times New Roman" w:hAnsi="Times New Roman" w:cs="Times New Roman"/>
        </w:rPr>
        <w:fldChar w:fldCharType="begin"/>
      </w:r>
      <w:r w:rsidR="00EE5ADB">
        <w:rPr>
          <w:rFonts w:ascii="Times New Roman" w:eastAsia="Times New Roman" w:hAnsi="Times New Roman" w:cs="Times New Roman"/>
        </w:rPr>
        <w:instrText xml:space="preserve"> ADDIN ZOTERO_ITEM CSL_CITATION {"citationID":"JMUtTf84","properties":{"unsorted":false,"formattedCitation":"[29, 30]","plainCitation":"[29, 30]","noteIndex":0},"citationItems":[{"id":184,"uris":["http://zotero.org/groups/6437514/items/CZY4DEUR"],"itemData":{"id":184,"type":"article-journal","abstract":"Background:\n              Frailty is a multidimensional condition often diagnosed in older adults with hypertension and diabetes, and both these conditions are associated with endothelial dysfunction and oxidative stress. We investigated the functional role of the SGLT2 (sodium glucose cotransporter 2) inhibitor empagliflozin in frail diabetic and hypertensive older adults.\n            \n            \n              Methods:\n              \n                We studied the effects of empagliflozin in consecutive hypertensive and diabetic older patients with frailty presenting at the ASL (local health unit of the Italian Ministry of Health) of Avellino, Italy, from March 2021 to January 2022. Moreover, we performed in vitro experiments in human endothelial cells to measure cell viability, permeability, mitochondrial Ca\n                2+\n                , and oxidative stress.\n              \n            \n            \n              Results:\n              \n                We evaluated 407 patients; 325 frail elders with diabetes successfully completed the study. We propensity-score matched 75 patients treated with empagliflozin and 75 with no empagliflozin. We observed a correlation between glycemia and Montreal Cognitive Assessment (MoCA) score and between glycemia and 5-meter gait speed (5mGS). At 3-month follow-up, we detected a significant improvement in the MoCA score and in the 5mGS in patients receiving empagliflozin compared with non-treated subjects. Mechanistically, we demonstrate that empagliflozin significantly reduces mitochondrial Ca\n                2+\n                overload and reactive oxygen species production triggered by high glucose in human endothelial cells, attenuates cellular permeability, and improves cell viability in response to oxidative stress.\n              \n            \n            \n              Conclusions:\n              Taken together, our data indicate that empagliflozin reduces frailty in diabetic and hypertensive patients, most likely by decreasing the mitochondrial generation of reactive oxygen species in endothelial cells.","container-title":"Hypertension","DOI":"10.1161/HYPERTENSIONAHA.122.19586","ISSN":"0194-911X, 1524-4563","issue":"8","journalAbbreviation":"Hypertension","language":"en","page":"1633-1643","source":"DOI.org (Crossref)","title":"SGLT2 Inhibition via Empagliflozin Improves Endothelial Function and Reduces Mitochondrial Oxidative Stress: Insights From Frail Hypertensive and Diabetic Patients","title-short":"SGLT2 Inhibition via Empagliflozin Improves Endothelial Function and Reduces Mitochondrial Oxidative Stress","volume":"79","author":[{"family":"Mone","given":"Pasquale"},{"family":"Varzideh","given":"Fahimeh"},{"family":"Jankauskas","given":"Stanislovas S."},{"family":"Pansini","given":"Antonella"},{"family":"Lombardi","given":"Angela"},{"family":"Frullone","given":"Salvatore"},{"family":"Santulli","given":"Gaetano"}],"issued":{"date-parts":[["2022",8]]}}},{"id":185,"uris":["http://zotero.org/groups/6437514/items/FQFBWUB9"],"itemData":{"id":185,"type":"chapter","container-title":"Handbook of Clinical Neurology","DOI":"10.1016/B978-0-444-53480-4.00023-0","ISBN":"978-0-444-53480-4","language":"en","license":"https://www.elsevier.com/tdm/userlicense/1.0/","page":"469-487","publisher":"Elsevier","source":"DOI.org (Crossref)","title":"Ischemia and diabetic neuropathy","URL":"https://linkinghub.elsevier.com/retrieve/pii/B9780444534804000230","volume":"126","accessed":{"date-parts":[["2026",5,27]]},"issued":{"date-parts":[["2014"]]}}}],"schema":"https://github.com/citation-style-language/schema/raw/master/csl-citation.json"} </w:instrText>
      </w:r>
      <w:r w:rsidR="00215EC9">
        <w:rPr>
          <w:rFonts w:ascii="Times New Roman" w:eastAsia="Times New Roman" w:hAnsi="Times New Roman" w:cs="Times New Roman"/>
        </w:rPr>
        <w:fldChar w:fldCharType="separate"/>
      </w:r>
      <w:r w:rsidR="00EE5ADB" w:rsidRPr="00EE5ADB">
        <w:rPr>
          <w:rFonts w:ascii="Times New Roman" w:hAnsi="Times New Roman" w:cs="Times New Roman"/>
        </w:rPr>
        <w:t>[29, 30]</w:t>
      </w:r>
      <w:r w:rsidR="00215EC9">
        <w:rPr>
          <w:rFonts w:ascii="Times New Roman" w:eastAsia="Times New Roman" w:hAnsi="Times New Roman" w:cs="Times New Roman"/>
        </w:rPr>
        <w:fldChar w:fldCharType="end"/>
      </w:r>
      <w:r w:rsidRPr="00D1006E">
        <w:rPr>
          <w:rFonts w:ascii="Times New Roman" w:eastAsia="Times New Roman" w:hAnsi="Times New Roman" w:cs="Times New Roman"/>
          <w:lang w:val="en-US"/>
        </w:rPr>
        <w:t xml:space="preserve">. Activation of AMP-activated protein kinase (AMPK) </w:t>
      </w:r>
      <w:r w:rsidR="00156AEC">
        <w:rPr>
          <w:rFonts w:ascii="Times New Roman" w:eastAsia="Times New Roman" w:hAnsi="Times New Roman" w:cs="Times New Roman"/>
          <w:lang w:val="en-US"/>
        </w:rPr>
        <w:t xml:space="preserve">by SGLT2 inhibitors </w:t>
      </w:r>
      <w:r w:rsidRPr="00D1006E">
        <w:rPr>
          <w:rFonts w:ascii="Times New Roman" w:eastAsia="Times New Roman" w:hAnsi="Times New Roman" w:cs="Times New Roman"/>
          <w:lang w:val="en-US"/>
        </w:rPr>
        <w:t>may further confer neuroprotection through mitochondrial biogenesis and suppression of inflammatory pathways</w:t>
      </w:r>
      <w:r w:rsidR="005F7578">
        <w:rPr>
          <w:rFonts w:ascii="Times New Roman" w:eastAsia="Times New Roman" w:hAnsi="Times New Roman" w:cs="Times New Roman"/>
          <w:lang w:val="en-US"/>
        </w:rPr>
        <w:t xml:space="preserve"> </w:t>
      </w:r>
      <w:r w:rsidR="005F7578">
        <w:rPr>
          <w:rFonts w:ascii="Times New Roman" w:eastAsia="Times New Roman" w:hAnsi="Times New Roman" w:cs="Times New Roman"/>
          <w:lang w:val="en-US"/>
        </w:rPr>
        <w:fldChar w:fldCharType="begin"/>
      </w:r>
      <w:r w:rsidR="005F7578">
        <w:rPr>
          <w:rFonts w:ascii="Times New Roman" w:eastAsia="Times New Roman" w:hAnsi="Times New Roman" w:cs="Times New Roman"/>
          <w:lang w:val="en-US"/>
        </w:rPr>
        <w:instrText xml:space="preserve"> ADDIN ZOTERO_ITEM CSL_CITATION {"citationID":"lh3YVkhc","properties":{"unsorted":false,"formattedCitation":"[10]","plainCitation":"[10]","noteIndex":0},"citationItems":[{"id":170,"uris":["http://zotero.org/groups/6437514/items/M8JFKC3W"],"itemData":{"id":170,"type":"article-journal","container-title":"Journal of Diabetes &amp; Metabolic Disorders","DOI":"10.1007/s40200-025-01824-0","ISSN":"2251-6581","issue":"1","journalAbbreviation":"J Diabetes Metab Disord","language":"en","page":"114","source":"DOI.org (Crossref)","title":"SGLT2 inhibitors and AMPK crosstalk in diabetes mellitus: mechanistic insights and therapeutic applications","title-short":"SGLT2 inhibitors and AMPK crosstalk in diabetes mellitus","volume":"25","author":[{"family":"Hushmandi","given":"Kiavash"},{"family":"Salarizadeh","given":"Navvabeh"},{"family":"Einollahi","given":"Behzad"},{"family":"Izadi","given":"Morteza"},{"family":"Doosti","given":"Pardis"},{"family":"Behzadnia","given":"Mohammad Javad"},{"family":"Cho","given":"William C."},{"family":"Yousefi","given":"Tooba"},{"family":"Khoshnazar","given":"Seyedeh Mahdieh"},{"family":"Alimohammadi","given":"Mina"},{"family":"Farahani","given":"Najma"}],"issued":{"date-parts":[["2026",3,12]]}}}],"schema":"https://github.com/citation-style-language/schema/raw/master/csl-citation.json"} </w:instrText>
      </w:r>
      <w:r w:rsidR="005F7578">
        <w:rPr>
          <w:rFonts w:ascii="Times New Roman" w:eastAsia="Times New Roman" w:hAnsi="Times New Roman" w:cs="Times New Roman"/>
          <w:lang w:val="en-US"/>
        </w:rPr>
        <w:fldChar w:fldCharType="separate"/>
      </w:r>
      <w:r w:rsidR="005F7578" w:rsidRPr="005F7578">
        <w:rPr>
          <w:rFonts w:ascii="Times New Roman" w:hAnsi="Times New Roman" w:cs="Times New Roman"/>
          <w:lang w:val="en-US"/>
        </w:rPr>
        <w:t>[10]</w:t>
      </w:r>
      <w:r w:rsidR="005F7578">
        <w:rPr>
          <w:rFonts w:ascii="Times New Roman" w:eastAsia="Times New Roman" w:hAnsi="Times New Roman" w:cs="Times New Roman"/>
          <w:lang w:val="en-US"/>
        </w:rPr>
        <w:fldChar w:fldCharType="end"/>
      </w:r>
      <w:r w:rsidRPr="00D1006E">
        <w:rPr>
          <w:rFonts w:ascii="Times New Roman" w:eastAsia="Times New Roman" w:hAnsi="Times New Roman" w:cs="Times New Roman"/>
          <w:lang w:val="en-US"/>
        </w:rPr>
        <w:t xml:space="preserve">. Whether these improvements reflect true axonal regeneration, remyelination, or improved conduction in surviving </w:t>
      </w:r>
      <w:proofErr w:type="spellStart"/>
      <w:r w:rsidRPr="00D1006E">
        <w:rPr>
          <w:rFonts w:ascii="Times New Roman" w:eastAsia="Times New Roman" w:hAnsi="Times New Roman" w:cs="Times New Roman"/>
          <w:lang w:val="en-US"/>
        </w:rPr>
        <w:t>fibres</w:t>
      </w:r>
      <w:proofErr w:type="spellEnd"/>
      <w:r w:rsidRPr="00D1006E">
        <w:rPr>
          <w:rFonts w:ascii="Times New Roman" w:eastAsia="Times New Roman" w:hAnsi="Times New Roman" w:cs="Times New Roman"/>
          <w:lang w:val="en-US"/>
        </w:rPr>
        <w:t xml:space="preserve"> cannot be determined from conduction velocity data alone.</w:t>
      </w:r>
    </w:p>
    <w:p w14:paraId="04090278" w14:textId="7C39A5EA" w:rsidR="00D1006E" w:rsidRPr="00D1006E" w:rsidRDefault="00D1006E" w:rsidP="00D1006E">
      <w:pPr>
        <w:spacing w:before="100" w:beforeAutospacing="1" w:after="100" w:afterAutospacing="1" w:line="360" w:lineRule="auto"/>
        <w:jc w:val="both"/>
        <w:outlineLvl w:val="3"/>
        <w:rPr>
          <w:rFonts w:ascii="Times New Roman" w:eastAsia="Times New Roman" w:hAnsi="Times New Roman" w:cs="Times New Roman"/>
          <w:b/>
          <w:bCs/>
          <w:lang w:val="en-US"/>
        </w:rPr>
      </w:pPr>
      <w:r w:rsidRPr="00D1006E">
        <w:rPr>
          <w:rFonts w:ascii="Times New Roman" w:eastAsia="Times New Roman" w:hAnsi="Times New Roman" w:cs="Times New Roman"/>
          <w:b/>
          <w:bCs/>
          <w:lang w:val="en-US"/>
        </w:rPr>
        <w:t>4.3 Sural Nerve Amplitude</w:t>
      </w:r>
    </w:p>
    <w:p w14:paraId="5C93EEC7" w14:textId="66E74826" w:rsidR="00D1006E" w:rsidRPr="00D1006E" w:rsidRDefault="00D1006E" w:rsidP="00EE5ADB">
      <w:pPr>
        <w:spacing w:before="100" w:beforeAutospacing="1" w:after="100" w:afterAutospacing="1" w:line="360" w:lineRule="auto"/>
        <w:jc w:val="both"/>
        <w:outlineLvl w:val="3"/>
        <w:rPr>
          <w:rFonts w:ascii="Times New Roman" w:eastAsia="Times New Roman" w:hAnsi="Times New Roman" w:cs="Times New Roman"/>
          <w:lang w:val="en-US"/>
        </w:rPr>
      </w:pPr>
      <w:r w:rsidRPr="00D1006E">
        <w:rPr>
          <w:rFonts w:ascii="Times New Roman" w:eastAsia="Times New Roman" w:hAnsi="Times New Roman" w:cs="Times New Roman"/>
          <w:lang w:val="en-US"/>
        </w:rPr>
        <w:t xml:space="preserve">The sural nerve amplitude result warrants particular attention. The primary pooled analysis incorporating both RCTs and </w:t>
      </w:r>
      <w:r w:rsidR="000908A3">
        <w:rPr>
          <w:rFonts w:ascii="Times New Roman" w:eastAsia="Times New Roman" w:hAnsi="Times New Roman" w:cs="Times New Roman"/>
          <w:lang w:val="en-US"/>
        </w:rPr>
        <w:t>the prospective cohort by Ishibashi et al.</w:t>
      </w:r>
      <w:r w:rsidR="002709AC">
        <w:rPr>
          <w:rFonts w:ascii="Times New Roman" w:eastAsia="Times New Roman" w:hAnsi="Times New Roman" w:cs="Times New Roman"/>
          <w:lang w:val="en-US"/>
        </w:rPr>
        <w:t xml:space="preserve"> </w:t>
      </w:r>
      <w:r w:rsidR="002709AC">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{"citationID":"k0WG6G8v","properties":{"unsorted":false,"formattedCitation":"[26]","plainCitation":"[26]","noteIndex":0},"citationItems":[{"id":108,"uris":["http://zotero.org/groups/6437514/items/MHNR4PT3"],"itemData":{"id":108,"type":"article-journal","abstract":"Aims\n              \n                This three-year follow-up study aimed to elucidate whether sodium-glucose cotransporter-2 inhibitors (SGLT2is) have any protection against diabetic neuropathy and nephropathy in patients with type 2 diabetes\n                via\n                reducing variability in glycemia and extraglycemic factors or their averages.\n              \n            \n            \n              Methods\n              Two type 2 diabetic cohorts of 40 and 73 patients treated with or without SGLT2i along with 60 control subjects were recruited. Two diabetic cohorts matched for HbA1c levels and oral hypoglycemic agents other than SGLT2is underwent glycemic control with or without SGLT2is more than two years. The urinary albumin to creatinine ratio (ACR), estimated glomerular filtration rate (eGFR) every 3 months and neuropathy outcome measures and mean Z-score of 8 neurophysiological tests were determined at the baseline and endpoint. Glycemic variability, evaluated by the coefficient of variation of monthly measured HbA1c levels and casual postprandial plasma glucose (CPPG), and coefficient of variation and average of extraglycemic parameters in diabetic cohorts were determined.\n            \n            \n              Results\n              The glycemic variability and variability of some extraglycemic factors in SGLT2i cohort were smaller than those in non-SGLT2i cohort. However, only smaller coefficient of variation of HbA1c improved some neuropathy outcome measures, and ameliorated eGFR decline. SGLT2i improved the Z-score of neurophysiological tests. The optimized changes in the blood pressure, HDL-cholesterol and uric acid by SGLT2i led to neurological and renal protection. SGLT2i decreased the prevalence of nephropathy significantly and the prevalence of neuropathy insignificantly.\n            \n            \n              Conclusion\n              Over 3 years period, SGLT2i significantly improved some neuropathy outcome measures, mean Z-score of 8 neurophysiological tests, and attenuated nephropathy in modestly controlled type 2 diabetes by reducing glycemic variability and mean nonglycemic factors of diabetic microvascular complication.","container-title":"Frontiers in Endocrinology","DOI":"10.3389/fendo.2022.864332","ISSN":"1664-2392","journalAbbreviation":"Front. Endocrinol.","page":"864332","source":"DOI.org (Crossref)","title":"Sodium Glucose Cotransporter-2 Inhibitor Protects Against Diabetic Neuropathy and Nephropathy in Modestly Controlled Type 2 Diabetes: Follow-Up Study","title-short":"Sodium Glucose Cotransporter-2 Inhibitor Protects Against Diabetic Neuropathy and Nephropathy in Modestly Controlled Type 2 Diabetes","volume":"13","author":[{"family":"Ishibashi","given":"Fukashi"},{"family":"Kosaka","given":"Aiko"},{"family":"Tavakoli","given":"Mitra"}],"issued":{"date-parts":[["2022",6,17]]}}}],"schema":"https://github.com/citation-style-language/schema/raw/master/csl-citation.json"} </w:instrText>
      </w:r>
      <w:r w:rsidR="002709AC">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[26]</w:t>
      </w:r>
      <w:r w:rsidR="002709AC">
        <w:rPr>
          <w:rFonts w:ascii="Times New Roman" w:eastAsia="Times New Roman" w:hAnsi="Times New Roman" w:cs="Times New Roman"/>
          <w:lang w:val="en-US"/>
        </w:rPr>
        <w:fldChar w:fldCharType="end"/>
      </w:r>
      <w:r w:rsidR="000908A3">
        <w:rPr>
          <w:rFonts w:ascii="Times New Roman" w:eastAsia="Times New Roman" w:hAnsi="Times New Roman" w:cs="Times New Roman"/>
          <w:lang w:val="en-US"/>
        </w:rPr>
        <w:t xml:space="preserve">, </w:t>
      </w:r>
      <w:r w:rsidRPr="00D1006E">
        <w:rPr>
          <w:rFonts w:ascii="Times New Roman" w:eastAsia="Times New Roman" w:hAnsi="Times New Roman" w:cs="Times New Roman"/>
          <w:lang w:val="en-US"/>
        </w:rPr>
        <w:t xml:space="preserve">achieved statistical significance (MD 1.41 µV; 95% CI 0.10 to 2.73; p = 0.03), accompanied by moderate statistical heterogeneity (I² = 62%). However, the pre-specified sensitivity analysis restricted to RCTs only rendered the pooled effect non-significant (MD 1.15 µV; 95% CI −0.85 to 3.15; p = 0.26), indicating that the significant primary result was driven by the contribution of </w:t>
      </w:r>
      <w:r w:rsidR="000908A3">
        <w:rPr>
          <w:rFonts w:ascii="Times New Roman" w:eastAsia="Times New Roman" w:hAnsi="Times New Roman" w:cs="Times New Roman"/>
          <w:lang w:val="en-US"/>
        </w:rPr>
        <w:t xml:space="preserve">the cohort study, </w:t>
      </w:r>
      <w:r w:rsidRPr="00D1006E">
        <w:rPr>
          <w:rFonts w:ascii="Times New Roman" w:eastAsia="Times New Roman" w:hAnsi="Times New Roman" w:cs="Times New Roman"/>
          <w:lang w:val="en-US"/>
        </w:rPr>
        <w:t xml:space="preserve">rather than the </w:t>
      </w:r>
      <w:proofErr w:type="spellStart"/>
      <w:r w:rsidRPr="00D1006E">
        <w:rPr>
          <w:rFonts w:ascii="Times New Roman" w:eastAsia="Times New Roman" w:hAnsi="Times New Roman" w:cs="Times New Roman"/>
          <w:lang w:val="en-US"/>
        </w:rPr>
        <w:t>randomised</w:t>
      </w:r>
      <w:proofErr w:type="spellEnd"/>
      <w:r w:rsidRPr="00D1006E">
        <w:rPr>
          <w:rFonts w:ascii="Times New Roman" w:eastAsia="Times New Roman" w:hAnsi="Times New Roman" w:cs="Times New Roman"/>
          <w:lang w:val="en-US"/>
        </w:rPr>
        <w:t xml:space="preserve"> controlled trial evidence. Amplitude in nerve conduction studies reflects the number of </w:t>
      </w:r>
      <w:r w:rsidR="000908A3">
        <w:rPr>
          <w:rFonts w:ascii="Times New Roman" w:eastAsia="Times New Roman" w:hAnsi="Times New Roman" w:cs="Times New Roman"/>
          <w:lang w:val="en-US"/>
        </w:rPr>
        <w:t>working</w:t>
      </w:r>
      <w:r w:rsidRPr="00D1006E">
        <w:rPr>
          <w:rFonts w:ascii="Times New Roman" w:eastAsia="Times New Roman" w:hAnsi="Times New Roman" w:cs="Times New Roman"/>
          <w:lang w:val="en-US"/>
        </w:rPr>
        <w:t xml:space="preserve"> axons </w:t>
      </w:r>
      <w:r w:rsidR="000908A3">
        <w:rPr>
          <w:rFonts w:ascii="Times New Roman" w:eastAsia="Times New Roman" w:hAnsi="Times New Roman" w:cs="Times New Roman"/>
          <w:lang w:val="en-US"/>
        </w:rPr>
        <w:t>playing a role in</w:t>
      </w:r>
      <w:r w:rsidRPr="00D1006E">
        <w:rPr>
          <w:rFonts w:ascii="Times New Roman" w:eastAsia="Times New Roman" w:hAnsi="Times New Roman" w:cs="Times New Roman"/>
          <w:lang w:val="en-US"/>
        </w:rPr>
        <w:t xml:space="preserve"> the response</w:t>
      </w:r>
      <w:r w:rsidR="000908A3">
        <w:rPr>
          <w:rFonts w:ascii="Times New Roman" w:eastAsia="Times New Roman" w:hAnsi="Times New Roman" w:cs="Times New Roman"/>
          <w:lang w:val="en-US"/>
        </w:rPr>
        <w:t xml:space="preserve">, </w:t>
      </w:r>
      <w:r w:rsidRPr="00D1006E">
        <w:rPr>
          <w:rFonts w:ascii="Times New Roman" w:eastAsia="Times New Roman" w:hAnsi="Times New Roman" w:cs="Times New Roman"/>
          <w:lang w:val="en-US"/>
        </w:rPr>
        <w:t xml:space="preserve">a decline in amplitude therefore indicates axonal loss, while improvement suggests either axonal regeneration or preservation of </w:t>
      </w:r>
      <w:proofErr w:type="spellStart"/>
      <w:r w:rsidRPr="00D1006E">
        <w:rPr>
          <w:rFonts w:ascii="Times New Roman" w:eastAsia="Times New Roman" w:hAnsi="Times New Roman" w:cs="Times New Roman"/>
          <w:lang w:val="en-US"/>
        </w:rPr>
        <w:t>fibres</w:t>
      </w:r>
      <w:proofErr w:type="spellEnd"/>
      <w:r w:rsidRPr="00D1006E">
        <w:rPr>
          <w:rFonts w:ascii="Times New Roman" w:eastAsia="Times New Roman" w:hAnsi="Times New Roman" w:cs="Times New Roman"/>
          <w:lang w:val="en-US"/>
        </w:rPr>
        <w:t xml:space="preserve"> at risk</w:t>
      </w:r>
      <w:r w:rsidR="000908A3">
        <w:rPr>
          <w:rFonts w:ascii="Times New Roman" w:eastAsia="Times New Roman" w:hAnsi="Times New Roman" w:cs="Times New Roman"/>
          <w:lang w:val="en-US"/>
        </w:rPr>
        <w:t xml:space="preserve"> </w:t>
      </w:r>
      <w:r w:rsidR="00584267">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{"citationID":"tJknXeMV","properties":{"unsorted":false,"formattedCitation":"[31]","plainCitation":"[31]","noteIndex":0},"citationItems":[{"id":179,"uris":["http://zotero.org/groups/6437514/items/LL8TYUMV"],"itemData":{"id":179,"type":"article-journal","abstract":"Outpatient electrodiagnostic studies and intraoperative monitoring are essential tools for the surgical management of nerve injury. Decisions are based on the diagnostic certainty afforded by outpatient electrodiagnostic studies, which are more sensitive and specific than clinical examinations regarding the nature and localization of a nerve lesion. Intraoperative neurophysiologic monitoring detects changes in neurologic function during surgery. It provides significantly better information than visual inspection of the operative field, minimizing postoperative neurologic deficits due to surgical manipulation (e.g., stretching, compression, heating from electrocauterization, constriction, or clamping of local blood vessels). These techniques exploit similar neurophysiologic principles to afford enhanced diagnostic and real-time functional data during surgery. However, an understanding of their limitations is critical for the interpretation of these data. This review discusses these techniques, including their use, advantages, and disadvantages in diagnosing and managing three essential nerve lesions amenable to surgical management-radiculopathy, mononeuropathy, and brachial plexopathy.","container-title":"Plastic and Aesthetic Research","DOI":"10.20517/2347-9264.2022.38","ISSN":"23479264, 23496150","issue":"1","journalAbbreviation":"Plast Aesthet Res","page":"2","source":"DOI.org (Crossref)","title":"Pre-operative electrodiagnostic studies and intraoperative neurophysiologic monitoring: power and pitfalls","title-short":"Pre-operative electrodiagnostic studies and intraoperative neurophysiologic monitoring","volume":"10","author":[{"family":"Kobylarz","given":"Erik J."},{"family":"Randhawa","given":"Jason"},{"family":"Mason","given":"Stephen"},{"family":"Lawson","given":"Victoria H."}],"issued":{"date-parts":[["2023"]]}}}],"schema":"https://github.com/citation-style-language/schema/raw/master/csl-citation.json"} </w:instrText>
      </w:r>
      <w:r w:rsidR="00584267">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[31]</w:t>
      </w:r>
      <w:r w:rsidR="00584267">
        <w:rPr>
          <w:rFonts w:ascii="Times New Roman" w:eastAsia="Times New Roman" w:hAnsi="Times New Roman" w:cs="Times New Roman"/>
          <w:lang w:val="en-US"/>
        </w:rPr>
        <w:fldChar w:fldCharType="end"/>
      </w:r>
      <w:r w:rsidRPr="00D1006E">
        <w:rPr>
          <w:rFonts w:ascii="Times New Roman" w:eastAsia="Times New Roman" w:hAnsi="Times New Roman" w:cs="Times New Roman"/>
          <w:lang w:val="en-US"/>
        </w:rPr>
        <w:t xml:space="preserve">. The sensitivity </w:t>
      </w:r>
      <w:r w:rsidR="00584267" w:rsidRPr="00D1006E">
        <w:rPr>
          <w:rFonts w:ascii="Times New Roman" w:eastAsia="Times New Roman" w:hAnsi="Times New Roman" w:cs="Times New Roman"/>
          <w:lang w:val="en-US"/>
        </w:rPr>
        <w:t>analysis</w:t>
      </w:r>
      <w:r w:rsidRPr="00D1006E">
        <w:rPr>
          <w:rFonts w:ascii="Times New Roman" w:eastAsia="Times New Roman" w:hAnsi="Times New Roman" w:cs="Times New Roman"/>
          <w:lang w:val="en-US"/>
        </w:rPr>
        <w:t xml:space="preserve"> substantially limits the confidence that can be placed in the primary amplitude result, as the loss of significance upon restriction to RCT data implies that the observational cohort is the primary driver of the pooled effect. It is possible that the longer follow-up of Ishibashi </w:t>
      </w:r>
      <w:r w:rsidR="008E2507">
        <w:rPr>
          <w:rFonts w:ascii="Times New Roman" w:eastAsia="Times New Roman" w:hAnsi="Times New Roman" w:cs="Times New Roman"/>
          <w:lang w:val="en-US"/>
        </w:rPr>
        <w:t>et al.</w:t>
      </w:r>
      <w:r w:rsidR="00C62664">
        <w:rPr>
          <w:rFonts w:ascii="Times New Roman" w:eastAsia="Times New Roman" w:hAnsi="Times New Roman" w:cs="Times New Roman"/>
          <w:lang w:val="en-US"/>
        </w:rPr>
        <w:t xml:space="preserve"> </w:t>
      </w:r>
      <w:r w:rsidR="00C62664">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{"citationID":"SLEXYg20","properties":{"unsorted":false,"formattedCitation":"[26]","plainCitation":"[26]","noteIndex":0},"citationItems":[{"id":108,"uris":["http://zotero.org/groups/6437514/items/MHNR4PT3"],"itemData":{"id":108,"type":"article-journal","abstract":"Aims\n              \n                This three-year follow-up study aimed to elucidate whether sodium-glucose cotransporter-2 inhibitors (SGLT2is) have any protection against diabetic neuropathy and nephropathy in patients with type 2 diabetes\n                via\n                reducing variability in glycemia and extraglycemic factors or their averages.\n              \n            \n            \n              Methods\n              Two type 2 diabetic cohorts of 40 and 73 patients treated with or without SGLT2i along with 60 control subjects were recruited. Two diabetic cohorts matched for HbA1c levels and oral hypoglycemic agents other than SGLT2is underwent glycemic control with or without SGLT2is more than two years. The urinary albumin to creatinine ratio (ACR), estimated glomerular filtration rate (eGFR) every 3 months and neuropathy outcome measures and mean Z-score of 8 neurophysiological tests were determined at the baseline and endpoint. Glycemic variability, evaluated by the coefficient of variation of monthly measured HbA1c levels and casual postprandial plasma glucose (CPPG), and coefficient of variation and average of extraglycemic parameters in diabetic cohorts were determined.\n            \n            \n              Results\n              The glycemic variability and variability of some extraglycemic factors in SGLT2i cohort were smaller than those in non-SGLT2i cohort. However, only smaller coefficient of variation of HbA1c improved some neuropathy outcome measures, and ameliorated eGFR decline. SGLT2i improved the Z-score of neurophysiological tests. The optimized changes in the blood pressure, HDL-cholesterol and uric acid by SGLT2i led to neurological and renal protection. SGLT2i decreased the prevalence of nephropathy significantly and the prevalence of neuropathy insignificantly.\n            \n            \n              Conclusion\n              Over 3 years period, SGLT2i significantly improved some neuropathy outcome measures, mean Z-score of 8 neurophysiological tests, and attenuated nephropathy in modestly controlled type 2 diabetes by reducing glycemic variability and mean nonglycemic factors of diabetic microvascular complication.","container-title":"Frontiers in Endocrinology","DOI":"10.3389/fendo.2022.864332","ISSN":"1664-2392","journalAbbreviation":"Front. Endocrinol.","page":"864332","source":"DOI.org (Crossref)","title":"Sodium Glucose Cotransporter-2 Inhibitor Protects Against Diabetic Neuropathy and Nephropathy in Modestly Controlled Type 2 Diabetes: Follow-Up Study","title-short":"Sodium Glucose Cotransporter-2 Inhibitor Protects Against Diabetic Neuropathy and Nephropathy in Modestly Controlled Type 2 Diabetes","volume":"13","author":[{"family":"Ishibashi","given":"Fukashi"},{"family":"Kosaka","given":"Aiko"},{"family":"Tavakoli","given":"Mitra"}],"issued":{"date-parts":[["2022",6,17]]}}}],"schema":"https://github.com/citation-style-language/schema/raw/master/csl-citation.json"} </w:instrText>
      </w:r>
      <w:r w:rsidR="00C62664">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[26]</w:t>
      </w:r>
      <w:r w:rsidR="00C62664">
        <w:rPr>
          <w:rFonts w:ascii="Times New Roman" w:eastAsia="Times New Roman" w:hAnsi="Times New Roman" w:cs="Times New Roman"/>
          <w:lang w:val="en-US"/>
        </w:rPr>
        <w:fldChar w:fldCharType="end"/>
      </w:r>
      <w:r w:rsidRPr="00D1006E">
        <w:rPr>
          <w:rFonts w:ascii="Times New Roman" w:eastAsia="Times New Roman" w:hAnsi="Times New Roman" w:cs="Times New Roman"/>
          <w:lang w:val="en-US"/>
        </w:rPr>
        <w:t xml:space="preserve"> (three years, compared to the considerably shorter duration of the included RCTs) allowed sufficient time for amplitude changes to become detectable, as axonal regeneration proceeds considerably more slowly than remyelination and may require observation periods beyond those used in the current RCTs to manifest as measurable amplitude improvement. Given that the amplitude finding is not sustained within the RCT evidence base, this outcome is considered inconclusive, and future </w:t>
      </w:r>
      <w:proofErr w:type="spellStart"/>
      <w:r w:rsidRPr="00D1006E">
        <w:rPr>
          <w:rFonts w:ascii="Times New Roman" w:eastAsia="Times New Roman" w:hAnsi="Times New Roman" w:cs="Times New Roman"/>
          <w:lang w:val="en-US"/>
        </w:rPr>
        <w:t>randomised</w:t>
      </w:r>
      <w:proofErr w:type="spellEnd"/>
      <w:r w:rsidRPr="00D1006E">
        <w:rPr>
          <w:rFonts w:ascii="Times New Roman" w:eastAsia="Times New Roman" w:hAnsi="Times New Roman" w:cs="Times New Roman"/>
          <w:lang w:val="en-US"/>
        </w:rPr>
        <w:t xml:space="preserve"> controlled trials with follow-up periods of twelve months or greater and amplitude as a pre-specified endpoint are needed to resolve this uncertainty.</w:t>
      </w:r>
    </w:p>
    <w:p w14:paraId="791E9911" w14:textId="684C9242" w:rsidR="009F0A3E" w:rsidRPr="009F0A3E" w:rsidRDefault="009F0A3E" w:rsidP="00C208BC">
      <w:pPr>
        <w:spacing w:before="100" w:beforeAutospacing="1" w:after="100" w:afterAutospacing="1" w:line="360" w:lineRule="auto"/>
        <w:jc w:val="both"/>
        <w:outlineLvl w:val="3"/>
        <w:rPr>
          <w:rFonts w:ascii="Times New Roman" w:eastAsia="Times New Roman" w:hAnsi="Times New Roman" w:cs="Times New Roman"/>
          <w:b/>
          <w:bCs/>
          <w:lang w:val="en-US"/>
        </w:rPr>
      </w:pPr>
      <w:r w:rsidRPr="009F0A3E">
        <w:rPr>
          <w:rFonts w:ascii="Times New Roman" w:eastAsia="Times New Roman" w:hAnsi="Times New Roman" w:cs="Times New Roman"/>
          <w:b/>
          <w:bCs/>
          <w:lang w:val="en-US"/>
        </w:rPr>
        <w:t>4.4 Peroneal Nerve Outcomes</w:t>
      </w:r>
    </w:p>
    <w:p w14:paraId="25E310AC" w14:textId="77777777" w:rsidR="009F0A3E" w:rsidRPr="009F0A3E" w:rsidRDefault="009F0A3E" w:rsidP="00C208BC">
      <w:pPr>
        <w:spacing w:before="100" w:beforeAutospacing="1" w:after="100" w:afterAutospacing="1" w:line="360" w:lineRule="auto"/>
        <w:jc w:val="both"/>
        <w:rPr>
          <w:rFonts w:ascii="Times New Roman" w:eastAsia="Times New Roman" w:hAnsi="Times New Roman" w:cs="Times New Roman"/>
          <w:lang w:val="en-US"/>
        </w:rPr>
      </w:pPr>
      <w:r w:rsidRPr="009F0A3E">
        <w:rPr>
          <w:rFonts w:ascii="Times New Roman" w:eastAsia="Times New Roman" w:hAnsi="Times New Roman" w:cs="Times New Roman"/>
          <w:lang w:val="en-US"/>
        </w:rPr>
        <w:t xml:space="preserve">The significant reduction in peroneal nerve motor latency across two RCTs, in the absence of significant changes in peroneal motor velocity or amplitude, presents an interesting electrophysiological pattern. </w:t>
      </w:r>
      <w:r w:rsidRPr="009F0A3E">
        <w:rPr>
          <w:rFonts w:ascii="Times New Roman" w:eastAsia="Times New Roman" w:hAnsi="Times New Roman" w:cs="Times New Roman"/>
          <w:lang w:val="en-US"/>
        </w:rPr>
        <w:lastRenderedPageBreak/>
        <w:t>Latency reduction is consistent with faster conduction through the nerve segment tested, and its significance in the context of non-significant velocity findings may reflect greater sensitivity of latency measures to early conduction improvement, or methodological differences in how these parameters were derived across studies. The non-significant peroneal velocity and amplitude results should not be interpreted as evidence of no effect; with only two contributing studies and extreme heterogeneity in the amplitude analysis (I² = 90%), these analyses are both underpowered and unreliable as summary statistics. The near-uninterpretable heterogeneity in peroneal amplitude in particular likely reflects fundamental differences between the two studies in terms of patient severity, nerve pathology, or measurement approach that preclude meaningful pooling.</w:t>
      </w:r>
    </w:p>
    <w:p w14:paraId="130354C1" w14:textId="12186F8A" w:rsidR="009F0A3E" w:rsidRPr="009F0A3E" w:rsidRDefault="009F0A3E" w:rsidP="00C208BC">
      <w:pPr>
        <w:spacing w:before="100" w:beforeAutospacing="1" w:after="100" w:afterAutospacing="1" w:line="360" w:lineRule="auto"/>
        <w:jc w:val="both"/>
        <w:outlineLvl w:val="3"/>
        <w:rPr>
          <w:rFonts w:ascii="Times New Roman" w:eastAsia="Times New Roman" w:hAnsi="Times New Roman" w:cs="Times New Roman"/>
          <w:b/>
          <w:bCs/>
          <w:lang w:val="en-US"/>
        </w:rPr>
      </w:pPr>
      <w:r w:rsidRPr="009F0A3E">
        <w:rPr>
          <w:rFonts w:ascii="Times New Roman" w:eastAsia="Times New Roman" w:hAnsi="Times New Roman" w:cs="Times New Roman"/>
          <w:b/>
          <w:bCs/>
          <w:lang w:val="en-US"/>
        </w:rPr>
        <w:t>4.5 Null Findings</w:t>
      </w:r>
    </w:p>
    <w:p w14:paraId="01D7216C" w14:textId="5E9EDA90" w:rsidR="009F0A3E" w:rsidRPr="009F0A3E" w:rsidRDefault="009F0A3E" w:rsidP="00EE5ADB">
      <w:pPr>
        <w:spacing w:before="100" w:beforeAutospacing="1" w:after="100" w:afterAutospacing="1" w:line="360" w:lineRule="auto"/>
        <w:jc w:val="both"/>
        <w:rPr>
          <w:rFonts w:ascii="Times New Roman" w:eastAsia="Times New Roman" w:hAnsi="Times New Roman" w:cs="Times New Roman"/>
          <w:lang w:val="en-US"/>
        </w:rPr>
      </w:pPr>
      <w:r w:rsidRPr="009F0A3E">
        <w:rPr>
          <w:rFonts w:ascii="Times New Roman" w:eastAsia="Times New Roman" w:hAnsi="Times New Roman" w:cs="Times New Roman"/>
          <w:lang w:val="en-US"/>
        </w:rPr>
        <w:t>Not all included studies supported a beneficial effect of SGLT2i therapy on PDN, and these findings deserve equitable discussion. Liao</w:t>
      </w:r>
      <w:r w:rsidR="008435B4">
        <w:rPr>
          <w:rFonts w:ascii="Times New Roman" w:eastAsia="Times New Roman" w:hAnsi="Times New Roman" w:cs="Times New Roman"/>
          <w:lang w:val="en-US"/>
        </w:rPr>
        <w:t xml:space="preserve"> et al.</w:t>
      </w:r>
      <w:r w:rsidR="002709AC">
        <w:rPr>
          <w:rFonts w:ascii="Times New Roman" w:eastAsia="Times New Roman" w:hAnsi="Times New Roman" w:cs="Times New Roman"/>
          <w:lang w:val="en-US"/>
        </w:rPr>
        <w:t xml:space="preserve"> </w:t>
      </w:r>
      <w:r w:rsidR="002709AC">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hmLk2zvV","properties":{"unsorted":false,"formattedCitation":"[23]","plainCitation":"[23]","noteIndex":0},"citationItems":[{"id":"g6iDE82k/ceewgwi1","uris":["http://zotero.org/users/19709799/items/NQ3358CH"],"itemData":{"id":"JbUMJjXw/9bk55yIl","type":"article-journal","container-title":"Diabetes &amp; Metabolism","DOI":"10.1016/j.diabet.2022.101331","ISSN":"12623636","issue":"4","journalAbbreviation":"Diabetes &amp; Metabolism","language":"en","page":"101331","source":"DOI.org (Crossref)","title":"The impact of canagliflozin on the risk of neuropathy events: A post-hoc exploratory analysis of the CREDENCE trial","title-short":"The impact of canagliflozin on the risk of neuropathy events","volume":"48","author":[{"family":"Liao","given":"Jinlan"},{"family":"Kang","given":"Amy"},{"family":"Xia","given":"Chao"},{"family":"Young","given":"Tamara"},{"family":"Di Tanna","given":"Gian Luca"},{"family":"Arnott","given":"Clare"},{"family":"Pollock","given":"Carol"},{"family":"Krishnan","given":"Arun V."},{"family":"Agarwal","given":"Rajiv"},{"family":"Bakris","given":"George"},{"family":"Charytan","given":"David M."},{"family":"De Zeeuw","given":"Dick"},{"family":"Heerspink","given":"Hiddo J.L."},{"family":"Levin","given":"Adeera"},{"family":"Neal","given":"Bruce"},{"family":"Wheeler","given":"David C."},{"family":"Zhang","given":"Hong"},{"family":"Zinman","given":"Bernard"},{"family":"Mahaffey","given":"Kenneth W."},{"family":"Perkovic","given":"Vlado"},{"family":"Jardine","given":"Meg J"},{"family":"Smyth","given":"Brendan"}],"issued":{"date-parts":[["2022",7]]}}}],"schema":"https://github.com/citation-style-language/schema/raw/master/csl-citation.json"} </w:instrText>
      </w:r>
      <w:r w:rsidR="002709AC">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[23]</w:t>
      </w:r>
      <w:r w:rsidR="002709AC">
        <w:rPr>
          <w:rFonts w:ascii="Times New Roman" w:eastAsia="Times New Roman" w:hAnsi="Times New Roman" w:cs="Times New Roman"/>
          <w:lang w:val="en-US"/>
        </w:rPr>
        <w:fldChar w:fldCharType="end"/>
      </w:r>
      <w:r w:rsidRPr="009F0A3E">
        <w:rPr>
          <w:rFonts w:ascii="Times New Roman" w:eastAsia="Times New Roman" w:hAnsi="Times New Roman" w:cs="Times New Roman"/>
          <w:lang w:val="en-US"/>
        </w:rPr>
        <w:t xml:space="preserve">, as a post-hoc analysis of the large and well-conducted CREDENCE trial, found no effect of canagliflozin on clinical neuropathy event rates. Whilst the event-based endpoint used in CREDENCE is less sensitive than electrodiagnostic assessment and the population was not specifically selected for neuropathy, the null result from a trial of this scale and </w:t>
      </w:r>
      <w:proofErr w:type="spellStart"/>
      <w:r w:rsidRPr="009F0A3E">
        <w:rPr>
          <w:rFonts w:ascii="Times New Roman" w:eastAsia="Times New Roman" w:hAnsi="Times New Roman" w:cs="Times New Roman"/>
          <w:lang w:val="en-US"/>
        </w:rPr>
        <w:t>rigour</w:t>
      </w:r>
      <w:proofErr w:type="spellEnd"/>
      <w:r w:rsidRPr="009F0A3E">
        <w:rPr>
          <w:rFonts w:ascii="Times New Roman" w:eastAsia="Times New Roman" w:hAnsi="Times New Roman" w:cs="Times New Roman"/>
          <w:lang w:val="en-US"/>
        </w:rPr>
        <w:t xml:space="preserve"> is an important moderating observation. Similarly, Mehta </w:t>
      </w:r>
      <w:r w:rsidR="002709AC">
        <w:rPr>
          <w:rFonts w:ascii="Times New Roman" w:eastAsia="Times New Roman" w:hAnsi="Times New Roman" w:cs="Times New Roman"/>
          <w:lang w:val="en-US"/>
        </w:rPr>
        <w:t xml:space="preserve">et al. </w:t>
      </w:r>
      <w:r w:rsidR="002709AC">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6yDk9IMz","properties":{"unsorted":false,"formattedCitation":"[24]","plainCitation":"[24]","noteIndex":0},"citationItems":[{"id":"g6iDE82k/3HuQ46Dp","uris":["http://zotero.org/users/19709799/items/AALKKIVG"],"itemData":{"id":"JbUMJjXw/8mR0vTnE","type":"article-journal","container-title":"Cureus","DOI":"10.7759/cureus.20208","ISSN":"2168-8184","language":"en","source":"DOI.org (Crossref)","title":"Effectiveness of Empagliflozin With Vitamin D Supplementation in Peripheral Neuropathy in Type 2 Diabetic Patients","URL":"https://www.cureus.com/articles/78182-effectiveness-of-empagliflozin-with-vitamin-d-supplementation-in-peripheral-neuropathy-in-type-2-diabetic-patients","author":[{"family":"Mehta","given":"Sanjana"},{"family":"Nain","given":"Parminder"},{"family":"Agrawal","given":"Bimal K"},{"family":"Singh","given":"Rajinder P"},{"family":"Kaur","given":"Jaspreet"},{"family":"Maity","given":"Sabyasachi"},{"family":"Bhattarcharjee","given":"Aniruddha"},{"family":"Peela","given":"Jagannadha"},{"family":"Nauhria","given":"Shreya"},{"family":"Nauhria","given":"Samal"}],"accessed":{"date-parts":[["2026",2,23]]},"issued":{"date-parts":[["2021",12,6]]}}}],"schema":"https://github.com/citation-style-language/schema/raw/master/csl-citation.json"} </w:instrText>
      </w:r>
      <w:r w:rsidR="002709AC">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[24]</w:t>
      </w:r>
      <w:r w:rsidR="002709AC">
        <w:rPr>
          <w:rFonts w:ascii="Times New Roman" w:eastAsia="Times New Roman" w:hAnsi="Times New Roman" w:cs="Times New Roman"/>
          <w:lang w:val="en-US"/>
        </w:rPr>
        <w:fldChar w:fldCharType="end"/>
      </w:r>
      <w:r w:rsidRPr="009F0A3E">
        <w:rPr>
          <w:rFonts w:ascii="Times New Roman" w:eastAsia="Times New Roman" w:hAnsi="Times New Roman" w:cs="Times New Roman"/>
          <w:lang w:val="en-US"/>
        </w:rPr>
        <w:t xml:space="preserve"> demonstrated no significant benefit of empagliflozin monotherapy on neuropathic pain or sensory outcomes, with improvements observed only in the combination therapy arm</w:t>
      </w:r>
      <w:r w:rsidR="002455E4">
        <w:rPr>
          <w:rFonts w:ascii="Times New Roman" w:eastAsia="Times New Roman" w:hAnsi="Times New Roman" w:cs="Times New Roman"/>
          <w:lang w:val="en-US"/>
        </w:rPr>
        <w:t xml:space="preserve">, </w:t>
      </w:r>
      <w:r w:rsidRPr="009F0A3E">
        <w:rPr>
          <w:rFonts w:ascii="Times New Roman" w:eastAsia="Times New Roman" w:hAnsi="Times New Roman" w:cs="Times New Roman"/>
          <w:lang w:val="en-US"/>
        </w:rPr>
        <w:t>a finding that cannot be attributed to SGLT2 inhibit</w:t>
      </w:r>
      <w:r w:rsidR="002455E4">
        <w:rPr>
          <w:rFonts w:ascii="Times New Roman" w:eastAsia="Times New Roman" w:hAnsi="Times New Roman" w:cs="Times New Roman"/>
          <w:lang w:val="en-US"/>
        </w:rPr>
        <w:t>ors</w:t>
      </w:r>
      <w:r w:rsidRPr="009F0A3E">
        <w:rPr>
          <w:rFonts w:ascii="Times New Roman" w:eastAsia="Times New Roman" w:hAnsi="Times New Roman" w:cs="Times New Roman"/>
          <w:lang w:val="en-US"/>
        </w:rPr>
        <w:t xml:space="preserve"> alone. </w:t>
      </w:r>
      <w:proofErr w:type="spellStart"/>
      <w:r w:rsidRPr="009F0A3E">
        <w:rPr>
          <w:rFonts w:ascii="Times New Roman" w:eastAsia="Times New Roman" w:hAnsi="Times New Roman" w:cs="Times New Roman"/>
          <w:lang w:val="en-US"/>
        </w:rPr>
        <w:t>Klabuzai</w:t>
      </w:r>
      <w:proofErr w:type="spellEnd"/>
      <w:r w:rsidRPr="009F0A3E">
        <w:rPr>
          <w:rFonts w:ascii="Times New Roman" w:eastAsia="Times New Roman" w:hAnsi="Times New Roman" w:cs="Times New Roman"/>
          <w:lang w:val="en-US"/>
        </w:rPr>
        <w:t xml:space="preserve"> </w:t>
      </w:r>
      <w:r w:rsidR="0066777A">
        <w:rPr>
          <w:rFonts w:ascii="Times New Roman" w:eastAsia="Times New Roman" w:hAnsi="Times New Roman" w:cs="Times New Roman"/>
          <w:lang w:val="en-US"/>
        </w:rPr>
        <w:t xml:space="preserve">et al. </w:t>
      </w:r>
      <w:r w:rsidR="0066777A">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BYZvg2Sz","properties":{"unsorted":false,"formattedCitation":"[27]","plainCitation":"[27]","noteIndex":0},"citationItems":[{"id":"g6iDE82k/JdrpB4DC","uris":["http://zotero.org/users/19709799/items/LNHXRLVE"],"itemData":{"id":"JbUMJjXw/9OuJhd84","type":"article-journal","container-title":"Antioxidants","DOI":"10.3390/antiox14030289","ISSN":"2076-3921","issue":"3","journalAbbreviation":"Antioxidants","language":"en","page":"289","source":"DOI.org (Crossref)","title":"The Impact of SGLT-2 Inhibitors on Hydroxyl Radical Markers and Diabetic Neuropathy: A Short-Term Clinical Study","title-short":"The Impact of SGLT-2 Inhibitors on Hydroxyl Radical Markers and Diabetic Neuropathy","volume":"14","author":[{"family":"Klabuzai","given":"Ágnes"},{"family":"Bekő","given":"Viktória"},{"family":"Sütő","given":"Zsófia"},{"family":"Horváth","given":"Marcell"},{"family":"Wágner","given":"Zoltán"},{"family":"Vágási","given":"Katalin"},{"family":"Pfeil","given":"Veronika"},{"family":"Süle","given":"Miklós"},{"family":"Grosz","given":"György"},{"family":"Wittmann","given":"István"},{"family":"Kun","given":"Szilárd"}],"issued":{"date-parts":[["2025",2,28]]}}}],"schema":"https://github.com/citation-style-language/schema/raw/master/csl-citation.json"} </w:instrText>
      </w:r>
      <w:r w:rsidR="0066777A">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[27]</w:t>
      </w:r>
      <w:r w:rsidR="0066777A">
        <w:rPr>
          <w:rFonts w:ascii="Times New Roman" w:eastAsia="Times New Roman" w:hAnsi="Times New Roman" w:cs="Times New Roman"/>
          <w:lang w:val="en-US"/>
        </w:rPr>
        <w:fldChar w:fldCharType="end"/>
      </w:r>
      <w:r w:rsidR="0066777A">
        <w:rPr>
          <w:rFonts w:ascii="Times New Roman" w:eastAsia="Times New Roman" w:hAnsi="Times New Roman" w:cs="Times New Roman"/>
          <w:lang w:val="en-US"/>
        </w:rPr>
        <w:t xml:space="preserve"> </w:t>
      </w:r>
      <w:r w:rsidRPr="009F0A3E">
        <w:rPr>
          <w:rFonts w:ascii="Times New Roman" w:eastAsia="Times New Roman" w:hAnsi="Times New Roman" w:cs="Times New Roman"/>
          <w:lang w:val="en-US"/>
        </w:rPr>
        <w:t xml:space="preserve">found no significant change in any standard neuropathy assessment at the group level, with CPT improvements restricted to a pre-specified subgroup with elevated baseline values, the significance of which is difficult to interpret from a single-arm design. El-Haggar </w:t>
      </w:r>
      <w:r w:rsidR="002709AC">
        <w:rPr>
          <w:rFonts w:ascii="Times New Roman" w:eastAsia="Times New Roman" w:hAnsi="Times New Roman" w:cs="Times New Roman"/>
          <w:lang w:val="en-US"/>
        </w:rPr>
        <w:t xml:space="preserve">et al. </w:t>
      </w:r>
      <w:r w:rsidR="002709AC">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PIk4WVbl","properties":{"unsorted":false,"formattedCitation":"[19]","plainCitation":"[19]","noteIndex":0},"citationItems":[{"id":"g6iDE82k/lQi3yVy3","uris":["http://zotero.org/users/19709799/items/LZ3Q8FUZ"],"itemData":{"id":"JbUMJjXw/FmWb70iL","type":"article-journal","container-title":"Medicina Clínica (English Edition)","DOI":"10.1016/j.medcle.2024.01.028","ISSN":"23870206","issue":"2","journalAbbreviation":"Medicina Clínica (English Edition)","language":"en","page":"53-61","source":"DOI.org (Crossref)","title":"Effect of empagliflozin in peripheral diabetic neuropathy of patients with type 2 diabetes mellitus","volume":"163","author":[{"family":"El-Haggar","given":"Sahar Mohamed"},{"family":"Hafez","given":"Yasser Mostafa"},{"family":"El Sharkawy","given":"Amira Mohamed"},{"family":"Khalifa","given":"Maha"}],"issued":{"date-parts":[["2024",7]]}}}],"schema":"https://github.com/citation-style-language/schema/raw/master/csl-citation.json"} </w:instrText>
      </w:r>
      <w:r w:rsidR="002709AC">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[19]</w:t>
      </w:r>
      <w:r w:rsidR="002709AC">
        <w:rPr>
          <w:rFonts w:ascii="Times New Roman" w:eastAsia="Times New Roman" w:hAnsi="Times New Roman" w:cs="Times New Roman"/>
          <w:lang w:val="en-US"/>
        </w:rPr>
        <w:fldChar w:fldCharType="end"/>
      </w:r>
      <w:r w:rsidRPr="009F0A3E">
        <w:rPr>
          <w:rFonts w:ascii="Times New Roman" w:eastAsia="Times New Roman" w:hAnsi="Times New Roman" w:cs="Times New Roman"/>
          <w:lang w:val="en-US"/>
        </w:rPr>
        <w:t xml:space="preserve">, while contributing positively to the electrophysiological meta-analyses, notably found no significant between-group difference in the DNS composite score. Collectively, these findings suggest that any neuroprotective effect of SGLT2 </w:t>
      </w:r>
      <w:r w:rsidR="000A3992">
        <w:rPr>
          <w:rFonts w:ascii="Times New Roman" w:eastAsia="Times New Roman" w:hAnsi="Times New Roman" w:cs="Times New Roman"/>
          <w:lang w:val="en-US"/>
        </w:rPr>
        <w:t>inhibitors</w:t>
      </w:r>
      <w:r w:rsidRPr="009F0A3E">
        <w:rPr>
          <w:rFonts w:ascii="Times New Roman" w:eastAsia="Times New Roman" w:hAnsi="Times New Roman" w:cs="Times New Roman"/>
          <w:lang w:val="en-US"/>
        </w:rPr>
        <w:t xml:space="preserve"> is most detectable through objective electrodiagnostic measures of conduction rather than composite clinical scores or symptom-based instruments, which may lack the sensitivity to detect early or subclinical neurophysiological improvements.</w:t>
      </w:r>
    </w:p>
    <w:p w14:paraId="3529CD47" w14:textId="4E7BBE20" w:rsidR="009F0A3E" w:rsidRPr="009F0A3E" w:rsidRDefault="009F0A3E" w:rsidP="00C208BC">
      <w:pPr>
        <w:spacing w:before="100" w:beforeAutospacing="1" w:after="100" w:afterAutospacing="1" w:line="360" w:lineRule="auto"/>
        <w:jc w:val="both"/>
        <w:outlineLvl w:val="3"/>
        <w:rPr>
          <w:rFonts w:ascii="Times New Roman" w:eastAsia="Times New Roman" w:hAnsi="Times New Roman" w:cs="Times New Roman"/>
          <w:b/>
          <w:bCs/>
          <w:lang w:val="en-US"/>
        </w:rPr>
      </w:pPr>
      <w:r w:rsidRPr="009F0A3E">
        <w:rPr>
          <w:rFonts w:ascii="Times New Roman" w:eastAsia="Times New Roman" w:hAnsi="Times New Roman" w:cs="Times New Roman"/>
          <w:b/>
          <w:bCs/>
          <w:lang w:val="en-US"/>
        </w:rPr>
        <w:t>4.6 Oxidative Stress</w:t>
      </w:r>
    </w:p>
    <w:p w14:paraId="1FB4FA9C" w14:textId="64FD9233" w:rsidR="009F0A3E" w:rsidRPr="009F0A3E" w:rsidRDefault="009F0A3E" w:rsidP="00EE5ADB">
      <w:pPr>
        <w:spacing w:before="100" w:beforeAutospacing="1" w:after="100" w:afterAutospacing="1" w:line="360" w:lineRule="auto"/>
        <w:jc w:val="both"/>
        <w:rPr>
          <w:rFonts w:ascii="Times New Roman" w:eastAsia="Times New Roman" w:hAnsi="Times New Roman" w:cs="Times New Roman"/>
          <w:lang w:val="en-US"/>
        </w:rPr>
      </w:pPr>
      <w:r w:rsidRPr="009F0A3E">
        <w:rPr>
          <w:rFonts w:ascii="Times New Roman" w:eastAsia="Times New Roman" w:hAnsi="Times New Roman" w:cs="Times New Roman"/>
          <w:lang w:val="en-US"/>
        </w:rPr>
        <w:t xml:space="preserve">The absence of a significant between-group difference in MDA, despite evidence supporting an antioxidant role for SGLT2 </w:t>
      </w:r>
      <w:r w:rsidR="000A3992">
        <w:rPr>
          <w:rFonts w:ascii="Times New Roman" w:eastAsia="Times New Roman" w:hAnsi="Times New Roman" w:cs="Times New Roman"/>
          <w:lang w:val="en-US"/>
        </w:rPr>
        <w:t xml:space="preserve">inhibitors </w:t>
      </w:r>
      <w:r w:rsidR="000A3992">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{"citationID":"4ynooorc","properties":{"unsorted":false,"formattedCitation":"[32]","plainCitation":"[32]","noteIndex":0},"citationItems":[{"id":186,"uris":["http://zotero.org/groups/6437514/items/YKP3T8VW"],"itemData":{"id":186,"type":"article-journal","abstract":"Sodium-glucose cotransporter 2 (SGLT2) inhibitors are a new class of oral glucose-lowering agents. Apart from their glucose-lowering effects, large clinical trials assessing certain SGLT2 inhibitors have revealed cardiac and renal protective effects in non-diabetic patients. These excellent outcomes motivated scientists and clinical professionals to revisit their underlying mechanisms. In addition to the heart and kidney, redox homeostasis is crucial in several human diseases, including liver diseases, neural disorders, and cancers, with accumulating preclinical studies demonstrating the therapeutic benefits of SGLT2 inhibitors. In the present review, we aimed to update recent advances in the antioxidant roles of SGLT2 inhibitors in common but debilitating human diseases. We anticipate that this review will guide new research directions and novel therapeutic strategies for diabetes, cardiovascular diseases, nephropathies, liver diseases, neural disorders, and cancers in the era of SGLT2 inhibitors.","container-title":"Antioxidants","DOI":"10.3390/antiox10081166","ISSN":"2076-3921","issue":"8","journalAbbreviation":"Antioxidants","language":"en","page":"1166","source":"DOI.org (Crossref)","title":"Emergence of SGLT2 Inhibitors as Powerful Antioxidants in Human Diseases","volume":"10","author":[{"family":"Tsai","given":"Kai-Fan"},{"family":"Chen","given":"Yung-Lung"},{"family":"Chiou","given":"Terry Ting-Yu"},{"family":"Chu","given":"Tian-Huei"},{"family":"Li","given":"Lung-Chih"},{"family":"Ng","given":"Hwee-Yeong"},{"family":"Lee","given":"Wen-Chin"},{"family":"Lee","given":"Chien-Te"}],"issued":{"date-parts":[["2021",7,22]]}}}],"schema":"https://github.com/citation-style-language/schema/raw/master/csl-citation.json"} </w:instrText>
      </w:r>
      <w:r w:rsidR="000A3992">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[32]</w:t>
      </w:r>
      <w:r w:rsidR="000A3992">
        <w:rPr>
          <w:rFonts w:ascii="Times New Roman" w:eastAsia="Times New Roman" w:hAnsi="Times New Roman" w:cs="Times New Roman"/>
          <w:lang w:val="en-US"/>
        </w:rPr>
        <w:fldChar w:fldCharType="end"/>
      </w:r>
      <w:r w:rsidRPr="009F0A3E">
        <w:rPr>
          <w:rFonts w:ascii="Times New Roman" w:eastAsia="Times New Roman" w:hAnsi="Times New Roman" w:cs="Times New Roman"/>
          <w:lang w:val="en-US"/>
        </w:rPr>
        <w:t xml:space="preserve">, may partly be explained by the observation from Adhikari </w:t>
      </w:r>
      <w:r w:rsidR="0066777A">
        <w:rPr>
          <w:rFonts w:ascii="Times New Roman" w:eastAsia="Times New Roman" w:hAnsi="Times New Roman" w:cs="Times New Roman"/>
          <w:lang w:val="en-US"/>
        </w:rPr>
        <w:t xml:space="preserve">et al. </w:t>
      </w:r>
      <w:r w:rsidR="0066777A">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ESNawZDQ","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66777A">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[25]</w:t>
      </w:r>
      <w:r w:rsidR="0066777A">
        <w:rPr>
          <w:rFonts w:ascii="Times New Roman" w:eastAsia="Times New Roman" w:hAnsi="Times New Roman" w:cs="Times New Roman"/>
          <w:lang w:val="en-US"/>
        </w:rPr>
        <w:fldChar w:fldCharType="end"/>
      </w:r>
      <w:r w:rsidR="0066777A">
        <w:rPr>
          <w:rFonts w:ascii="Times New Roman" w:eastAsia="Times New Roman" w:hAnsi="Times New Roman" w:cs="Times New Roman"/>
          <w:lang w:val="en-US"/>
        </w:rPr>
        <w:t xml:space="preserve"> </w:t>
      </w:r>
      <w:r w:rsidRPr="009F0A3E">
        <w:rPr>
          <w:rFonts w:ascii="Times New Roman" w:eastAsia="Times New Roman" w:hAnsi="Times New Roman" w:cs="Times New Roman"/>
          <w:lang w:val="en-US"/>
        </w:rPr>
        <w:t xml:space="preserve">that MDA decreased significantly in both treatment and control groups. This suggests that </w:t>
      </w:r>
      <w:proofErr w:type="spellStart"/>
      <w:r w:rsidRPr="009F0A3E">
        <w:rPr>
          <w:rFonts w:ascii="Times New Roman" w:eastAsia="Times New Roman" w:hAnsi="Times New Roman" w:cs="Times New Roman"/>
          <w:lang w:val="en-US"/>
        </w:rPr>
        <w:t>optimised</w:t>
      </w:r>
      <w:proofErr w:type="spellEnd"/>
      <w:r w:rsidRPr="009F0A3E">
        <w:rPr>
          <w:rFonts w:ascii="Times New Roman" w:eastAsia="Times New Roman" w:hAnsi="Times New Roman" w:cs="Times New Roman"/>
          <w:lang w:val="en-US"/>
        </w:rPr>
        <w:t xml:space="preserve"> standard diabetic care itself may reduce systemic lipid peroxidation sufficiently to obscure an SGLT2i-specific antioxidant signal in a between-group comparison. Conversely, </w:t>
      </w:r>
      <w:proofErr w:type="spellStart"/>
      <w:r w:rsidRPr="009F0A3E">
        <w:rPr>
          <w:rFonts w:ascii="Times New Roman" w:eastAsia="Times New Roman" w:hAnsi="Times New Roman" w:cs="Times New Roman"/>
          <w:lang w:val="en-US"/>
        </w:rPr>
        <w:t>Klabuzai</w:t>
      </w:r>
      <w:proofErr w:type="spellEnd"/>
      <w:r w:rsidRPr="009F0A3E">
        <w:rPr>
          <w:rFonts w:ascii="Times New Roman" w:eastAsia="Times New Roman" w:hAnsi="Times New Roman" w:cs="Times New Roman"/>
          <w:lang w:val="en-US"/>
        </w:rPr>
        <w:t xml:space="preserve"> </w:t>
      </w:r>
      <w:r w:rsidR="0066777A">
        <w:rPr>
          <w:rFonts w:ascii="Times New Roman" w:eastAsia="Times New Roman" w:hAnsi="Times New Roman" w:cs="Times New Roman"/>
          <w:lang w:val="en-US"/>
        </w:rPr>
        <w:t xml:space="preserve">et al. </w:t>
      </w:r>
      <w:r w:rsidR="0066777A">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nTHiaoVE","properties":{"unsorted":false,"formattedCitation":"[27]","plainCitation":"[27]","noteIndex":0},"citationItems":[{"id":"g6iDE82k/JdrpB4DC","uris":["http://zotero.org/users/19709799/items/LNHXRLVE"],"itemData":{"id":"JbUMJjXw/9OuJhd84","type":"article-journal","container-title":"Antioxidants","DOI":"10.3390/antiox14030289","ISSN":"2076-3921","issue":"3","journalAbbreviation":"Antioxidants","language":"en","page":"289","source":"DOI.org (Crossref)","title":"The Impact of SGLT-2 Inhibitors on Hydroxyl Radical Markers and Diabetic Neuropathy: A Short-Term Clinical Study","title-short":"The Impact of SGLT-2 Inhibitors on Hydroxyl Radical Markers and Diabetic Neuropathy","volume":"14","author":[{"family":"Klabuzai","given":"Ágnes"},{"family":"Bekő","given":"Viktória"},{"family":"Sütő","given":"Zsófia"},{"family":"Horváth","given":"Marcell"},{"family":"Wágner","given":"Zoltán"},{"family":"Vágási","given":"Katalin"},{"family":"Pfeil","given":"Veronika"},{"family":"Süle","given":"Miklós"},{"family":"Grosz","given":"György"},{"family":"Wittmann","given":"István"},{"family":"Kun","given":"Szilárd"}],"issued":{"date-parts":[["2025",2,28]]}}}],"schema":"https://github.com/citation-style-language/schema/raw/master/csl-citation.json"} </w:instrText>
      </w:r>
      <w:r w:rsidR="0066777A">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[27]</w:t>
      </w:r>
      <w:r w:rsidR="0066777A">
        <w:rPr>
          <w:rFonts w:ascii="Times New Roman" w:eastAsia="Times New Roman" w:hAnsi="Times New Roman" w:cs="Times New Roman"/>
          <w:lang w:val="en-US"/>
        </w:rPr>
        <w:fldChar w:fldCharType="end"/>
      </w:r>
      <w:r w:rsidR="0066777A">
        <w:rPr>
          <w:rFonts w:ascii="Times New Roman" w:eastAsia="Times New Roman" w:hAnsi="Times New Roman" w:cs="Times New Roman"/>
          <w:lang w:val="en-US"/>
        </w:rPr>
        <w:t xml:space="preserve"> </w:t>
      </w:r>
      <w:r w:rsidRPr="009F0A3E">
        <w:rPr>
          <w:rFonts w:ascii="Times New Roman" w:eastAsia="Times New Roman" w:hAnsi="Times New Roman" w:cs="Times New Roman"/>
          <w:lang w:val="en-US"/>
        </w:rPr>
        <w:t>reported a positive correlation between hydroxyl free radical markers and CPT changes, providing indirect mechanistic support for oxidative stress as a mediator of SGLT2</w:t>
      </w:r>
      <w:r w:rsidR="00047BA3">
        <w:rPr>
          <w:rFonts w:ascii="Times New Roman" w:eastAsia="Times New Roman" w:hAnsi="Times New Roman" w:cs="Times New Roman"/>
          <w:lang w:val="en-US"/>
        </w:rPr>
        <w:t xml:space="preserve"> inhibitor</w:t>
      </w:r>
      <w:r w:rsidR="00493B25">
        <w:rPr>
          <w:rFonts w:ascii="Times New Roman" w:eastAsia="Times New Roman" w:hAnsi="Times New Roman" w:cs="Times New Roman"/>
          <w:lang w:val="en-US"/>
        </w:rPr>
        <w:t xml:space="preserve"> </w:t>
      </w:r>
      <w:r w:rsidRPr="009F0A3E">
        <w:rPr>
          <w:rFonts w:ascii="Times New Roman" w:eastAsia="Times New Roman" w:hAnsi="Times New Roman" w:cs="Times New Roman"/>
          <w:lang w:val="en-US"/>
        </w:rPr>
        <w:t xml:space="preserve">associated nerve </w:t>
      </w:r>
      <w:r w:rsidRPr="009F0A3E">
        <w:rPr>
          <w:rFonts w:ascii="Times New Roman" w:eastAsia="Times New Roman" w:hAnsi="Times New Roman" w:cs="Times New Roman"/>
          <w:lang w:val="en-US"/>
        </w:rPr>
        <w:lastRenderedPageBreak/>
        <w:t>function improvement. Glutathione peroxidase also increased significantly with dapagliflozin in Adhikari</w:t>
      </w:r>
      <w:r w:rsidR="0066777A">
        <w:rPr>
          <w:rFonts w:ascii="Times New Roman" w:eastAsia="Times New Roman" w:hAnsi="Times New Roman" w:cs="Times New Roman"/>
          <w:lang w:val="en-US"/>
        </w:rPr>
        <w:t xml:space="preserve"> et al. </w:t>
      </w:r>
      <w:r w:rsidR="0066777A">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u6Xg164K","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66777A">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[25]</w:t>
      </w:r>
      <w:r w:rsidR="0066777A">
        <w:rPr>
          <w:rFonts w:ascii="Times New Roman" w:eastAsia="Times New Roman" w:hAnsi="Times New Roman" w:cs="Times New Roman"/>
          <w:lang w:val="en-US"/>
        </w:rPr>
        <w:fldChar w:fldCharType="end"/>
      </w:r>
      <w:r w:rsidRPr="009F0A3E">
        <w:rPr>
          <w:rFonts w:ascii="Times New Roman" w:eastAsia="Times New Roman" w:hAnsi="Times New Roman" w:cs="Times New Roman"/>
          <w:lang w:val="en-US"/>
        </w:rPr>
        <w:t>, suggesting enhancement of endogenous antioxidant capacity as a complementary mechanism. While the MDA meta-analysis was non-significant, the mechanistic picture across studies is directionally consistent with an antioxidant component to SGLT2</w:t>
      </w:r>
      <w:r w:rsidR="000A3992">
        <w:rPr>
          <w:rFonts w:ascii="Times New Roman" w:eastAsia="Times New Roman" w:hAnsi="Times New Roman" w:cs="Times New Roman"/>
          <w:lang w:val="en-US"/>
        </w:rPr>
        <w:t xml:space="preserve"> inhibitor</w:t>
      </w:r>
      <w:r w:rsidRPr="009F0A3E">
        <w:rPr>
          <w:rFonts w:ascii="Times New Roman" w:eastAsia="Times New Roman" w:hAnsi="Times New Roman" w:cs="Times New Roman"/>
          <w:lang w:val="en-US"/>
        </w:rPr>
        <w:t xml:space="preserve"> neuroprotection, and MDA alone may be an insufficiently specific or sensitive marker to capture this effect.</w:t>
      </w:r>
    </w:p>
    <w:p w14:paraId="7CFEE6AB" w14:textId="77777777" w:rsidR="009F0A3E" w:rsidRPr="009F0A3E" w:rsidRDefault="009F0A3E" w:rsidP="00C208BC">
      <w:pPr>
        <w:spacing w:before="100" w:beforeAutospacing="1" w:after="100" w:afterAutospacing="1" w:line="360" w:lineRule="auto"/>
        <w:jc w:val="both"/>
        <w:outlineLvl w:val="3"/>
        <w:rPr>
          <w:rFonts w:ascii="Times New Roman" w:eastAsia="Times New Roman" w:hAnsi="Times New Roman" w:cs="Times New Roman"/>
          <w:b/>
          <w:bCs/>
          <w:lang w:val="en-US"/>
        </w:rPr>
      </w:pPr>
      <w:r w:rsidRPr="009F0A3E">
        <w:rPr>
          <w:rFonts w:ascii="Times New Roman" w:eastAsia="Times New Roman" w:hAnsi="Times New Roman" w:cs="Times New Roman"/>
          <w:b/>
          <w:bCs/>
          <w:lang w:val="en-US"/>
        </w:rPr>
        <w:t>4.7 Corneal Confocal Microscopy</w:t>
      </w:r>
    </w:p>
    <w:p w14:paraId="59E43092" w14:textId="17325C28" w:rsidR="009F0A3E" w:rsidRPr="009F0A3E" w:rsidRDefault="009F0A3E" w:rsidP="00EE5ADB">
      <w:pPr>
        <w:spacing w:before="100" w:beforeAutospacing="1" w:after="100" w:afterAutospacing="1" w:line="360" w:lineRule="auto"/>
        <w:jc w:val="both"/>
        <w:rPr>
          <w:rFonts w:ascii="Times New Roman" w:eastAsia="Times New Roman" w:hAnsi="Times New Roman" w:cs="Times New Roman"/>
          <w:lang w:val="en-US"/>
        </w:rPr>
      </w:pPr>
      <w:r w:rsidRPr="009F0A3E">
        <w:rPr>
          <w:rFonts w:ascii="Times New Roman" w:eastAsia="Times New Roman" w:hAnsi="Times New Roman" w:cs="Times New Roman"/>
          <w:lang w:val="en-US"/>
        </w:rPr>
        <w:t xml:space="preserve">The discordance in CCM findings between Adhikari </w:t>
      </w:r>
      <w:r w:rsidR="00571229">
        <w:rPr>
          <w:rFonts w:ascii="Times New Roman" w:eastAsia="Times New Roman" w:hAnsi="Times New Roman" w:cs="Times New Roman"/>
          <w:lang w:val="en-US"/>
        </w:rPr>
        <w:t>et al.</w:t>
      </w:r>
      <w:r w:rsidRPr="009F0A3E">
        <w:rPr>
          <w:rFonts w:ascii="Times New Roman" w:eastAsia="Times New Roman" w:hAnsi="Times New Roman" w:cs="Times New Roman"/>
          <w:lang w:val="en-US"/>
        </w:rPr>
        <w:t xml:space="preserve"> </w:t>
      </w:r>
      <w:r w:rsidR="00F25FC4">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akd8bA6A","properties":{"unsorted":false,"formattedCitation":"[25]","plainCitation":"[25]","noteIndex":0},"citationItems":[{"id":"g6iDE82k/PsQ3dHQD","uris":["http://zotero.org/users/19709799/items/FMCL8PHZ"],"itemData":{"id":"JbUMJjXw/Sj2FqDa9","type":"article-journal","container-title":"Journal of the Peripheral Nervous System","DOI":"10.1111/jns.70011","ISSN":"1085-9489, 1529-8027","issue":"1","journalAbbreviation":"J Peripheral Nervous Sys","language":"en","page":"e70011","source":"DOI.org (Crossref)","title":"Dapagliflozin for Small Nerve Fibre Regeneration in Diabetic Peripheral Neuropathy: A Randomised Controlled Study ( &lt;span style=\"font-variant:small-caps;\"&gt;DINE&lt;/span&gt; )","title-short":"Dapagliflozin for Small Nerve Fibre Regeneration in Diabetic Peripheral Neuropathy","volume":"30","author":[{"family":"Adhikari","given":"Umanath"},{"family":"Gad","given":"Hoda"},{"family":"Chatterjee","given":"Debajyoti"},{"family":"Malhotra","given":"Chintan"},{"family":"Bhadada","given":"Sanjay Kumar"},{"family":"Malik","given":"Rayaz A."},{"family":"Rastogi","given":"Ashu"}],"issued":{"date-parts":[["2025",3]]}}}],"schema":"https://github.com/citation-style-language/schema/raw/master/csl-citation.json"} </w:instrText>
      </w:r>
      <w:r w:rsidR="00F25FC4">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[25]</w:t>
      </w:r>
      <w:r w:rsidR="00F25FC4">
        <w:rPr>
          <w:rFonts w:ascii="Times New Roman" w:eastAsia="Times New Roman" w:hAnsi="Times New Roman" w:cs="Times New Roman"/>
          <w:lang w:val="en-US"/>
        </w:rPr>
        <w:fldChar w:fldCharType="end"/>
      </w:r>
      <w:r w:rsidR="00F25FC4">
        <w:rPr>
          <w:rFonts w:ascii="Times New Roman" w:eastAsia="Times New Roman" w:hAnsi="Times New Roman" w:cs="Times New Roman"/>
          <w:lang w:val="en-US"/>
        </w:rPr>
        <w:t xml:space="preserve"> </w:t>
      </w:r>
      <w:r w:rsidRPr="009F0A3E">
        <w:rPr>
          <w:rFonts w:ascii="Times New Roman" w:eastAsia="Times New Roman" w:hAnsi="Times New Roman" w:cs="Times New Roman"/>
          <w:lang w:val="en-US"/>
        </w:rPr>
        <w:t xml:space="preserve">(significant improvements in CNFD, CNBD, and CNFL) and Ishibashi </w:t>
      </w:r>
      <w:r w:rsidR="00571229">
        <w:rPr>
          <w:rFonts w:ascii="Times New Roman" w:eastAsia="Times New Roman" w:hAnsi="Times New Roman" w:cs="Times New Roman"/>
          <w:lang w:val="en-US"/>
        </w:rPr>
        <w:t xml:space="preserve">et al. </w:t>
      </w:r>
      <w:r w:rsidR="00F25FC4">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{"citationID":"jsWKURYk","properties":{"unsorted":false,"formattedCitation":"[26]","plainCitation":"[26]","noteIndex":0},"citationItems":[{"id":108,"uris":["http://zotero.org/groups/6437514/items/MHNR4PT3"],"itemData":{"id":108,"type":"article-journal","abstract":"Aims\n              \n                This three-year follow-up study aimed to elucidate whether sodium-glucose cotransporter-2 inhibitors (SGLT2is) have any protection against diabetic neuropathy and nephropathy in patients with type 2 diabetes\n                via\n                reducing variability in glycemia and extraglycemic factors or their averages.\n              \n            \n            \n              Methods\n              Two type 2 diabetic cohorts of 40 and 73 patients treated with or without SGLT2i along with 60 control subjects were recruited. Two diabetic cohorts matched for HbA1c levels and oral hypoglycemic agents other than SGLT2is underwent glycemic control with or without SGLT2is more than two years. The urinary albumin to creatinine ratio (ACR), estimated glomerular filtration rate (eGFR) every 3 months and neuropathy outcome measures and mean Z-score of 8 neurophysiological tests were determined at the baseline and endpoint. Glycemic variability, evaluated by the coefficient of variation of monthly measured HbA1c levels and casual postprandial plasma glucose (CPPG), and coefficient of variation and average of extraglycemic parameters in diabetic cohorts were determined.\n            \n            \n              Results\n              The glycemic variability and variability of some extraglycemic factors in SGLT2i cohort were smaller than those in non-SGLT2i cohort. However, only smaller coefficient of variation of HbA1c improved some neuropathy outcome measures, and ameliorated eGFR decline. SGLT2i improved the Z-score of neurophysiological tests. The optimized changes in the blood pressure, HDL-cholesterol and uric acid by SGLT2i led to neurological and renal protection. SGLT2i decreased the prevalence of nephropathy significantly and the prevalence of neuropathy insignificantly.\n            \n            \n              Conclusion\n              Over 3 years period, SGLT2i significantly improved some neuropathy outcome measures, mean Z-score of 8 neurophysiological tests, and attenuated nephropathy in modestly controlled type 2 diabetes by reducing glycemic variability and mean nonglycemic factors of diabetic microvascular complication.","container-title":"Frontiers in Endocrinology","DOI":"10.3389/fendo.2022.864332","ISSN":"1664-2392","journalAbbreviation":"Front. Endocrinol.","page":"864332","source":"DOI.org (Crossref)","title":"Sodium Glucose Cotransporter-2 Inhibitor Protects Against Diabetic Neuropathy and Nephropathy in Modestly Controlled Type 2 Diabetes: Follow-Up Study","title-short":"Sodium Glucose Cotransporter-2 Inhibitor Protects Against Diabetic Neuropathy and Nephropathy in Modestly Controlled Type 2 Diabetes","volume":"13","author":[{"family":"Ishibashi","given":"Fukashi"},{"family":"Kosaka","given":"Aiko"},{"family":"Tavakoli","given":"Mitra"}],"issued":{"date-parts":[["2022",6,17]]}}}],"schema":"https://github.com/citation-style-language/schema/raw/master/csl-citation.json"} </w:instrText>
      </w:r>
      <w:r w:rsidR="00F25FC4">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[26]</w:t>
      </w:r>
      <w:r w:rsidR="00F25FC4">
        <w:rPr>
          <w:rFonts w:ascii="Times New Roman" w:eastAsia="Times New Roman" w:hAnsi="Times New Roman" w:cs="Times New Roman"/>
          <w:lang w:val="en-US"/>
        </w:rPr>
        <w:fldChar w:fldCharType="end"/>
      </w:r>
      <w:r w:rsidR="00E22414">
        <w:rPr>
          <w:rFonts w:ascii="Times New Roman" w:eastAsia="Times New Roman" w:hAnsi="Times New Roman" w:cs="Times New Roman"/>
          <w:lang w:val="en-US"/>
        </w:rPr>
        <w:t xml:space="preserve"> </w:t>
      </w:r>
      <w:r w:rsidRPr="009F0A3E">
        <w:rPr>
          <w:rFonts w:ascii="Times New Roman" w:eastAsia="Times New Roman" w:hAnsi="Times New Roman" w:cs="Times New Roman"/>
          <w:lang w:val="en-US"/>
        </w:rPr>
        <w:t xml:space="preserve">(no significant between-group CCM differences) precludes any firm conclusion regarding the effect of SGLT2 inhibitors on corneal nerve morphology. CCM is a validated non-invasive tool for assessing small </w:t>
      </w:r>
      <w:proofErr w:type="spellStart"/>
      <w:r w:rsidRPr="009F0A3E">
        <w:rPr>
          <w:rFonts w:ascii="Times New Roman" w:eastAsia="Times New Roman" w:hAnsi="Times New Roman" w:cs="Times New Roman"/>
          <w:lang w:val="en-US"/>
        </w:rPr>
        <w:t>fibre</w:t>
      </w:r>
      <w:proofErr w:type="spellEnd"/>
      <w:r w:rsidRPr="009F0A3E">
        <w:rPr>
          <w:rFonts w:ascii="Times New Roman" w:eastAsia="Times New Roman" w:hAnsi="Times New Roman" w:cs="Times New Roman"/>
          <w:lang w:val="en-US"/>
        </w:rPr>
        <w:t xml:space="preserve"> neuropathy and is increasingly advocated as a sensitive endpoint in PDN trials</w:t>
      </w:r>
      <w:r w:rsidR="00F91161">
        <w:rPr>
          <w:rFonts w:ascii="Times New Roman" w:eastAsia="Times New Roman" w:hAnsi="Times New Roman" w:cs="Times New Roman"/>
          <w:lang w:val="en-US"/>
        </w:rPr>
        <w:t xml:space="preserve"> </w:t>
      </w:r>
      <w:r w:rsidR="00414732">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D5InbbV6","properties":{"unsorted":false,"formattedCitation":"[33]","plainCitation":"[33]","noteIndex":0},"citationItems":[{"id":182,"uris":["http://zotero.org/groups/6437514/items/NULBC8ET"],"itemData":{"id":182,"type":"article-journal","container-title":"Clinical Therapeutics","DOI":"10.1016/j.clinthera.2021.04.003","ISSN":"01492918","issue":"9","journalAbbreviation":"Clinical Therapeutics","language":"en","page":"1457-1475","source":"DOI.org (Crossref)","title":"Corneal Confocal Microscopy: A Biomarker for Diabetic Peripheral Neuropathy","title-short":"Corneal Confocal Microscopy","volume":"43","author":[{"family":"Petropoulos","given":"Ioannis N."},{"family":"Ponirakis","given":"Georgios"},{"family":"Ferdousi","given":"Maryam"},{"family":"Azmi","given":"Shazli"},{"family":"Kalteniece","given":"Alise"},{"family":"Khan","given":"Adnan"},{"family":"Gad","given":"Hoda"},{"family":"Bashir","given":"Bilal"},{"family":"Marshall","given":"Andrew"},{"family":"Boulton","given":"Andrew J.M."},{"family":"Soran","given":"Handrean"},{"family":"Malik","given":"Rayaz A."}],"issued":{"date-parts":[["2021",9]]}}}],"schema":"https://github.com/citation-style-language/schema/raw/master/csl-citation.json"} </w:instrText>
      </w:r>
      <w:r w:rsidR="00414732">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[33]</w:t>
      </w:r>
      <w:r w:rsidR="00414732">
        <w:rPr>
          <w:rFonts w:ascii="Times New Roman" w:eastAsia="Times New Roman" w:hAnsi="Times New Roman" w:cs="Times New Roman"/>
          <w:lang w:val="en-US"/>
        </w:rPr>
        <w:fldChar w:fldCharType="end"/>
      </w:r>
      <w:r w:rsidRPr="009F0A3E">
        <w:rPr>
          <w:rFonts w:ascii="Times New Roman" w:eastAsia="Times New Roman" w:hAnsi="Times New Roman" w:cs="Times New Roman"/>
          <w:lang w:val="en-US"/>
        </w:rPr>
        <w:t xml:space="preserve">. The </w:t>
      </w:r>
      <w:r w:rsidR="00F91161">
        <w:rPr>
          <w:rFonts w:ascii="Times New Roman" w:eastAsia="Times New Roman" w:hAnsi="Times New Roman" w:cs="Times New Roman"/>
          <w:lang w:val="en-US"/>
        </w:rPr>
        <w:t>disagreement</w:t>
      </w:r>
      <w:r w:rsidRPr="009F0A3E">
        <w:rPr>
          <w:rFonts w:ascii="Times New Roman" w:eastAsia="Times New Roman" w:hAnsi="Times New Roman" w:cs="Times New Roman"/>
          <w:lang w:val="en-US"/>
        </w:rPr>
        <w:t xml:space="preserve"> between studies may reflect differences in disease stage, follow-up duration, </w:t>
      </w:r>
      <w:r w:rsidR="00571229">
        <w:rPr>
          <w:rFonts w:ascii="Times New Roman" w:eastAsia="Times New Roman" w:hAnsi="Times New Roman" w:cs="Times New Roman"/>
          <w:lang w:val="en-US"/>
        </w:rPr>
        <w:t xml:space="preserve">or </w:t>
      </w:r>
      <w:r w:rsidRPr="009F0A3E">
        <w:rPr>
          <w:rFonts w:ascii="Times New Roman" w:eastAsia="Times New Roman" w:hAnsi="Times New Roman" w:cs="Times New Roman"/>
          <w:lang w:val="en-US"/>
        </w:rPr>
        <w:t>SGLT2i agen</w:t>
      </w:r>
      <w:r w:rsidR="00571229">
        <w:rPr>
          <w:rFonts w:ascii="Times New Roman" w:eastAsia="Times New Roman" w:hAnsi="Times New Roman" w:cs="Times New Roman"/>
          <w:lang w:val="en-US"/>
        </w:rPr>
        <w:t>t</w:t>
      </w:r>
      <w:r w:rsidRPr="009F0A3E">
        <w:rPr>
          <w:rFonts w:ascii="Times New Roman" w:eastAsia="Times New Roman" w:hAnsi="Times New Roman" w:cs="Times New Roman"/>
          <w:lang w:val="en-US"/>
        </w:rPr>
        <w:t>. CCM findings from these two studies cannot be considered as contributing meaningful evidence in either direction and should be designated as exploratory pending dedicated trials with CCM as a pre-specified primary endpoint</w:t>
      </w:r>
      <w:r w:rsidR="008A1E98">
        <w:rPr>
          <w:rFonts w:ascii="Times New Roman" w:eastAsia="Times New Roman" w:hAnsi="Times New Roman" w:cs="Times New Roman"/>
          <w:lang w:val="en-US"/>
        </w:rPr>
        <w:t>.</w:t>
      </w:r>
    </w:p>
    <w:p w14:paraId="22283405" w14:textId="77777777" w:rsidR="009F0A3E" w:rsidRPr="009F0A3E" w:rsidRDefault="009F0A3E" w:rsidP="00C208BC">
      <w:pPr>
        <w:spacing w:before="100" w:beforeAutospacing="1" w:after="100" w:afterAutospacing="1" w:line="360" w:lineRule="auto"/>
        <w:jc w:val="both"/>
        <w:outlineLvl w:val="3"/>
        <w:rPr>
          <w:rFonts w:ascii="Times New Roman" w:eastAsia="Times New Roman" w:hAnsi="Times New Roman" w:cs="Times New Roman"/>
          <w:b/>
          <w:bCs/>
          <w:lang w:val="en-US"/>
        </w:rPr>
      </w:pPr>
      <w:r w:rsidRPr="009F0A3E">
        <w:rPr>
          <w:rFonts w:ascii="Times New Roman" w:eastAsia="Times New Roman" w:hAnsi="Times New Roman" w:cs="Times New Roman"/>
          <w:b/>
          <w:bCs/>
          <w:lang w:val="en-US"/>
        </w:rPr>
        <w:t>4.8 Limitations</w:t>
      </w:r>
    </w:p>
    <w:p w14:paraId="7B607BA1" w14:textId="5F4E0984" w:rsidR="009F0A3E" w:rsidRPr="009F0A3E" w:rsidRDefault="009F0A3E" w:rsidP="00CF7FE6">
      <w:pPr>
        <w:spacing w:before="100" w:beforeAutospacing="1" w:after="100" w:afterAutospacing="1" w:line="360" w:lineRule="auto"/>
        <w:jc w:val="both"/>
        <w:rPr>
          <w:rFonts w:ascii="Times New Roman" w:eastAsia="Times New Roman" w:hAnsi="Times New Roman" w:cs="Times New Roman"/>
          <w:lang w:val="en-US"/>
        </w:rPr>
      </w:pPr>
      <w:r w:rsidRPr="009F0A3E">
        <w:rPr>
          <w:rFonts w:ascii="Times New Roman" w:eastAsia="Times New Roman" w:hAnsi="Times New Roman" w:cs="Times New Roman"/>
          <w:lang w:val="en-US"/>
        </w:rPr>
        <w:t xml:space="preserve">Several limitations must be acknowledged. First, the total number of included studies per outcome was small (two to three per meta-analysis), limiting statistical power, and the ability to explore heterogeneity through subgroup </w:t>
      </w:r>
      <w:proofErr w:type="spellStart"/>
      <w:r w:rsidRPr="009F0A3E">
        <w:rPr>
          <w:rFonts w:ascii="Times New Roman" w:eastAsia="Times New Roman" w:hAnsi="Times New Roman" w:cs="Times New Roman"/>
          <w:lang w:val="en-US"/>
        </w:rPr>
        <w:t>analyse</w:t>
      </w:r>
      <w:proofErr w:type="spellEnd"/>
      <w:r w:rsidRPr="009F0A3E">
        <w:rPr>
          <w:rFonts w:ascii="Times New Roman" w:eastAsia="Times New Roman" w:hAnsi="Times New Roman" w:cs="Times New Roman"/>
          <w:lang w:val="en-US"/>
        </w:rPr>
        <w:t xml:space="preserve">. Second, the included studies used different SGLT2i agents at varying doses and durations, and while a class effect is assumed, agent-specific differences in neuroprotective potency cannot be excluded. Third, follow-up durations were generally short, ranging from </w:t>
      </w:r>
      <w:r w:rsidR="00181E86">
        <w:rPr>
          <w:rFonts w:ascii="Times New Roman" w:eastAsia="Times New Roman" w:hAnsi="Times New Roman" w:cs="Times New Roman"/>
          <w:lang w:val="en-US"/>
        </w:rPr>
        <w:t xml:space="preserve">three months </w:t>
      </w:r>
      <w:r w:rsidRPr="009F0A3E">
        <w:rPr>
          <w:rFonts w:ascii="Times New Roman" w:eastAsia="Times New Roman" w:hAnsi="Times New Roman" w:cs="Times New Roman"/>
          <w:lang w:val="en-US"/>
        </w:rPr>
        <w:t>to three years, and the natural time course of meaningful axonal regeneration likely exceeds the observation period of most included trials. Finally, the possibility of publication bias cannot be excluded given the small evidence base, though funnel plot assessment was not feasible at this scale.</w:t>
      </w:r>
    </w:p>
    <w:p w14:paraId="3F73CB32" w14:textId="77777777" w:rsidR="009F0A3E" w:rsidRPr="009F0A3E" w:rsidRDefault="009F0A3E" w:rsidP="00C208BC">
      <w:pPr>
        <w:spacing w:before="100" w:beforeAutospacing="1" w:after="100" w:afterAutospacing="1" w:line="360" w:lineRule="auto"/>
        <w:jc w:val="both"/>
        <w:outlineLvl w:val="3"/>
        <w:rPr>
          <w:rFonts w:ascii="Times New Roman" w:eastAsia="Times New Roman" w:hAnsi="Times New Roman" w:cs="Times New Roman"/>
          <w:b/>
          <w:bCs/>
          <w:lang w:val="en-US"/>
        </w:rPr>
      </w:pPr>
      <w:r w:rsidRPr="009F0A3E">
        <w:rPr>
          <w:rFonts w:ascii="Times New Roman" w:eastAsia="Times New Roman" w:hAnsi="Times New Roman" w:cs="Times New Roman"/>
          <w:b/>
          <w:bCs/>
          <w:lang w:val="en-US"/>
        </w:rPr>
        <w:t>4.9 Clinical Implications and Future Directions</w:t>
      </w:r>
    </w:p>
    <w:p w14:paraId="584712CE" w14:textId="2C23809D" w:rsidR="009F0A3E" w:rsidRDefault="009F0A3E" w:rsidP="00EE5ADB">
      <w:pPr>
        <w:spacing w:before="100" w:beforeAutospacing="1" w:after="100" w:afterAutospacing="1" w:line="360" w:lineRule="auto"/>
        <w:jc w:val="both"/>
        <w:rPr>
          <w:rFonts w:ascii="Times New Roman" w:eastAsia="Times New Roman" w:hAnsi="Times New Roman" w:cs="Times New Roman"/>
          <w:lang w:val="en-US"/>
        </w:rPr>
      </w:pPr>
      <w:r w:rsidRPr="009F0A3E">
        <w:rPr>
          <w:rFonts w:ascii="Times New Roman" w:eastAsia="Times New Roman" w:hAnsi="Times New Roman" w:cs="Times New Roman"/>
          <w:lang w:val="en-US"/>
        </w:rPr>
        <w:t xml:space="preserve">If confirmed in larger and more rigorously designed trials, the improvement in sural nerve sensory conduction velocity </w:t>
      </w:r>
      <w:r w:rsidR="008157B6">
        <w:rPr>
          <w:rFonts w:ascii="Times New Roman" w:eastAsia="Times New Roman" w:hAnsi="Times New Roman" w:cs="Times New Roman"/>
          <w:lang w:val="en-US"/>
        </w:rPr>
        <w:t xml:space="preserve">and peroneal nerve motor latency </w:t>
      </w:r>
      <w:r w:rsidRPr="009F0A3E">
        <w:rPr>
          <w:rFonts w:ascii="Times New Roman" w:eastAsia="Times New Roman" w:hAnsi="Times New Roman" w:cs="Times New Roman"/>
          <w:lang w:val="en-US"/>
        </w:rPr>
        <w:t>observed in this meta-analysis would represent a meaningful step toward establishing SGLT2 inhibitors as a candidate disease-modifying therapy for PDN. The clinical significance of this is substantial: PDN affects up to 50% of people with diabetes, contributes directly to lower-limb amputation, falls, and markedly reduced quality of life, and current management remains largely symptomatic</w:t>
      </w:r>
      <w:r w:rsidR="005F7065">
        <w:rPr>
          <w:rFonts w:ascii="Times New Roman" w:eastAsia="Times New Roman" w:hAnsi="Times New Roman" w:cs="Times New Roman"/>
          <w:lang w:val="en-US"/>
        </w:rPr>
        <w:t xml:space="preserve"> </w:t>
      </w:r>
      <w:r w:rsidR="005F7065">
        <w:rPr>
          <w:rFonts w:ascii="Times New Roman" w:eastAsia="Times New Roman" w:hAnsi="Times New Roman" w:cs="Times New Roman"/>
          <w:lang w:val="en-US"/>
        </w:rPr>
        <w:fldChar w:fldCharType="begin"/>
      </w:r>
      <w:r w:rsidR="00EE5ADB">
        <w:rPr>
          <w:rFonts w:ascii="Times New Roman" w:eastAsia="Times New Roman" w:hAnsi="Times New Roman" w:cs="Times New Roman"/>
          <w:lang w:val="en-US"/>
        </w:rPr>
        <w:instrText xml:space="preserve"> ADDIN ZOTERO_ITEM CSL_CITATION {"citationID":"FjJ0MFUk","properties":{"unsorted":false,"formattedCitation":"[34]","plainCitation":"[34]","noteIndex":0},"citationItems":[{"id":178,"uris":["http://zotero.org/groups/6437514/items/SN4KASVF"],"itemData":{"id":178,"type":"article-journal","container-title":"Current Diabetes Reports","DOI":"10.1007/s11892-019-1212-8","ISSN":"1534-4827, 1539-0829","issue":"10","journalAbbreviation":"Curr Diab Rep","language":"en","page":"86","source":"DOI.org (Crossref)","title":"Epidemiology of Peripheral Neuropathy and Lower Extremity Disease in Diabetes","volume":"19","author":[{"family":"Hicks","given":"Caitlin W."},{"family":"Selvin","given":"Elizabeth"}],"issued":{"date-parts":[["2019",10]]}}}],"schema":"https://github.com/citation-style-language/schema/raw/master/csl-citation.json"} </w:instrText>
      </w:r>
      <w:r w:rsidR="005F7065">
        <w:rPr>
          <w:rFonts w:ascii="Times New Roman" w:eastAsia="Times New Roman" w:hAnsi="Times New Roman" w:cs="Times New Roman"/>
          <w:lang w:val="en-US"/>
        </w:rPr>
        <w:fldChar w:fldCharType="separate"/>
      </w:r>
      <w:r w:rsidR="00EE5ADB" w:rsidRPr="00EE5ADB">
        <w:rPr>
          <w:rFonts w:ascii="Times New Roman" w:hAnsi="Times New Roman" w:cs="Times New Roman"/>
          <w:lang w:val="en-US"/>
        </w:rPr>
        <w:t>[34]</w:t>
      </w:r>
      <w:r w:rsidR="005F7065">
        <w:rPr>
          <w:rFonts w:ascii="Times New Roman" w:eastAsia="Times New Roman" w:hAnsi="Times New Roman" w:cs="Times New Roman"/>
          <w:lang w:val="en-US"/>
        </w:rPr>
        <w:fldChar w:fldCharType="end"/>
      </w:r>
      <w:r w:rsidRPr="009F0A3E">
        <w:rPr>
          <w:rFonts w:ascii="Times New Roman" w:eastAsia="Times New Roman" w:hAnsi="Times New Roman" w:cs="Times New Roman"/>
          <w:lang w:val="en-US"/>
        </w:rPr>
        <w:t xml:space="preserve">. Future RCTs investigating SGLT2i therapy in PDN should pre-specify electrodiagnostic NCS parameters as primary endpoints, include CCM and IENFD as </w:t>
      </w:r>
      <w:proofErr w:type="spellStart"/>
      <w:r w:rsidRPr="009F0A3E">
        <w:rPr>
          <w:rFonts w:ascii="Times New Roman" w:eastAsia="Times New Roman" w:hAnsi="Times New Roman" w:cs="Times New Roman"/>
          <w:lang w:val="en-US"/>
        </w:rPr>
        <w:t>standardised</w:t>
      </w:r>
      <w:proofErr w:type="spellEnd"/>
      <w:r w:rsidRPr="009F0A3E">
        <w:rPr>
          <w:rFonts w:ascii="Times New Roman" w:eastAsia="Times New Roman" w:hAnsi="Times New Roman" w:cs="Times New Roman"/>
          <w:lang w:val="en-US"/>
        </w:rPr>
        <w:t xml:space="preserve"> secondary measures of small </w:t>
      </w:r>
      <w:proofErr w:type="spellStart"/>
      <w:r w:rsidRPr="009F0A3E">
        <w:rPr>
          <w:rFonts w:ascii="Times New Roman" w:eastAsia="Times New Roman" w:hAnsi="Times New Roman" w:cs="Times New Roman"/>
          <w:lang w:val="en-US"/>
        </w:rPr>
        <w:t>fibre</w:t>
      </w:r>
      <w:proofErr w:type="spellEnd"/>
      <w:r w:rsidRPr="009F0A3E">
        <w:rPr>
          <w:rFonts w:ascii="Times New Roman" w:eastAsia="Times New Roman" w:hAnsi="Times New Roman" w:cs="Times New Roman"/>
          <w:lang w:val="en-US"/>
        </w:rPr>
        <w:t xml:space="preserve"> integrity, recruit participants with confirmed </w:t>
      </w:r>
      <w:r w:rsidRPr="009F0A3E">
        <w:rPr>
          <w:rFonts w:ascii="Times New Roman" w:eastAsia="Times New Roman" w:hAnsi="Times New Roman" w:cs="Times New Roman"/>
          <w:lang w:val="en-US"/>
        </w:rPr>
        <w:lastRenderedPageBreak/>
        <w:t xml:space="preserve">electrodiagnostic evidence of neuropathy at baseline, incorporate follow-up periods of at least twelve months, include active </w:t>
      </w:r>
      <w:proofErr w:type="spellStart"/>
      <w:r w:rsidRPr="009F0A3E">
        <w:rPr>
          <w:rFonts w:ascii="Times New Roman" w:eastAsia="Times New Roman" w:hAnsi="Times New Roman" w:cs="Times New Roman"/>
          <w:lang w:val="en-US"/>
        </w:rPr>
        <w:t>glycaemic</w:t>
      </w:r>
      <w:proofErr w:type="spellEnd"/>
      <w:r w:rsidRPr="009F0A3E">
        <w:rPr>
          <w:rFonts w:ascii="Times New Roman" w:eastAsia="Times New Roman" w:hAnsi="Times New Roman" w:cs="Times New Roman"/>
          <w:lang w:val="en-US"/>
        </w:rPr>
        <w:t xml:space="preserve"> control comparators to isolate SGLT2i-specific effects, and stratify analyses by neuropathy severity, diabetes type, and SGLT2i agent to explore potential sources of treatment effect modification.</w:t>
      </w:r>
    </w:p>
    <w:p w14:paraId="25459178" w14:textId="77777777" w:rsidR="003345A2" w:rsidRDefault="003345A2" w:rsidP="002B7C1E">
      <w:pPr>
        <w:spacing w:before="100" w:beforeAutospacing="1" w:after="100" w:afterAutospacing="1" w:line="360" w:lineRule="auto"/>
        <w:jc w:val="both"/>
        <w:rPr>
          <w:rFonts w:ascii="Times New Roman" w:eastAsia="Times New Roman" w:hAnsi="Times New Roman" w:cs="Times New Roman"/>
          <w:lang w:val="en-US"/>
        </w:rPr>
      </w:pPr>
    </w:p>
    <w:p w14:paraId="5FFBAD72" w14:textId="77777777" w:rsidR="003345A2" w:rsidRDefault="003345A2" w:rsidP="002B7C1E">
      <w:pPr>
        <w:spacing w:before="100" w:beforeAutospacing="1" w:after="100" w:afterAutospacing="1" w:line="360" w:lineRule="auto"/>
        <w:jc w:val="both"/>
        <w:rPr>
          <w:rFonts w:ascii="Times New Roman" w:eastAsia="Times New Roman" w:hAnsi="Times New Roman" w:cs="Times New Roman"/>
          <w:lang w:val="en-US"/>
        </w:rPr>
        <w:sectPr w:rsidR="003345A2" w:rsidSect="00AC58D8">
          <w:headerReference w:type="default" r:id="rId6"/>
          <w:pgSz w:w="11906" w:h="16838" w:code="9"/>
          <w:pgMar w:top="1440" w:right="1440" w:bottom="1440" w:left="1440" w:header="720" w:footer="720" w:gutter="0"/>
          <w:pgNumType w:start="1"/>
          <w:cols w:space="720"/>
          <w:docGrid w:linePitch="299"/>
        </w:sectPr>
      </w:pPr>
    </w:p>
    <w:p w14:paraId="0A582B02" w14:textId="4C59A266" w:rsidR="004C73A6" w:rsidRPr="004C73A6" w:rsidRDefault="004C73A6" w:rsidP="004C73A6">
      <w:pPr>
        <w:pStyle w:val="Heading1"/>
        <w:spacing w:line="360" w:lineRule="auto"/>
        <w:rPr>
          <w:rFonts w:ascii="Times New Roman" w:eastAsia="Times New Roman" w:hAnsi="Times New Roman" w:cs="Times New Roman"/>
          <w:lang w:val="en-US"/>
        </w:rPr>
      </w:pPr>
      <w:r>
        <w:lastRenderedPageBreak/>
        <w:t xml:space="preserve">5. </w:t>
      </w:r>
      <w:r w:rsidRPr="004C73A6">
        <w:t>Conclusion</w:t>
      </w:r>
    </w:p>
    <w:p w14:paraId="73768F3D" w14:textId="1548E06B" w:rsidR="004C73A6" w:rsidRPr="004C73A6" w:rsidRDefault="004C73A6" w:rsidP="004C73A6">
      <w:pPr>
        <w:spacing w:before="100" w:beforeAutospacing="1" w:after="100" w:afterAutospacing="1" w:line="360" w:lineRule="auto"/>
        <w:jc w:val="both"/>
        <w:rPr>
          <w:rFonts w:ascii="Times New Roman" w:eastAsia="Times New Roman" w:hAnsi="Times New Roman" w:cs="Times New Roman"/>
          <w:lang w:val="en-US"/>
        </w:rPr>
      </w:pPr>
      <w:r w:rsidRPr="004C73A6">
        <w:rPr>
          <w:rFonts w:ascii="Times New Roman" w:eastAsia="Times New Roman" w:hAnsi="Times New Roman" w:cs="Times New Roman"/>
          <w:lang w:val="en-US"/>
        </w:rPr>
        <w:t>This meta-analysis provides preliminary evidence that SGLT2 inhibitors may improve sensory peripheral nerve function in diabetic peripheral neuropathy, with the most robust and consistent finding being a significant improvement in sural nerve sensory conduction velocity and peroneal nerve motor latency across RCTs. These findings suggest a neuroprotective effect</w:t>
      </w:r>
      <w:r>
        <w:rPr>
          <w:rFonts w:ascii="Times New Roman" w:eastAsia="Times New Roman" w:hAnsi="Times New Roman" w:cs="Times New Roman"/>
          <w:lang w:val="en-US"/>
        </w:rPr>
        <w:t xml:space="preserve"> mediated by SGLT2 inhibitors. </w:t>
      </w:r>
      <w:r w:rsidRPr="004C73A6">
        <w:rPr>
          <w:rFonts w:ascii="Times New Roman" w:eastAsia="Times New Roman" w:hAnsi="Times New Roman" w:cs="Times New Roman"/>
          <w:lang w:val="en-US"/>
        </w:rPr>
        <w:t xml:space="preserve">Evidence for effects on nerve amplitude, corneal nerve morphology, and oxidative stress markers remains insufficient or inconclusive. Larger </w:t>
      </w:r>
      <w:proofErr w:type="spellStart"/>
      <w:r w:rsidRPr="004C73A6">
        <w:rPr>
          <w:rFonts w:ascii="Times New Roman" w:eastAsia="Times New Roman" w:hAnsi="Times New Roman" w:cs="Times New Roman"/>
          <w:lang w:val="en-US"/>
        </w:rPr>
        <w:t>randomised</w:t>
      </w:r>
      <w:proofErr w:type="spellEnd"/>
      <w:r w:rsidRPr="004C73A6">
        <w:rPr>
          <w:rFonts w:ascii="Times New Roman" w:eastAsia="Times New Roman" w:hAnsi="Times New Roman" w:cs="Times New Roman"/>
          <w:lang w:val="en-US"/>
        </w:rPr>
        <w:t xml:space="preserve"> controlled trials with pre-specified electrodiagnostic endpoints, </w:t>
      </w:r>
      <w:proofErr w:type="spellStart"/>
      <w:r w:rsidRPr="004C73A6">
        <w:rPr>
          <w:rFonts w:ascii="Times New Roman" w:eastAsia="Times New Roman" w:hAnsi="Times New Roman" w:cs="Times New Roman"/>
          <w:lang w:val="en-US"/>
        </w:rPr>
        <w:t>standardised</w:t>
      </w:r>
      <w:proofErr w:type="spellEnd"/>
      <w:r w:rsidRPr="004C73A6">
        <w:rPr>
          <w:rFonts w:ascii="Times New Roman" w:eastAsia="Times New Roman" w:hAnsi="Times New Roman" w:cs="Times New Roman"/>
          <w:lang w:val="en-US"/>
        </w:rPr>
        <w:t xml:space="preserve"> neuropathy assessment, and longer follow-up are required to confirm these findings and establish whether SGLT2 inhibitors can modify the natural history of diabetic peripheral neuropathy.</w:t>
      </w:r>
    </w:p>
    <w:p w14:paraId="37F2DA7F" w14:textId="77777777" w:rsidR="003345A2" w:rsidRPr="009F0A3E" w:rsidRDefault="003345A2" w:rsidP="002B7C1E">
      <w:pPr>
        <w:spacing w:before="100" w:beforeAutospacing="1" w:after="100" w:afterAutospacing="1" w:line="360" w:lineRule="auto"/>
        <w:jc w:val="both"/>
        <w:rPr>
          <w:rFonts w:ascii="Times New Roman" w:eastAsia="Times New Roman" w:hAnsi="Times New Roman" w:cs="Times New Roman"/>
          <w:lang w:val="en-US"/>
        </w:rPr>
      </w:pPr>
    </w:p>
    <w:p w14:paraId="58D20051" w14:textId="11D8B5C8" w:rsidR="00200DF4" w:rsidRDefault="00000000" w:rsidP="00C208BC">
      <w:pPr>
        <w:spacing w:after="240" w:line="360" w:lineRule="auto"/>
        <w:rPr>
          <w:rFonts w:ascii="Times New Roman" w:eastAsia="Times New Roman" w:hAnsi="Times New Roman" w:cs="Times New Roman"/>
        </w:rPr>
      </w:pPr>
      <w:r>
        <w:br w:type="page"/>
      </w:r>
    </w:p>
    <w:p w14:paraId="0B62FB18" w14:textId="77777777" w:rsidR="00200DF4" w:rsidRDefault="00000000" w:rsidP="00C208BC">
      <w:pPr>
        <w:spacing w:after="120" w:line="360" w:lineRule="auto"/>
        <w:rPr>
          <w:rFonts w:ascii="Times New Roman" w:eastAsia="Times New Roman" w:hAnsi="Times New Roman" w:cs="Times New Roman"/>
        </w:rPr>
      </w:pPr>
      <w:r>
        <w:rPr>
          <w:rFonts w:ascii="Times New Roman" w:eastAsia="Times New Roman" w:hAnsi="Times New Roman" w:cs="Times New Roman"/>
        </w:rPr>
        <w:lastRenderedPageBreak/>
        <w:t>Disclosures: The authors have no conflict of interest to disclose.</w:t>
      </w:r>
    </w:p>
    <w:p w14:paraId="6F478F1F" w14:textId="77777777" w:rsidR="00200DF4" w:rsidRDefault="00200DF4" w:rsidP="00C208BC">
      <w:pPr>
        <w:spacing w:after="120" w:line="360" w:lineRule="auto"/>
        <w:rPr>
          <w:rFonts w:ascii="Times New Roman" w:eastAsia="Times New Roman" w:hAnsi="Times New Roman" w:cs="Times New Roman"/>
        </w:rPr>
      </w:pPr>
    </w:p>
    <w:p w14:paraId="274A9C70" w14:textId="01521135" w:rsidR="00200DF4" w:rsidRDefault="00000000" w:rsidP="00C208BC">
      <w:pPr>
        <w:spacing w:after="120" w:line="360" w:lineRule="auto"/>
        <w:rPr>
          <w:rFonts w:ascii="Times New Roman" w:eastAsia="Times New Roman" w:hAnsi="Times New Roman" w:cs="Times New Roman"/>
        </w:rPr>
      </w:pPr>
      <w:r>
        <w:rPr>
          <w:rFonts w:ascii="Times New Roman" w:eastAsia="Times New Roman" w:hAnsi="Times New Roman" w:cs="Times New Roman"/>
        </w:rPr>
        <w:t>Acknowledgments:</w:t>
      </w:r>
      <w:r w:rsidR="0050237C">
        <w:rPr>
          <w:rFonts w:ascii="Times New Roman" w:eastAsia="Times New Roman" w:hAnsi="Times New Roman" w:cs="Times New Roman"/>
        </w:rPr>
        <w:t xml:space="preserve"> The authors would like to thank </w:t>
      </w:r>
      <w:proofErr w:type="spellStart"/>
      <w:r w:rsidR="0050237C">
        <w:rPr>
          <w:rFonts w:ascii="Times New Roman" w:eastAsia="Times New Roman" w:hAnsi="Times New Roman" w:cs="Times New Roman"/>
        </w:rPr>
        <w:t>Saifeldeen</w:t>
      </w:r>
      <w:proofErr w:type="spellEnd"/>
      <w:r w:rsidR="0050237C">
        <w:rPr>
          <w:rFonts w:ascii="Times New Roman" w:eastAsia="Times New Roman" w:hAnsi="Times New Roman" w:cs="Times New Roman"/>
        </w:rPr>
        <w:t xml:space="preserve"> A Ahmed for assistance with R code which made the meta-analysis possible.</w:t>
      </w:r>
    </w:p>
    <w:p w14:paraId="7460380C" w14:textId="77777777" w:rsidR="00200DF4" w:rsidRDefault="00200DF4" w:rsidP="00C208BC">
      <w:pPr>
        <w:spacing w:after="120" w:line="360" w:lineRule="auto"/>
        <w:rPr>
          <w:rFonts w:ascii="Times New Roman" w:eastAsia="Times New Roman" w:hAnsi="Times New Roman" w:cs="Times New Roman"/>
        </w:rPr>
      </w:pPr>
    </w:p>
    <w:p w14:paraId="2A530984" w14:textId="77777777" w:rsidR="00200DF4" w:rsidRDefault="00000000" w:rsidP="00C208BC">
      <w:pPr>
        <w:spacing w:after="120" w:line="360" w:lineRule="auto"/>
        <w:rPr>
          <w:rFonts w:ascii="Times New Roman" w:eastAsia="Times New Roman" w:hAnsi="Times New Roman" w:cs="Times New Roman"/>
        </w:rPr>
      </w:pPr>
      <w:r>
        <w:rPr>
          <w:rFonts w:ascii="Times New Roman" w:eastAsia="Times New Roman" w:hAnsi="Times New Roman" w:cs="Times New Roman"/>
        </w:rPr>
        <w:t>Availability of data: Data are available upon reasonable request from corresponding author.</w:t>
      </w:r>
    </w:p>
    <w:p w14:paraId="4EA0C8D2" w14:textId="77777777" w:rsidR="00200DF4" w:rsidRDefault="00200DF4" w:rsidP="00C208BC">
      <w:pPr>
        <w:spacing w:after="120" w:line="360" w:lineRule="auto"/>
        <w:rPr>
          <w:rFonts w:ascii="Times New Roman" w:eastAsia="Times New Roman" w:hAnsi="Times New Roman" w:cs="Times New Roman"/>
        </w:rPr>
      </w:pPr>
    </w:p>
    <w:p w14:paraId="0944FF27" w14:textId="77777777" w:rsidR="00200DF4" w:rsidRDefault="00000000" w:rsidP="00C208BC">
      <w:pPr>
        <w:spacing w:after="120" w:line="360" w:lineRule="auto"/>
        <w:rPr>
          <w:rFonts w:ascii="Times New Roman" w:eastAsia="Times New Roman" w:hAnsi="Times New Roman" w:cs="Times New Roman"/>
        </w:rPr>
      </w:pPr>
      <w:r>
        <w:rPr>
          <w:rFonts w:ascii="Times New Roman" w:eastAsia="Times New Roman" w:hAnsi="Times New Roman" w:cs="Times New Roman"/>
        </w:rPr>
        <w:t>Funding source: None to declare</w:t>
      </w:r>
    </w:p>
    <w:p w14:paraId="36FD2CFF" w14:textId="77777777" w:rsidR="00200DF4" w:rsidRDefault="00000000" w:rsidP="00C208BC">
      <w:pPr>
        <w:spacing w:after="120" w:line="360" w:lineRule="auto"/>
        <w:rPr>
          <w:rFonts w:ascii="Times New Roman" w:eastAsia="Times New Roman" w:hAnsi="Times New Roman" w:cs="Times New Roman"/>
        </w:rPr>
      </w:pPr>
      <w:r>
        <w:br w:type="page"/>
      </w:r>
    </w:p>
    <w:p w14:paraId="29B40476" w14:textId="77777777" w:rsidR="00200DF4" w:rsidRPr="00C87ADC" w:rsidRDefault="00000000" w:rsidP="00C208BC">
      <w:pPr>
        <w:pStyle w:val="Heading1"/>
        <w:spacing w:line="360" w:lineRule="auto"/>
      </w:pPr>
      <w:bookmarkStart w:id="4" w:name="_6d595nyjjl68" w:colFirst="0" w:colLast="0"/>
      <w:bookmarkEnd w:id="4"/>
      <w:r w:rsidRPr="00C87ADC">
        <w:lastRenderedPageBreak/>
        <w:t>5. References</w:t>
      </w:r>
    </w:p>
    <w:p w14:paraId="78770758" w14:textId="77777777" w:rsidR="00EE5ADB" w:rsidRPr="00EE5ADB" w:rsidRDefault="00AC58D8" w:rsidP="00EE5ADB">
      <w:pPr>
        <w:pStyle w:val="Bibliography"/>
      </w:pPr>
      <w:r>
        <w:fldChar w:fldCharType="begin"/>
      </w:r>
      <w:r w:rsidR="00EE5ADB">
        <w:instrText xml:space="preserve"> ADDIN ZOTERO_BIBL {"uncited":[],"omitted":[],"custom":[]} CSL_BIBLIOGRAPHY </w:instrText>
      </w:r>
      <w:r>
        <w:fldChar w:fldCharType="separate"/>
      </w:r>
      <w:r w:rsidR="00EE5ADB" w:rsidRPr="00EE5ADB">
        <w:t xml:space="preserve">[1] </w:t>
      </w:r>
      <w:r w:rsidR="00EE5ADB" w:rsidRPr="00EE5ADB">
        <w:tab/>
        <w:t xml:space="preserve">Kurz FT, Jende JM, Salomir R, et al. Diabetic Peripheral Neuropathy: Current Epidemiology, Diagnostic Advances, Biomarkers, and Management Strategies. </w:t>
      </w:r>
      <w:r w:rsidR="00EE5ADB" w:rsidRPr="00EE5ADB">
        <w:rPr>
          <w:i/>
          <w:iCs/>
        </w:rPr>
        <w:t>J Diabetes Res</w:t>
      </w:r>
      <w:r w:rsidR="00EE5ADB" w:rsidRPr="00EE5ADB">
        <w:t xml:space="preserve"> 2026; 2026: 9080699.</w:t>
      </w:r>
    </w:p>
    <w:p w14:paraId="0961A8D1" w14:textId="77777777" w:rsidR="00EE5ADB" w:rsidRPr="00EE5ADB" w:rsidRDefault="00EE5ADB" w:rsidP="00EE5ADB">
      <w:pPr>
        <w:pStyle w:val="Bibliography"/>
      </w:pPr>
      <w:r w:rsidRPr="00EE5ADB">
        <w:t xml:space="preserve">[2] </w:t>
      </w:r>
      <w:r w:rsidRPr="00EE5ADB">
        <w:tab/>
        <w:t xml:space="preserve">Dias Â, Ferreira G, Vilaça M, et al. Quality of Life in Patients with Diabetic Foot Ulcers: A Cross-sectional Study. </w:t>
      </w:r>
      <w:r w:rsidRPr="00EE5ADB">
        <w:rPr>
          <w:i/>
          <w:iCs/>
        </w:rPr>
        <w:t>Adv Skin Wound Care</w:t>
      </w:r>
      <w:r w:rsidRPr="00EE5ADB">
        <w:t xml:space="preserve"> 2022; 35: 661–668.</w:t>
      </w:r>
    </w:p>
    <w:p w14:paraId="0296187F" w14:textId="77777777" w:rsidR="00EE5ADB" w:rsidRPr="00EE5ADB" w:rsidRDefault="00EE5ADB" w:rsidP="00EE5ADB">
      <w:pPr>
        <w:pStyle w:val="Bibliography"/>
      </w:pPr>
      <w:r w:rsidRPr="00EE5ADB">
        <w:t xml:space="preserve">[3] </w:t>
      </w:r>
      <w:r w:rsidRPr="00EE5ADB">
        <w:tab/>
        <w:t>Oe M, Saad SS, Jais S, et al. Impact of foot ulcer</w:t>
      </w:r>
      <w:r w:rsidRPr="00EE5ADB">
        <w:rPr>
          <w:rFonts w:ascii="Cambria Math" w:hAnsi="Cambria Math" w:cs="Cambria Math"/>
        </w:rPr>
        <w:t>‐</w:t>
      </w:r>
      <w:r w:rsidRPr="00EE5ADB">
        <w:t xml:space="preserve">related factors on quality of life in patients with diabetes: Prospective observational study. </w:t>
      </w:r>
      <w:r w:rsidRPr="00EE5ADB">
        <w:rPr>
          <w:i/>
          <w:iCs/>
        </w:rPr>
        <w:t>Int Wound J</w:t>
      </w:r>
      <w:r w:rsidRPr="00EE5ADB">
        <w:t xml:space="preserve"> 2024; 21: e14895.</w:t>
      </w:r>
    </w:p>
    <w:p w14:paraId="533666F3" w14:textId="77777777" w:rsidR="00EE5ADB" w:rsidRPr="00EE5ADB" w:rsidRDefault="00EE5ADB" w:rsidP="00EE5ADB">
      <w:pPr>
        <w:pStyle w:val="Bibliography"/>
      </w:pPr>
      <w:r w:rsidRPr="00EE5ADB">
        <w:t xml:space="preserve">[4] </w:t>
      </w:r>
      <w:r w:rsidRPr="00EE5ADB">
        <w:tab/>
        <w:t xml:space="preserve">Baum P, Toyka KV, </w:t>
      </w:r>
      <w:proofErr w:type="spellStart"/>
      <w:r w:rsidRPr="00EE5ADB">
        <w:t>Blüher</w:t>
      </w:r>
      <w:proofErr w:type="spellEnd"/>
      <w:r w:rsidRPr="00EE5ADB">
        <w:t xml:space="preserve"> M, et al. Inflammatory Mechanisms in the Pathophysiology of Diabetic Peripheral Neuropathy (DN)—New Aspects. </w:t>
      </w:r>
      <w:r w:rsidRPr="00EE5ADB">
        <w:rPr>
          <w:i/>
          <w:iCs/>
        </w:rPr>
        <w:t>Int J Mol Sci</w:t>
      </w:r>
      <w:r w:rsidRPr="00EE5ADB">
        <w:t xml:space="preserve"> 2021; 22: 10835.</w:t>
      </w:r>
    </w:p>
    <w:p w14:paraId="69185590" w14:textId="77777777" w:rsidR="00EE5ADB" w:rsidRPr="00EE5ADB" w:rsidRDefault="00EE5ADB" w:rsidP="00EE5ADB">
      <w:pPr>
        <w:pStyle w:val="Bibliography"/>
      </w:pPr>
      <w:r w:rsidRPr="00EE5ADB">
        <w:t xml:space="preserve">[5] </w:t>
      </w:r>
      <w:r w:rsidRPr="00EE5ADB">
        <w:tab/>
        <w:t xml:space="preserve">Fan B, Chopp M, Zhang ZG, et al. Emerging Roles of microRNAs as Biomarkers and Therapeutic Targets for Diabetic Neuropathy. </w:t>
      </w:r>
      <w:r w:rsidRPr="00EE5ADB">
        <w:rPr>
          <w:i/>
          <w:iCs/>
        </w:rPr>
        <w:t>Front Neurol</w:t>
      </w:r>
      <w:r w:rsidRPr="00EE5ADB">
        <w:t xml:space="preserve"> 2020; 11: 558758.</w:t>
      </w:r>
    </w:p>
    <w:p w14:paraId="65976B9F" w14:textId="77777777" w:rsidR="00EE5ADB" w:rsidRPr="00EE5ADB" w:rsidRDefault="00EE5ADB" w:rsidP="00EE5ADB">
      <w:pPr>
        <w:pStyle w:val="Bibliography"/>
      </w:pPr>
      <w:r w:rsidRPr="00EE5ADB">
        <w:t xml:space="preserve">[6] </w:t>
      </w:r>
      <w:r w:rsidRPr="00EE5ADB">
        <w:tab/>
        <w:t xml:space="preserve">Gavini CK, Bookout AL, Bonomo R, et al. Liver X Receptors Protect Dorsal Root Ganglia from Obesity-Induced Endoplasmic Reticulum Stress and Mechanical Allodynia. </w:t>
      </w:r>
      <w:r w:rsidRPr="00EE5ADB">
        <w:rPr>
          <w:i/>
          <w:iCs/>
        </w:rPr>
        <w:t>Cell Rep</w:t>
      </w:r>
      <w:r w:rsidRPr="00EE5ADB">
        <w:t xml:space="preserve"> 2018; 25: 271-277.e4.</w:t>
      </w:r>
    </w:p>
    <w:p w14:paraId="7D08ABB1" w14:textId="77777777" w:rsidR="00EE5ADB" w:rsidRPr="00EE5ADB" w:rsidRDefault="00EE5ADB" w:rsidP="00EE5ADB">
      <w:pPr>
        <w:pStyle w:val="Bibliography"/>
      </w:pPr>
      <w:r w:rsidRPr="00EE5ADB">
        <w:t xml:space="preserve">[7] </w:t>
      </w:r>
      <w:r w:rsidRPr="00EE5ADB">
        <w:tab/>
        <w:t xml:space="preserve">Fonseca-Correa JI, Correa-Rotter R. Sodium-Glucose Cotransporter 2 Inhibitors Mechanisms of Action: A Review. </w:t>
      </w:r>
      <w:r w:rsidRPr="00EE5ADB">
        <w:rPr>
          <w:i/>
          <w:iCs/>
        </w:rPr>
        <w:t>Front Med</w:t>
      </w:r>
      <w:r w:rsidRPr="00EE5ADB">
        <w:t xml:space="preserve"> 2021; 8: 777861.</w:t>
      </w:r>
    </w:p>
    <w:p w14:paraId="50AFABF2" w14:textId="77777777" w:rsidR="00EE5ADB" w:rsidRPr="00EE5ADB" w:rsidRDefault="00EE5ADB" w:rsidP="00EE5ADB">
      <w:pPr>
        <w:pStyle w:val="Bibliography"/>
      </w:pPr>
      <w:r w:rsidRPr="00EE5ADB">
        <w:t xml:space="preserve">[8] </w:t>
      </w:r>
      <w:r w:rsidRPr="00EE5ADB">
        <w:tab/>
        <w:t xml:space="preserve">Cowie MR, Fisher M. SGLT2 inhibitors: mechanisms of cardiovascular benefit beyond </w:t>
      </w:r>
      <w:proofErr w:type="spellStart"/>
      <w:r w:rsidRPr="00EE5ADB">
        <w:t>glycaemic</w:t>
      </w:r>
      <w:proofErr w:type="spellEnd"/>
      <w:r w:rsidRPr="00EE5ADB">
        <w:t xml:space="preserve"> control. </w:t>
      </w:r>
      <w:r w:rsidRPr="00EE5ADB">
        <w:rPr>
          <w:i/>
          <w:iCs/>
        </w:rPr>
        <w:t xml:space="preserve">Nat Rev </w:t>
      </w:r>
      <w:proofErr w:type="spellStart"/>
      <w:r w:rsidRPr="00EE5ADB">
        <w:rPr>
          <w:i/>
          <w:iCs/>
        </w:rPr>
        <w:t>Cardiol</w:t>
      </w:r>
      <w:proofErr w:type="spellEnd"/>
      <w:r w:rsidRPr="00EE5ADB">
        <w:t xml:space="preserve"> 2020; 17: 761–772.</w:t>
      </w:r>
    </w:p>
    <w:p w14:paraId="7E644C7C" w14:textId="77777777" w:rsidR="00EE5ADB" w:rsidRPr="00EE5ADB" w:rsidRDefault="00EE5ADB" w:rsidP="00EE5ADB">
      <w:pPr>
        <w:pStyle w:val="Bibliography"/>
      </w:pPr>
      <w:r w:rsidRPr="00EE5ADB">
        <w:t xml:space="preserve">[9] </w:t>
      </w:r>
      <w:r w:rsidRPr="00EE5ADB">
        <w:tab/>
      </w:r>
      <w:proofErr w:type="spellStart"/>
      <w:r w:rsidRPr="00EE5ADB">
        <w:t>Lupsa</w:t>
      </w:r>
      <w:proofErr w:type="spellEnd"/>
      <w:r w:rsidRPr="00EE5ADB">
        <w:t xml:space="preserve"> BC, Kibbey RG, </w:t>
      </w:r>
      <w:proofErr w:type="spellStart"/>
      <w:r w:rsidRPr="00EE5ADB">
        <w:t>Inzucchi</w:t>
      </w:r>
      <w:proofErr w:type="spellEnd"/>
      <w:r w:rsidRPr="00EE5ADB">
        <w:t xml:space="preserve"> SE. Ketones: the double-edged sword of SGLT2 inhibitors? </w:t>
      </w:r>
      <w:proofErr w:type="spellStart"/>
      <w:r w:rsidRPr="00EE5ADB">
        <w:rPr>
          <w:i/>
          <w:iCs/>
        </w:rPr>
        <w:t>Diabetologia</w:t>
      </w:r>
      <w:proofErr w:type="spellEnd"/>
      <w:r w:rsidRPr="00EE5ADB">
        <w:t xml:space="preserve"> 2023; 66: 23–32.</w:t>
      </w:r>
    </w:p>
    <w:p w14:paraId="68D72EA0" w14:textId="77777777" w:rsidR="00EE5ADB" w:rsidRPr="00EE5ADB" w:rsidRDefault="00EE5ADB" w:rsidP="00EE5ADB">
      <w:pPr>
        <w:pStyle w:val="Bibliography"/>
      </w:pPr>
      <w:r w:rsidRPr="00EE5ADB">
        <w:t xml:space="preserve">[10] </w:t>
      </w:r>
      <w:r w:rsidRPr="00EE5ADB">
        <w:tab/>
      </w:r>
      <w:proofErr w:type="spellStart"/>
      <w:r w:rsidRPr="00EE5ADB">
        <w:t>Hushmandi</w:t>
      </w:r>
      <w:proofErr w:type="spellEnd"/>
      <w:r w:rsidRPr="00EE5ADB">
        <w:t xml:space="preserve"> K, </w:t>
      </w:r>
      <w:proofErr w:type="spellStart"/>
      <w:r w:rsidRPr="00EE5ADB">
        <w:t>Salarizadeh</w:t>
      </w:r>
      <w:proofErr w:type="spellEnd"/>
      <w:r w:rsidRPr="00EE5ADB">
        <w:t xml:space="preserve"> N, </w:t>
      </w:r>
      <w:proofErr w:type="spellStart"/>
      <w:r w:rsidRPr="00EE5ADB">
        <w:t>Einollahi</w:t>
      </w:r>
      <w:proofErr w:type="spellEnd"/>
      <w:r w:rsidRPr="00EE5ADB">
        <w:t xml:space="preserve"> B, et al. SGLT2 inhibitors and AMPK crosstalk in diabetes mellitus: mechanistic insights and therapeutic applications. </w:t>
      </w:r>
      <w:r w:rsidRPr="00EE5ADB">
        <w:rPr>
          <w:i/>
          <w:iCs/>
        </w:rPr>
        <w:t xml:space="preserve">J Diabetes </w:t>
      </w:r>
      <w:proofErr w:type="spellStart"/>
      <w:r w:rsidRPr="00EE5ADB">
        <w:rPr>
          <w:i/>
          <w:iCs/>
        </w:rPr>
        <w:t>Metab</w:t>
      </w:r>
      <w:proofErr w:type="spellEnd"/>
      <w:r w:rsidRPr="00EE5ADB">
        <w:rPr>
          <w:i/>
          <w:iCs/>
        </w:rPr>
        <w:t xml:space="preserve"> </w:t>
      </w:r>
      <w:proofErr w:type="spellStart"/>
      <w:r w:rsidRPr="00EE5ADB">
        <w:rPr>
          <w:i/>
          <w:iCs/>
        </w:rPr>
        <w:t>Disord</w:t>
      </w:r>
      <w:proofErr w:type="spellEnd"/>
      <w:r w:rsidRPr="00EE5ADB">
        <w:t xml:space="preserve"> 2026; 25: 114.</w:t>
      </w:r>
    </w:p>
    <w:p w14:paraId="22249A73" w14:textId="77777777" w:rsidR="00EE5ADB" w:rsidRPr="00EE5ADB" w:rsidRDefault="00EE5ADB" w:rsidP="00EE5ADB">
      <w:pPr>
        <w:pStyle w:val="Bibliography"/>
      </w:pPr>
      <w:r w:rsidRPr="00EE5ADB">
        <w:t xml:space="preserve">[11] </w:t>
      </w:r>
      <w:r w:rsidRPr="00EE5ADB">
        <w:tab/>
      </w:r>
      <w:proofErr w:type="spellStart"/>
      <w:r w:rsidRPr="00EE5ADB">
        <w:t>Patoulias</w:t>
      </w:r>
      <w:proofErr w:type="spellEnd"/>
      <w:r w:rsidRPr="00EE5ADB">
        <w:t xml:space="preserve"> D, </w:t>
      </w:r>
      <w:proofErr w:type="spellStart"/>
      <w:r w:rsidRPr="00EE5ADB">
        <w:t>Katsimardou</w:t>
      </w:r>
      <w:proofErr w:type="spellEnd"/>
      <w:r w:rsidRPr="00EE5ADB">
        <w:t xml:space="preserve"> A, </w:t>
      </w:r>
      <w:proofErr w:type="spellStart"/>
      <w:r w:rsidRPr="00EE5ADB">
        <w:t>Fragakis</w:t>
      </w:r>
      <w:proofErr w:type="spellEnd"/>
      <w:r w:rsidRPr="00EE5ADB">
        <w:t xml:space="preserve"> N, et al. Effect of SGLT-2 inhibitors on cardiac autonomic function in type 2 diabetes mellitus: a meta-analysis of randomized controlled trials. </w:t>
      </w:r>
      <w:r w:rsidRPr="00EE5ADB">
        <w:rPr>
          <w:i/>
          <w:iCs/>
        </w:rPr>
        <w:t xml:space="preserve">Acta </w:t>
      </w:r>
      <w:proofErr w:type="spellStart"/>
      <w:r w:rsidRPr="00EE5ADB">
        <w:rPr>
          <w:i/>
          <w:iCs/>
        </w:rPr>
        <w:t>Diabetol</w:t>
      </w:r>
      <w:proofErr w:type="spellEnd"/>
      <w:r w:rsidRPr="00EE5ADB">
        <w:t xml:space="preserve"> 2022; 60: 1–8.</w:t>
      </w:r>
    </w:p>
    <w:p w14:paraId="7145FDF3" w14:textId="77777777" w:rsidR="00EE5ADB" w:rsidRPr="00EE5ADB" w:rsidRDefault="00EE5ADB" w:rsidP="00EE5ADB">
      <w:pPr>
        <w:pStyle w:val="Bibliography"/>
      </w:pPr>
      <w:r w:rsidRPr="00EE5ADB">
        <w:t xml:space="preserve">[12] </w:t>
      </w:r>
      <w:r w:rsidRPr="00EE5ADB">
        <w:tab/>
        <w:t xml:space="preserve">Kandeel M. The Outcomes of Sodium-Glucose Co-transporter 2 Inhibitors (SGLT2I) on Diabetes-Associated Neuropathy: A Systematic Review and meta-Analysis. </w:t>
      </w:r>
      <w:r w:rsidRPr="00EE5ADB">
        <w:rPr>
          <w:i/>
          <w:iCs/>
        </w:rPr>
        <w:t xml:space="preserve">Front </w:t>
      </w:r>
      <w:proofErr w:type="spellStart"/>
      <w:r w:rsidRPr="00EE5ADB">
        <w:rPr>
          <w:i/>
          <w:iCs/>
        </w:rPr>
        <w:t>Pharmacol</w:t>
      </w:r>
      <w:proofErr w:type="spellEnd"/>
      <w:r w:rsidRPr="00EE5ADB">
        <w:t xml:space="preserve"> 2022; 13: 926717.</w:t>
      </w:r>
    </w:p>
    <w:p w14:paraId="252C3AC1" w14:textId="77777777" w:rsidR="00EE5ADB" w:rsidRPr="00EE5ADB" w:rsidRDefault="00EE5ADB" w:rsidP="00EE5ADB">
      <w:pPr>
        <w:pStyle w:val="Bibliography"/>
      </w:pPr>
      <w:r w:rsidRPr="00EE5ADB">
        <w:t xml:space="preserve">[13] </w:t>
      </w:r>
      <w:r w:rsidRPr="00EE5ADB">
        <w:tab/>
        <w:t xml:space="preserve">Panou T, </w:t>
      </w:r>
      <w:proofErr w:type="spellStart"/>
      <w:r w:rsidRPr="00EE5ADB">
        <w:t>Gouveri</w:t>
      </w:r>
      <w:proofErr w:type="spellEnd"/>
      <w:r w:rsidRPr="00EE5ADB">
        <w:t xml:space="preserve"> E, Popovic DS, et al. The Therapeutic Potential of Sodium-Glucose Cotransporter-2 Inhibitors in Diabetic Neuropathy. </w:t>
      </w:r>
      <w:r w:rsidRPr="00EE5ADB">
        <w:rPr>
          <w:i/>
          <w:iCs/>
        </w:rPr>
        <w:t>Exp Clin Endocrinol Diabetes</w:t>
      </w:r>
      <w:r w:rsidRPr="00EE5ADB">
        <w:t xml:space="preserve"> 2025; 133: 425–436.</w:t>
      </w:r>
    </w:p>
    <w:p w14:paraId="2CD6D21C" w14:textId="77777777" w:rsidR="00EE5ADB" w:rsidRPr="00EE5ADB" w:rsidRDefault="00EE5ADB" w:rsidP="00EE5ADB">
      <w:pPr>
        <w:pStyle w:val="Bibliography"/>
      </w:pPr>
      <w:r w:rsidRPr="00EE5ADB">
        <w:t xml:space="preserve">[14] </w:t>
      </w:r>
      <w:r w:rsidRPr="00EE5ADB">
        <w:tab/>
        <w:t xml:space="preserve">Higgins JPT, Thomas J, Chandler J, et al. </w:t>
      </w:r>
      <w:r w:rsidRPr="00EE5ADB">
        <w:rPr>
          <w:i/>
          <w:iCs/>
        </w:rPr>
        <w:t>Cochrane Handbook for Systematic Reviews of Interventions</w:t>
      </w:r>
      <w:r w:rsidRPr="00EE5ADB">
        <w:t>. Version 6.5 (updated August 2024). Cochrane, www.cochrane.org/handbook (2024).</w:t>
      </w:r>
    </w:p>
    <w:p w14:paraId="48474766" w14:textId="77777777" w:rsidR="00EE5ADB" w:rsidRPr="00EE5ADB" w:rsidRDefault="00EE5ADB" w:rsidP="00EE5ADB">
      <w:pPr>
        <w:pStyle w:val="Bibliography"/>
      </w:pPr>
      <w:r w:rsidRPr="00EE5ADB">
        <w:t xml:space="preserve">[15] </w:t>
      </w:r>
      <w:r w:rsidRPr="00EE5ADB">
        <w:tab/>
        <w:t xml:space="preserve">Page MJ, McKenzie JE, Bossuyt PM, et al. The PRISMA 2020 statement: an updated guideline for reporting systematic reviews. </w:t>
      </w:r>
      <w:r w:rsidRPr="00EE5ADB">
        <w:rPr>
          <w:i/>
          <w:iCs/>
        </w:rPr>
        <w:t>BMJ</w:t>
      </w:r>
      <w:r w:rsidRPr="00EE5ADB">
        <w:t xml:space="preserve"> 2021; n71.</w:t>
      </w:r>
    </w:p>
    <w:p w14:paraId="718AFBFA" w14:textId="77777777" w:rsidR="00EE5ADB" w:rsidRPr="00EE5ADB" w:rsidRDefault="00EE5ADB" w:rsidP="00EE5ADB">
      <w:pPr>
        <w:pStyle w:val="Bibliography"/>
      </w:pPr>
      <w:r w:rsidRPr="00EE5ADB">
        <w:lastRenderedPageBreak/>
        <w:t xml:space="preserve">[16] </w:t>
      </w:r>
      <w:r w:rsidRPr="00EE5ADB">
        <w:tab/>
        <w:t xml:space="preserve">Sterne JAC, Savović J, Page MJ, et al. </w:t>
      </w:r>
      <w:proofErr w:type="spellStart"/>
      <w:r w:rsidRPr="00EE5ADB">
        <w:t>RoB</w:t>
      </w:r>
      <w:proofErr w:type="spellEnd"/>
      <w:r w:rsidRPr="00EE5ADB">
        <w:t xml:space="preserve"> 2: a revised tool for assessing risk of bias in </w:t>
      </w:r>
      <w:proofErr w:type="spellStart"/>
      <w:r w:rsidRPr="00EE5ADB">
        <w:t>randomised</w:t>
      </w:r>
      <w:proofErr w:type="spellEnd"/>
      <w:r w:rsidRPr="00EE5ADB">
        <w:t xml:space="preserve"> trials. </w:t>
      </w:r>
      <w:r w:rsidRPr="00EE5ADB">
        <w:rPr>
          <w:i/>
          <w:iCs/>
        </w:rPr>
        <w:t>BMJ</w:t>
      </w:r>
      <w:r w:rsidRPr="00EE5ADB">
        <w:t xml:space="preserve"> 2019; l4898.</w:t>
      </w:r>
    </w:p>
    <w:p w14:paraId="7BF1A38C" w14:textId="77777777" w:rsidR="00EE5ADB" w:rsidRPr="00EE5ADB" w:rsidRDefault="00EE5ADB" w:rsidP="00EE5ADB">
      <w:pPr>
        <w:pStyle w:val="Bibliography"/>
      </w:pPr>
      <w:r w:rsidRPr="00EE5ADB">
        <w:t xml:space="preserve">[17] </w:t>
      </w:r>
      <w:r w:rsidRPr="00EE5ADB">
        <w:tab/>
        <w:t xml:space="preserve">Wan X, Wang W, Liu J, et al. Estimating the sample mean and standard deviation from the sample size, median, range and/or interquartile range. </w:t>
      </w:r>
      <w:r w:rsidRPr="00EE5ADB">
        <w:rPr>
          <w:i/>
          <w:iCs/>
        </w:rPr>
        <w:t xml:space="preserve">BMC Med Res </w:t>
      </w:r>
      <w:proofErr w:type="spellStart"/>
      <w:r w:rsidRPr="00EE5ADB">
        <w:rPr>
          <w:i/>
          <w:iCs/>
        </w:rPr>
        <w:t>Methodol</w:t>
      </w:r>
      <w:proofErr w:type="spellEnd"/>
      <w:r w:rsidRPr="00EE5ADB">
        <w:t xml:space="preserve"> 2014; 14: 135.</w:t>
      </w:r>
    </w:p>
    <w:p w14:paraId="001C2A46" w14:textId="77777777" w:rsidR="00EE5ADB" w:rsidRPr="00EE5ADB" w:rsidRDefault="00EE5ADB" w:rsidP="00EE5ADB">
      <w:pPr>
        <w:pStyle w:val="Bibliography"/>
      </w:pPr>
      <w:r w:rsidRPr="00EE5ADB">
        <w:t xml:space="preserve">[18] </w:t>
      </w:r>
      <w:r w:rsidRPr="00EE5ADB">
        <w:tab/>
        <w:t xml:space="preserve">Luo D, Wan X, Liu J, et al. Optimally estimating the sample mean from the sample size, median, mid-range, and/or mid-quartile range. </w:t>
      </w:r>
      <w:r w:rsidRPr="00EE5ADB">
        <w:rPr>
          <w:i/>
          <w:iCs/>
        </w:rPr>
        <w:t>Stat Methods Med Res</w:t>
      </w:r>
      <w:r w:rsidRPr="00EE5ADB">
        <w:t xml:space="preserve"> 2018; 27: 1785–1805.</w:t>
      </w:r>
    </w:p>
    <w:p w14:paraId="538E6F02" w14:textId="77777777" w:rsidR="00EE5ADB" w:rsidRPr="00EE5ADB" w:rsidRDefault="00EE5ADB" w:rsidP="00EE5ADB">
      <w:pPr>
        <w:pStyle w:val="Bibliography"/>
      </w:pPr>
      <w:r w:rsidRPr="00EE5ADB">
        <w:t xml:space="preserve">[19] </w:t>
      </w:r>
      <w:r w:rsidRPr="00EE5ADB">
        <w:tab/>
        <w:t xml:space="preserve">El-Haggar SM, Hafez YM, El </w:t>
      </w:r>
      <w:proofErr w:type="spellStart"/>
      <w:r w:rsidRPr="00EE5ADB">
        <w:t>Sharkawy</w:t>
      </w:r>
      <w:proofErr w:type="spellEnd"/>
      <w:r w:rsidRPr="00EE5ADB">
        <w:t xml:space="preserve"> AM, et al. Effect of empagliflozin in peripheral diabetic neuropathy of patients with type 2 diabetes mellitus. </w:t>
      </w:r>
      <w:r w:rsidRPr="00EE5ADB">
        <w:rPr>
          <w:i/>
          <w:iCs/>
        </w:rPr>
        <w:t>Med Clínica Engl Ed</w:t>
      </w:r>
      <w:r w:rsidRPr="00EE5ADB">
        <w:t xml:space="preserve"> 2024; 163: 53–61.</w:t>
      </w:r>
    </w:p>
    <w:p w14:paraId="1A4586AF" w14:textId="77777777" w:rsidR="00EE5ADB" w:rsidRPr="00EE5ADB" w:rsidRDefault="00EE5ADB" w:rsidP="00EE5ADB">
      <w:pPr>
        <w:pStyle w:val="Bibliography"/>
      </w:pPr>
      <w:r w:rsidRPr="00EE5ADB">
        <w:t xml:space="preserve">[20] </w:t>
      </w:r>
      <w:r w:rsidRPr="00EE5ADB">
        <w:tab/>
        <w:t xml:space="preserve">R Core Team. </w:t>
      </w:r>
      <w:r w:rsidRPr="00EE5ADB">
        <w:rPr>
          <w:i/>
          <w:iCs/>
        </w:rPr>
        <w:t>R: A Language and Environment for Statistical Computing</w:t>
      </w:r>
      <w:r w:rsidRPr="00EE5ADB">
        <w:t>. Vienna, Austria: R Foundation for Statistical Computing, https://www.R-project.org/ (2025).</w:t>
      </w:r>
    </w:p>
    <w:p w14:paraId="784C9919" w14:textId="77777777" w:rsidR="00EE5ADB" w:rsidRPr="00EE5ADB" w:rsidRDefault="00EE5ADB" w:rsidP="00EE5ADB">
      <w:pPr>
        <w:pStyle w:val="Bibliography"/>
      </w:pPr>
      <w:r w:rsidRPr="00EE5ADB">
        <w:t xml:space="preserve">[21] </w:t>
      </w:r>
      <w:r w:rsidRPr="00EE5ADB">
        <w:tab/>
        <w:t xml:space="preserve">Balduzzi S, Rücker G, Schwarzer G. How to perform a meta-analysis with R: a practical tutorial. </w:t>
      </w:r>
      <w:r w:rsidRPr="00EE5ADB">
        <w:rPr>
          <w:i/>
          <w:iCs/>
        </w:rPr>
        <w:t>Evid Based Ment Health</w:t>
      </w:r>
      <w:r w:rsidRPr="00EE5ADB">
        <w:t xml:space="preserve"> 2019; 22: 153–160.</w:t>
      </w:r>
    </w:p>
    <w:p w14:paraId="2D9A56C2" w14:textId="77777777" w:rsidR="00EE5ADB" w:rsidRPr="00EE5ADB" w:rsidRDefault="00EE5ADB" w:rsidP="00EE5ADB">
      <w:pPr>
        <w:pStyle w:val="Bibliography"/>
      </w:pPr>
      <w:r w:rsidRPr="00EE5ADB">
        <w:t xml:space="preserve">[22] </w:t>
      </w:r>
      <w:r w:rsidRPr="00EE5ADB">
        <w:tab/>
      </w:r>
      <w:proofErr w:type="spellStart"/>
      <w:r w:rsidRPr="00EE5ADB">
        <w:t>Viechtbauer</w:t>
      </w:r>
      <w:proofErr w:type="spellEnd"/>
      <w:r w:rsidRPr="00EE5ADB">
        <w:t xml:space="preserve"> W. Conducting Meta-Analyses in </w:t>
      </w:r>
      <w:r w:rsidRPr="00EE5ADB">
        <w:rPr>
          <w:i/>
          <w:iCs/>
        </w:rPr>
        <w:t>R</w:t>
      </w:r>
      <w:r w:rsidRPr="00EE5ADB">
        <w:t xml:space="preserve"> with the </w:t>
      </w:r>
      <w:proofErr w:type="spellStart"/>
      <w:r w:rsidRPr="00EE5ADB">
        <w:rPr>
          <w:b/>
          <w:bCs/>
        </w:rPr>
        <w:t>metafor</w:t>
      </w:r>
      <w:proofErr w:type="spellEnd"/>
      <w:r w:rsidRPr="00EE5ADB">
        <w:t xml:space="preserve"> Package. </w:t>
      </w:r>
      <w:r w:rsidRPr="00EE5ADB">
        <w:rPr>
          <w:i/>
          <w:iCs/>
        </w:rPr>
        <w:t xml:space="preserve">J Stat </w:t>
      </w:r>
      <w:proofErr w:type="spellStart"/>
      <w:r w:rsidRPr="00EE5ADB">
        <w:rPr>
          <w:i/>
          <w:iCs/>
        </w:rPr>
        <w:t>Softw</w:t>
      </w:r>
      <w:proofErr w:type="spellEnd"/>
      <w:r w:rsidRPr="00EE5ADB">
        <w:t xml:space="preserve">; 36. </w:t>
      </w:r>
      <w:proofErr w:type="spellStart"/>
      <w:r w:rsidRPr="00EE5ADB">
        <w:t>Epub</w:t>
      </w:r>
      <w:proofErr w:type="spellEnd"/>
      <w:r w:rsidRPr="00EE5ADB">
        <w:t xml:space="preserve"> ahead of print 2010. DOI: 10.18637/jss.v036.i03.</w:t>
      </w:r>
    </w:p>
    <w:p w14:paraId="14FF21ED" w14:textId="77777777" w:rsidR="00EE5ADB" w:rsidRPr="00EE5ADB" w:rsidRDefault="00EE5ADB" w:rsidP="00EE5ADB">
      <w:pPr>
        <w:pStyle w:val="Bibliography"/>
      </w:pPr>
      <w:r w:rsidRPr="00EE5ADB">
        <w:t xml:space="preserve">[23] </w:t>
      </w:r>
      <w:r w:rsidRPr="00EE5ADB">
        <w:tab/>
        <w:t xml:space="preserve">Liao J, Kang A, Xia C, et al. The impact of canagliflozin on the risk of neuropathy events: A post-hoc exploratory analysis of the CREDENCE trial. </w:t>
      </w:r>
      <w:r w:rsidRPr="00EE5ADB">
        <w:rPr>
          <w:i/>
          <w:iCs/>
        </w:rPr>
        <w:t xml:space="preserve">Diabetes </w:t>
      </w:r>
      <w:proofErr w:type="spellStart"/>
      <w:r w:rsidRPr="00EE5ADB">
        <w:rPr>
          <w:i/>
          <w:iCs/>
        </w:rPr>
        <w:t>Metab</w:t>
      </w:r>
      <w:proofErr w:type="spellEnd"/>
      <w:r w:rsidRPr="00EE5ADB">
        <w:t xml:space="preserve"> 2022; 48: 101331.</w:t>
      </w:r>
    </w:p>
    <w:p w14:paraId="1AC54596" w14:textId="77777777" w:rsidR="00EE5ADB" w:rsidRPr="00EE5ADB" w:rsidRDefault="00EE5ADB" w:rsidP="00EE5ADB">
      <w:pPr>
        <w:pStyle w:val="Bibliography"/>
      </w:pPr>
      <w:r w:rsidRPr="00EE5ADB">
        <w:t xml:space="preserve">[24] </w:t>
      </w:r>
      <w:r w:rsidRPr="00EE5ADB">
        <w:tab/>
        <w:t xml:space="preserve">Mehta S, Nain P, Agrawal BK, et al. Effectiveness of Empagliflozin With Vitamin D Supplementation in Peripheral Neuropathy in Type 2 Diabetic Patients. </w:t>
      </w:r>
      <w:r w:rsidRPr="00EE5ADB">
        <w:rPr>
          <w:i/>
          <w:iCs/>
        </w:rPr>
        <w:t>Cureus</w:t>
      </w:r>
      <w:r w:rsidRPr="00EE5ADB">
        <w:t xml:space="preserve">. </w:t>
      </w:r>
      <w:proofErr w:type="spellStart"/>
      <w:r w:rsidRPr="00EE5ADB">
        <w:t>Epub</w:t>
      </w:r>
      <w:proofErr w:type="spellEnd"/>
      <w:r w:rsidRPr="00EE5ADB">
        <w:t xml:space="preserve"> ahead of print 6 December 2021. DOI: 10.7759/cureus.20208.</w:t>
      </w:r>
    </w:p>
    <w:p w14:paraId="1D0B3FB8" w14:textId="77777777" w:rsidR="00EE5ADB" w:rsidRPr="00EE5ADB" w:rsidRDefault="00EE5ADB" w:rsidP="00EE5ADB">
      <w:pPr>
        <w:pStyle w:val="Bibliography"/>
      </w:pPr>
      <w:r w:rsidRPr="00EE5ADB">
        <w:t xml:space="preserve">[25] </w:t>
      </w:r>
      <w:r w:rsidRPr="00EE5ADB">
        <w:tab/>
        <w:t xml:space="preserve">Adhikari U, Gad H, Chatterjee D, et al. Dapagliflozin for Small Nerve </w:t>
      </w:r>
      <w:proofErr w:type="spellStart"/>
      <w:r w:rsidRPr="00EE5ADB">
        <w:t>Fibre</w:t>
      </w:r>
      <w:proofErr w:type="spellEnd"/>
      <w:r w:rsidRPr="00EE5ADB">
        <w:t xml:space="preserve"> Regeneration in Diabetic Peripheral Neuropathy: A </w:t>
      </w:r>
      <w:proofErr w:type="spellStart"/>
      <w:r w:rsidRPr="00EE5ADB">
        <w:t>Randomised</w:t>
      </w:r>
      <w:proofErr w:type="spellEnd"/>
      <w:r w:rsidRPr="00EE5ADB">
        <w:t xml:space="preserve"> Controlled Study ( </w:t>
      </w:r>
      <w:r w:rsidRPr="00EE5ADB">
        <w:rPr>
          <w:smallCaps/>
        </w:rPr>
        <w:t>DINE</w:t>
      </w:r>
      <w:r w:rsidRPr="00EE5ADB">
        <w:t xml:space="preserve"> ). </w:t>
      </w:r>
      <w:r w:rsidRPr="00EE5ADB">
        <w:rPr>
          <w:i/>
          <w:iCs/>
        </w:rPr>
        <w:t xml:space="preserve">J </w:t>
      </w:r>
      <w:proofErr w:type="spellStart"/>
      <w:r w:rsidRPr="00EE5ADB">
        <w:rPr>
          <w:i/>
          <w:iCs/>
        </w:rPr>
        <w:t>Peripher</w:t>
      </w:r>
      <w:proofErr w:type="spellEnd"/>
      <w:r w:rsidRPr="00EE5ADB">
        <w:rPr>
          <w:i/>
          <w:iCs/>
        </w:rPr>
        <w:t xml:space="preserve"> </w:t>
      </w:r>
      <w:proofErr w:type="spellStart"/>
      <w:r w:rsidRPr="00EE5ADB">
        <w:rPr>
          <w:i/>
          <w:iCs/>
        </w:rPr>
        <w:t>Nerv</w:t>
      </w:r>
      <w:proofErr w:type="spellEnd"/>
      <w:r w:rsidRPr="00EE5ADB">
        <w:rPr>
          <w:i/>
          <w:iCs/>
        </w:rPr>
        <w:t xml:space="preserve"> Syst</w:t>
      </w:r>
      <w:r w:rsidRPr="00EE5ADB">
        <w:t xml:space="preserve"> 2025; 30: e70011.</w:t>
      </w:r>
    </w:p>
    <w:p w14:paraId="53984079" w14:textId="77777777" w:rsidR="00EE5ADB" w:rsidRPr="00EE5ADB" w:rsidRDefault="00EE5ADB" w:rsidP="00EE5ADB">
      <w:pPr>
        <w:pStyle w:val="Bibliography"/>
      </w:pPr>
      <w:r w:rsidRPr="00EE5ADB">
        <w:t xml:space="preserve">[26] </w:t>
      </w:r>
      <w:r w:rsidRPr="00EE5ADB">
        <w:tab/>
        <w:t xml:space="preserve">Ishibashi F, Kosaka A, Tavakoli M. Sodium Glucose Cotransporter-2 Inhibitor Protects Against Diabetic Neuropathy and Nephropathy in Modestly Controlled Type 2 Diabetes: Follow-Up Study. </w:t>
      </w:r>
      <w:r w:rsidRPr="00EE5ADB">
        <w:rPr>
          <w:i/>
          <w:iCs/>
        </w:rPr>
        <w:t>Front Endocrinol</w:t>
      </w:r>
      <w:r w:rsidRPr="00EE5ADB">
        <w:t xml:space="preserve"> 2022; 13: 864332.</w:t>
      </w:r>
    </w:p>
    <w:p w14:paraId="12EE3881" w14:textId="77777777" w:rsidR="00EE5ADB" w:rsidRPr="00EE5ADB" w:rsidRDefault="00EE5ADB" w:rsidP="00EE5ADB">
      <w:pPr>
        <w:pStyle w:val="Bibliography"/>
      </w:pPr>
      <w:r w:rsidRPr="00EE5ADB">
        <w:t xml:space="preserve">[27] </w:t>
      </w:r>
      <w:r w:rsidRPr="00EE5ADB">
        <w:tab/>
      </w:r>
      <w:proofErr w:type="spellStart"/>
      <w:r w:rsidRPr="00EE5ADB">
        <w:t>Klabuzai</w:t>
      </w:r>
      <w:proofErr w:type="spellEnd"/>
      <w:r w:rsidRPr="00EE5ADB">
        <w:t xml:space="preserve"> Á, Bekő V, Sütő Z, et al. The Impact of SGLT-2 Inhibitors on Hydroxyl Radical Markers and Diabetic Neuropathy: A Short-Term Clinical Study. </w:t>
      </w:r>
      <w:r w:rsidRPr="00EE5ADB">
        <w:rPr>
          <w:i/>
          <w:iCs/>
        </w:rPr>
        <w:t>Antioxidants</w:t>
      </w:r>
      <w:r w:rsidRPr="00EE5ADB">
        <w:t xml:space="preserve"> 2025; 14: 289.</w:t>
      </w:r>
    </w:p>
    <w:p w14:paraId="57FA5878" w14:textId="77777777" w:rsidR="00EE5ADB" w:rsidRPr="00EE5ADB" w:rsidRDefault="00EE5ADB" w:rsidP="00EE5ADB">
      <w:pPr>
        <w:pStyle w:val="Bibliography"/>
      </w:pPr>
      <w:r w:rsidRPr="00EE5ADB">
        <w:t xml:space="preserve">[28] </w:t>
      </w:r>
      <w:r w:rsidRPr="00EE5ADB">
        <w:tab/>
      </w:r>
      <w:proofErr w:type="spellStart"/>
      <w:r w:rsidRPr="00EE5ADB">
        <w:t>Vafaeinasab</w:t>
      </w:r>
      <w:proofErr w:type="spellEnd"/>
      <w:r w:rsidRPr="00EE5ADB">
        <w:t xml:space="preserve"> M, Mirzaei </w:t>
      </w:r>
      <w:proofErr w:type="spellStart"/>
      <w:r w:rsidRPr="00EE5ADB">
        <w:t>Malekabad</w:t>
      </w:r>
      <w:proofErr w:type="spellEnd"/>
      <w:r w:rsidRPr="00EE5ADB">
        <w:t xml:space="preserve"> F, Khatibi A, et al. The Comparison of the Effect of Adding Empagliflozin to the Medication Regimen on Peripheral Neuropathy in Patients With Type </w:t>
      </w:r>
      <w:r w:rsidRPr="00EE5ADB">
        <w:rPr>
          <w:smallCaps/>
        </w:rPr>
        <w:t>II</w:t>
      </w:r>
      <w:r w:rsidRPr="00EE5ADB">
        <w:t xml:space="preserve"> Diabetes: A Double Blind </w:t>
      </w:r>
      <w:proofErr w:type="spellStart"/>
      <w:r w:rsidRPr="00EE5ADB">
        <w:t>Randomised</w:t>
      </w:r>
      <w:proofErr w:type="spellEnd"/>
      <w:r w:rsidRPr="00EE5ADB">
        <w:t xml:space="preserve"> Clinical Trial. </w:t>
      </w:r>
      <w:r w:rsidRPr="00EE5ADB">
        <w:rPr>
          <w:i/>
          <w:iCs/>
        </w:rPr>
        <w:t xml:space="preserve">Endocrinol Diabetes </w:t>
      </w:r>
      <w:proofErr w:type="spellStart"/>
      <w:r w:rsidRPr="00EE5ADB">
        <w:rPr>
          <w:i/>
          <w:iCs/>
        </w:rPr>
        <w:t>Metab</w:t>
      </w:r>
      <w:proofErr w:type="spellEnd"/>
      <w:r w:rsidRPr="00EE5ADB">
        <w:t xml:space="preserve"> 2025; 8: e70128.</w:t>
      </w:r>
    </w:p>
    <w:p w14:paraId="3A20E8DB" w14:textId="77777777" w:rsidR="00EE5ADB" w:rsidRPr="00EE5ADB" w:rsidRDefault="00EE5ADB" w:rsidP="00EE5ADB">
      <w:pPr>
        <w:pStyle w:val="Bibliography"/>
      </w:pPr>
      <w:r w:rsidRPr="00EE5ADB">
        <w:t xml:space="preserve">[29] </w:t>
      </w:r>
      <w:r w:rsidRPr="00EE5ADB">
        <w:tab/>
        <w:t xml:space="preserve">Mone P, </w:t>
      </w:r>
      <w:proofErr w:type="spellStart"/>
      <w:r w:rsidRPr="00EE5ADB">
        <w:t>Varzideh</w:t>
      </w:r>
      <w:proofErr w:type="spellEnd"/>
      <w:r w:rsidRPr="00EE5ADB">
        <w:t xml:space="preserve"> F, Jankauskas SS, et al. SGLT2 Inhibition via Empagliflozin Improves Endothelial Function and Reduces Mitochondrial Oxidative Stress: Insights From Frail Hypertensive and Diabetic Patients. </w:t>
      </w:r>
      <w:r w:rsidRPr="00EE5ADB">
        <w:rPr>
          <w:i/>
          <w:iCs/>
        </w:rPr>
        <w:t>Hypertension</w:t>
      </w:r>
      <w:r w:rsidRPr="00EE5ADB">
        <w:t xml:space="preserve"> 2022; 79: 1633–1643.</w:t>
      </w:r>
    </w:p>
    <w:p w14:paraId="1B91FDAA" w14:textId="77777777" w:rsidR="00EE5ADB" w:rsidRPr="00EE5ADB" w:rsidRDefault="00EE5ADB" w:rsidP="00EE5ADB">
      <w:pPr>
        <w:pStyle w:val="Bibliography"/>
      </w:pPr>
      <w:r w:rsidRPr="00EE5ADB">
        <w:t xml:space="preserve">[30] </w:t>
      </w:r>
      <w:r w:rsidRPr="00EE5ADB">
        <w:tab/>
        <w:t xml:space="preserve">Ischemia and diabetic neuropathy. In: </w:t>
      </w:r>
      <w:r w:rsidRPr="00EE5ADB">
        <w:rPr>
          <w:i/>
          <w:iCs/>
        </w:rPr>
        <w:t>Handbook of Clinical Neurology</w:t>
      </w:r>
      <w:r w:rsidRPr="00EE5ADB">
        <w:t>. Elsevier, pp. 469–487.</w:t>
      </w:r>
    </w:p>
    <w:p w14:paraId="4ABD3002" w14:textId="77777777" w:rsidR="00EE5ADB" w:rsidRPr="00EE5ADB" w:rsidRDefault="00EE5ADB" w:rsidP="00EE5ADB">
      <w:pPr>
        <w:pStyle w:val="Bibliography"/>
      </w:pPr>
      <w:r w:rsidRPr="00EE5ADB">
        <w:lastRenderedPageBreak/>
        <w:t xml:space="preserve">[31] </w:t>
      </w:r>
      <w:r w:rsidRPr="00EE5ADB">
        <w:tab/>
        <w:t xml:space="preserve">Kobylarz EJ, Randhawa J, Mason S, et al. Pre-operative electrodiagnostic studies and intraoperative neurophysiologic monitoring: power and pitfalls. </w:t>
      </w:r>
      <w:r w:rsidRPr="00EE5ADB">
        <w:rPr>
          <w:i/>
          <w:iCs/>
        </w:rPr>
        <w:t>Plast Aesthetic Res</w:t>
      </w:r>
      <w:r w:rsidRPr="00EE5ADB">
        <w:t xml:space="preserve"> 2023; 10: 2.</w:t>
      </w:r>
    </w:p>
    <w:p w14:paraId="56E7A0FB" w14:textId="77777777" w:rsidR="00EE5ADB" w:rsidRPr="00EE5ADB" w:rsidRDefault="00EE5ADB" w:rsidP="00EE5ADB">
      <w:pPr>
        <w:pStyle w:val="Bibliography"/>
      </w:pPr>
      <w:r w:rsidRPr="00EE5ADB">
        <w:t xml:space="preserve">[32] </w:t>
      </w:r>
      <w:r w:rsidRPr="00EE5ADB">
        <w:tab/>
        <w:t xml:space="preserve">Tsai K-F, Chen Y-L, Chiou TT-Y, et al. Emergence of SGLT2 Inhibitors as Powerful Antioxidants in Human Diseases. </w:t>
      </w:r>
      <w:r w:rsidRPr="00EE5ADB">
        <w:rPr>
          <w:i/>
          <w:iCs/>
        </w:rPr>
        <w:t>Antioxidants</w:t>
      </w:r>
      <w:r w:rsidRPr="00EE5ADB">
        <w:t xml:space="preserve"> 2021; 10: 1166.</w:t>
      </w:r>
    </w:p>
    <w:p w14:paraId="0F179860" w14:textId="77777777" w:rsidR="00EE5ADB" w:rsidRPr="00EE5ADB" w:rsidRDefault="00EE5ADB" w:rsidP="00EE5ADB">
      <w:pPr>
        <w:pStyle w:val="Bibliography"/>
      </w:pPr>
      <w:r w:rsidRPr="00EE5ADB">
        <w:t xml:space="preserve">[33] </w:t>
      </w:r>
      <w:r w:rsidRPr="00EE5ADB">
        <w:tab/>
        <w:t xml:space="preserve">Petropoulos IN, </w:t>
      </w:r>
      <w:proofErr w:type="spellStart"/>
      <w:r w:rsidRPr="00EE5ADB">
        <w:t>Ponirakis</w:t>
      </w:r>
      <w:proofErr w:type="spellEnd"/>
      <w:r w:rsidRPr="00EE5ADB">
        <w:t xml:space="preserve"> G, Ferdousi M, et al. Corneal Confocal Microscopy: A Biomarker for Diabetic Peripheral Neuropathy. </w:t>
      </w:r>
      <w:r w:rsidRPr="00EE5ADB">
        <w:rPr>
          <w:i/>
          <w:iCs/>
        </w:rPr>
        <w:t>Clin Ther</w:t>
      </w:r>
      <w:r w:rsidRPr="00EE5ADB">
        <w:t xml:space="preserve"> 2021; 43: 1457–1475.</w:t>
      </w:r>
    </w:p>
    <w:p w14:paraId="173D5087" w14:textId="77777777" w:rsidR="00EE5ADB" w:rsidRPr="00EE5ADB" w:rsidRDefault="00EE5ADB" w:rsidP="00EE5ADB">
      <w:pPr>
        <w:pStyle w:val="Bibliography"/>
      </w:pPr>
      <w:r w:rsidRPr="00EE5ADB">
        <w:t xml:space="preserve">[34] </w:t>
      </w:r>
      <w:r w:rsidRPr="00EE5ADB">
        <w:tab/>
        <w:t xml:space="preserve">Hicks CW, Selvin E. Epidemiology of Peripheral Neuropathy and Lower Extremity Disease in Diabetes. </w:t>
      </w:r>
      <w:r w:rsidRPr="00EE5ADB">
        <w:rPr>
          <w:i/>
          <w:iCs/>
        </w:rPr>
        <w:t>Curr Diab Rep</w:t>
      </w:r>
      <w:r w:rsidRPr="00EE5ADB">
        <w:t xml:space="preserve"> 2019; 19: 86.</w:t>
      </w:r>
    </w:p>
    <w:p w14:paraId="40EFF6E4" w14:textId="0CEF825F" w:rsidR="00200DF4" w:rsidRDefault="00AC58D8" w:rsidP="00C53D07">
      <w:pPr>
        <w:spacing w:after="120" w:line="360" w:lineRule="auto"/>
        <w:rPr>
          <w:rFonts w:ascii="Times New Roman" w:eastAsia="Times New Roman" w:hAnsi="Times New Roman" w:cs="Times New Roman"/>
        </w:rPr>
      </w:pPr>
      <w:r>
        <w:fldChar w:fldCharType="end"/>
      </w:r>
      <w:r>
        <w:br w:type="page"/>
      </w:r>
    </w:p>
    <w:p w14:paraId="50DF6FC7" w14:textId="20C2563F" w:rsidR="00200DF4" w:rsidRPr="00C87ADC" w:rsidRDefault="00000000" w:rsidP="00C208BC">
      <w:pPr>
        <w:pStyle w:val="Heading1"/>
        <w:spacing w:line="360" w:lineRule="auto"/>
      </w:pPr>
      <w:bookmarkStart w:id="5" w:name="_e54f6rcfsjny" w:colFirst="0" w:colLast="0"/>
      <w:bookmarkEnd w:id="5"/>
      <w:r w:rsidRPr="00C87ADC">
        <w:lastRenderedPageBreak/>
        <w:t>Figure</w:t>
      </w:r>
      <w:r w:rsidR="00C87ADC">
        <w:t>s and Tables</w:t>
      </w:r>
    </w:p>
    <w:p w14:paraId="1AE31EBA" w14:textId="38D1ED33" w:rsidR="00AA30DB" w:rsidRDefault="00AA30DB" w:rsidP="00AA30DB">
      <w:pPr>
        <w:spacing w:line="480" w:lineRule="auto"/>
        <w:rPr>
          <w:rFonts w:asciiTheme="majorBidi" w:hAnsiTheme="majorBidi" w:cstheme="majorBidi"/>
        </w:rPr>
      </w:pPr>
      <w:r w:rsidRPr="00AA30DB">
        <w:rPr>
          <w:rFonts w:asciiTheme="majorBidi" w:hAnsiTheme="majorBidi" w:cstheme="majorBidi"/>
        </w:rPr>
        <w:t>Figure 1: PRISMA diagram for screening process</w:t>
      </w:r>
    </w:p>
    <w:p w14:paraId="5EBCE2B4" w14:textId="0877DDC3" w:rsidR="00A76CF6" w:rsidRDefault="00A76CF6" w:rsidP="00AA30DB">
      <w:pPr>
        <w:spacing w:line="480" w:lineRule="auto"/>
        <w:rPr>
          <w:rFonts w:asciiTheme="majorBidi" w:hAnsiTheme="majorBidi" w:cstheme="majorBidi"/>
        </w:rPr>
      </w:pPr>
      <w:r>
        <w:rPr>
          <w:rFonts w:asciiTheme="majorBidi" w:hAnsiTheme="majorBidi" w:cstheme="majorBidi"/>
          <w:noProof/>
        </w:rPr>
        <w:drawing>
          <wp:inline distT="0" distB="0" distL="0" distR="0" wp14:anchorId="1517C2FF" wp14:editId="0B589597">
            <wp:extent cx="5219471" cy="5911850"/>
            <wp:effectExtent l="0" t="0" r="635" b="0"/>
            <wp:docPr id="817111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21060" cy="5913650"/>
                    </a:xfrm>
                    <a:prstGeom prst="rect">
                      <a:avLst/>
                    </a:prstGeom>
                    <a:noFill/>
                    <a:ln>
                      <a:noFill/>
                    </a:ln>
                  </pic:spPr>
                </pic:pic>
              </a:graphicData>
            </a:graphic>
          </wp:inline>
        </w:drawing>
      </w:r>
    </w:p>
    <w:p w14:paraId="39B55531" w14:textId="77777777" w:rsidR="00A76CF6" w:rsidRDefault="00A76CF6" w:rsidP="00AA30DB">
      <w:pPr>
        <w:spacing w:line="480" w:lineRule="auto"/>
        <w:rPr>
          <w:rFonts w:asciiTheme="majorBidi" w:hAnsiTheme="majorBidi" w:cstheme="majorBidi"/>
        </w:rPr>
      </w:pPr>
    </w:p>
    <w:p w14:paraId="0C409F7A" w14:textId="77777777" w:rsidR="00A76CF6" w:rsidRDefault="00A76CF6" w:rsidP="00AA30DB">
      <w:pPr>
        <w:spacing w:line="480" w:lineRule="auto"/>
        <w:rPr>
          <w:rFonts w:asciiTheme="majorBidi" w:hAnsiTheme="majorBidi" w:cstheme="majorBidi"/>
        </w:rPr>
      </w:pPr>
    </w:p>
    <w:p w14:paraId="0321F18B" w14:textId="77777777" w:rsidR="00A76CF6" w:rsidRDefault="00A76CF6" w:rsidP="00AA30DB">
      <w:pPr>
        <w:spacing w:line="480" w:lineRule="auto"/>
        <w:rPr>
          <w:rFonts w:asciiTheme="majorBidi" w:hAnsiTheme="majorBidi" w:cstheme="majorBidi"/>
        </w:rPr>
      </w:pPr>
    </w:p>
    <w:p w14:paraId="467B896C" w14:textId="77777777" w:rsidR="00A76CF6" w:rsidRDefault="00A76CF6" w:rsidP="00AA30DB">
      <w:pPr>
        <w:spacing w:line="480" w:lineRule="auto"/>
        <w:rPr>
          <w:rFonts w:asciiTheme="majorBidi" w:hAnsiTheme="majorBidi" w:cstheme="majorBidi"/>
        </w:rPr>
      </w:pPr>
    </w:p>
    <w:p w14:paraId="049731C7" w14:textId="77777777" w:rsidR="00A76CF6" w:rsidRDefault="00A76CF6" w:rsidP="00AA30DB">
      <w:pPr>
        <w:spacing w:line="480" w:lineRule="auto"/>
        <w:rPr>
          <w:rFonts w:asciiTheme="majorBidi" w:hAnsiTheme="majorBidi" w:cstheme="majorBidi"/>
        </w:rPr>
      </w:pPr>
    </w:p>
    <w:p w14:paraId="1910EE0A" w14:textId="77777777" w:rsidR="00A76CF6" w:rsidRDefault="00A76CF6" w:rsidP="00AA30DB">
      <w:pPr>
        <w:spacing w:line="480" w:lineRule="auto"/>
        <w:rPr>
          <w:rFonts w:asciiTheme="majorBidi" w:hAnsiTheme="majorBidi" w:cstheme="majorBidi"/>
        </w:rPr>
      </w:pPr>
    </w:p>
    <w:p w14:paraId="7DACC478" w14:textId="56B1D5A7" w:rsidR="00B17F8E" w:rsidRDefault="00AA30DB" w:rsidP="00AA30DB">
      <w:pPr>
        <w:spacing w:line="480" w:lineRule="auto"/>
        <w:rPr>
          <w:rFonts w:asciiTheme="majorBidi" w:hAnsiTheme="majorBidi" w:cstheme="majorBidi"/>
        </w:rPr>
      </w:pPr>
      <w:r w:rsidRPr="00AA30DB">
        <w:rPr>
          <w:rFonts w:asciiTheme="majorBidi" w:hAnsiTheme="majorBidi" w:cstheme="majorBidi"/>
        </w:rPr>
        <w:lastRenderedPageBreak/>
        <w:t>Figure 2:</w:t>
      </w:r>
      <w:r>
        <w:rPr>
          <w:rFonts w:asciiTheme="majorBidi" w:hAnsiTheme="majorBidi" w:cstheme="majorBidi"/>
        </w:rPr>
        <w:t xml:space="preserve"> </w:t>
      </w:r>
      <w:r w:rsidR="00B17F8E">
        <w:rPr>
          <w:rFonts w:asciiTheme="majorBidi" w:hAnsiTheme="majorBidi" w:cstheme="majorBidi"/>
        </w:rPr>
        <w:t xml:space="preserve">Traffic </w:t>
      </w:r>
      <w:r w:rsidR="00D94D51">
        <w:rPr>
          <w:rFonts w:asciiTheme="majorBidi" w:hAnsiTheme="majorBidi" w:cstheme="majorBidi"/>
        </w:rPr>
        <w:t xml:space="preserve">light diagram representing risk of bias assessment </w:t>
      </w:r>
      <w:r>
        <w:rPr>
          <w:rFonts w:asciiTheme="majorBidi" w:hAnsiTheme="majorBidi" w:cstheme="majorBidi"/>
        </w:rPr>
        <w:t xml:space="preserve">for </w:t>
      </w:r>
      <w:r w:rsidR="00D94D51">
        <w:rPr>
          <w:rFonts w:asciiTheme="majorBidi" w:hAnsiTheme="majorBidi" w:cstheme="majorBidi"/>
        </w:rPr>
        <w:t xml:space="preserve">the </w:t>
      </w:r>
      <w:proofErr w:type="spellStart"/>
      <w:r w:rsidR="00D94D51">
        <w:rPr>
          <w:rFonts w:asciiTheme="majorBidi" w:hAnsiTheme="majorBidi" w:cstheme="majorBidi"/>
        </w:rPr>
        <w:t>randomised</w:t>
      </w:r>
      <w:proofErr w:type="spellEnd"/>
      <w:r w:rsidR="00D94D51">
        <w:rPr>
          <w:rFonts w:asciiTheme="majorBidi" w:hAnsiTheme="majorBidi" w:cstheme="majorBidi"/>
        </w:rPr>
        <w:t xml:space="preserve"> controlled trials</w:t>
      </w:r>
    </w:p>
    <w:p w14:paraId="36405A30" w14:textId="2DBA1431" w:rsidR="008C41F5" w:rsidRDefault="000A431B" w:rsidP="00AA30DB">
      <w:pPr>
        <w:spacing w:line="480" w:lineRule="auto"/>
        <w:rPr>
          <w:rFonts w:asciiTheme="majorBidi" w:hAnsiTheme="majorBidi" w:cstheme="majorBidi"/>
        </w:rPr>
      </w:pPr>
      <w:r>
        <w:rPr>
          <w:rFonts w:asciiTheme="majorBidi" w:hAnsiTheme="majorBidi" w:cstheme="majorBidi"/>
          <w:noProof/>
        </w:rPr>
        <w:drawing>
          <wp:inline distT="0" distB="0" distL="0" distR="0" wp14:anchorId="511E9BE8" wp14:editId="43207BDE">
            <wp:extent cx="5721350" cy="4006850"/>
            <wp:effectExtent l="0" t="0" r="0" b="0"/>
            <wp:docPr id="143807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1350" cy="4006850"/>
                    </a:xfrm>
                    <a:prstGeom prst="rect">
                      <a:avLst/>
                    </a:prstGeom>
                    <a:noFill/>
                    <a:ln>
                      <a:noFill/>
                    </a:ln>
                  </pic:spPr>
                </pic:pic>
              </a:graphicData>
            </a:graphic>
          </wp:inline>
        </w:drawing>
      </w:r>
    </w:p>
    <w:p w14:paraId="1FAB3F49" w14:textId="77777777" w:rsidR="000A431B" w:rsidRDefault="000A431B" w:rsidP="00AA30DB">
      <w:pPr>
        <w:spacing w:line="480" w:lineRule="auto"/>
        <w:rPr>
          <w:rFonts w:asciiTheme="majorBidi" w:hAnsiTheme="majorBidi" w:cstheme="majorBidi"/>
        </w:rPr>
      </w:pPr>
    </w:p>
    <w:p w14:paraId="43067E62" w14:textId="77777777" w:rsidR="000A431B" w:rsidRDefault="000A431B" w:rsidP="00AA30DB">
      <w:pPr>
        <w:spacing w:line="480" w:lineRule="auto"/>
        <w:rPr>
          <w:rFonts w:asciiTheme="majorBidi" w:hAnsiTheme="majorBidi" w:cstheme="majorBidi"/>
        </w:rPr>
      </w:pPr>
    </w:p>
    <w:p w14:paraId="783D0C17" w14:textId="77777777" w:rsidR="000A431B" w:rsidRDefault="000A431B" w:rsidP="00AA30DB">
      <w:pPr>
        <w:spacing w:line="480" w:lineRule="auto"/>
        <w:rPr>
          <w:rFonts w:asciiTheme="majorBidi" w:hAnsiTheme="majorBidi" w:cstheme="majorBidi"/>
        </w:rPr>
      </w:pPr>
    </w:p>
    <w:p w14:paraId="4CD26CB7" w14:textId="77777777" w:rsidR="000A431B" w:rsidRDefault="000A431B" w:rsidP="00AA30DB">
      <w:pPr>
        <w:spacing w:line="480" w:lineRule="auto"/>
        <w:rPr>
          <w:rFonts w:asciiTheme="majorBidi" w:hAnsiTheme="majorBidi" w:cstheme="majorBidi"/>
        </w:rPr>
      </w:pPr>
    </w:p>
    <w:p w14:paraId="33BDA231" w14:textId="77777777" w:rsidR="000A431B" w:rsidRDefault="000A431B" w:rsidP="00AA30DB">
      <w:pPr>
        <w:spacing w:line="480" w:lineRule="auto"/>
        <w:rPr>
          <w:rFonts w:asciiTheme="majorBidi" w:hAnsiTheme="majorBidi" w:cstheme="majorBidi"/>
        </w:rPr>
      </w:pPr>
    </w:p>
    <w:p w14:paraId="6F258569" w14:textId="77777777" w:rsidR="000A431B" w:rsidRDefault="000A431B" w:rsidP="00AA30DB">
      <w:pPr>
        <w:spacing w:line="480" w:lineRule="auto"/>
        <w:rPr>
          <w:rFonts w:asciiTheme="majorBidi" w:hAnsiTheme="majorBidi" w:cstheme="majorBidi"/>
        </w:rPr>
      </w:pPr>
    </w:p>
    <w:p w14:paraId="6AD6C3FA" w14:textId="77777777" w:rsidR="000A431B" w:rsidRDefault="000A431B" w:rsidP="00AA30DB">
      <w:pPr>
        <w:spacing w:line="480" w:lineRule="auto"/>
        <w:rPr>
          <w:rFonts w:asciiTheme="majorBidi" w:hAnsiTheme="majorBidi" w:cstheme="majorBidi"/>
        </w:rPr>
      </w:pPr>
    </w:p>
    <w:p w14:paraId="6486D1D3" w14:textId="77777777" w:rsidR="000A431B" w:rsidRDefault="000A431B" w:rsidP="00AA30DB">
      <w:pPr>
        <w:spacing w:line="480" w:lineRule="auto"/>
        <w:rPr>
          <w:rFonts w:asciiTheme="majorBidi" w:hAnsiTheme="majorBidi" w:cstheme="majorBidi"/>
        </w:rPr>
      </w:pPr>
    </w:p>
    <w:p w14:paraId="79DC7D54" w14:textId="77777777" w:rsidR="000A431B" w:rsidRDefault="000A431B" w:rsidP="00AA30DB">
      <w:pPr>
        <w:spacing w:line="480" w:lineRule="auto"/>
        <w:rPr>
          <w:rFonts w:asciiTheme="majorBidi" w:hAnsiTheme="majorBidi" w:cstheme="majorBidi"/>
        </w:rPr>
      </w:pPr>
    </w:p>
    <w:p w14:paraId="7994E236" w14:textId="77777777" w:rsidR="000A431B" w:rsidRDefault="000A431B" w:rsidP="00AA30DB">
      <w:pPr>
        <w:spacing w:line="480" w:lineRule="auto"/>
        <w:rPr>
          <w:rFonts w:asciiTheme="majorBidi" w:hAnsiTheme="majorBidi" w:cstheme="majorBidi"/>
        </w:rPr>
      </w:pPr>
    </w:p>
    <w:p w14:paraId="0F9AD2A9" w14:textId="77777777" w:rsidR="000A431B" w:rsidRDefault="000A431B" w:rsidP="00AA30DB">
      <w:pPr>
        <w:spacing w:line="480" w:lineRule="auto"/>
        <w:rPr>
          <w:rFonts w:asciiTheme="majorBidi" w:hAnsiTheme="majorBidi" w:cstheme="majorBidi"/>
        </w:rPr>
      </w:pPr>
    </w:p>
    <w:p w14:paraId="59D15D4B" w14:textId="77777777" w:rsidR="000A431B" w:rsidRDefault="000A431B" w:rsidP="00AA30DB">
      <w:pPr>
        <w:spacing w:line="480" w:lineRule="auto"/>
        <w:rPr>
          <w:rFonts w:asciiTheme="majorBidi" w:hAnsiTheme="majorBidi" w:cstheme="majorBidi"/>
        </w:rPr>
      </w:pPr>
    </w:p>
    <w:p w14:paraId="01735017" w14:textId="77777777" w:rsidR="000A431B" w:rsidRDefault="000A431B" w:rsidP="00AA30DB">
      <w:pPr>
        <w:spacing w:line="480" w:lineRule="auto"/>
        <w:rPr>
          <w:rFonts w:asciiTheme="majorBidi" w:hAnsiTheme="majorBidi" w:cstheme="majorBidi"/>
        </w:rPr>
      </w:pPr>
    </w:p>
    <w:p w14:paraId="59508676" w14:textId="4FF4E7F4" w:rsidR="00AA30DB" w:rsidRDefault="00B17F8E" w:rsidP="00AA30DB">
      <w:pPr>
        <w:spacing w:line="480" w:lineRule="auto"/>
        <w:rPr>
          <w:rFonts w:asciiTheme="majorBidi" w:hAnsiTheme="majorBidi" w:cstheme="majorBidi"/>
        </w:rPr>
      </w:pPr>
      <w:r>
        <w:rPr>
          <w:rFonts w:asciiTheme="majorBidi" w:hAnsiTheme="majorBidi" w:cstheme="majorBidi"/>
        </w:rPr>
        <w:lastRenderedPageBreak/>
        <w:t xml:space="preserve">Figure 3: Summary </w:t>
      </w:r>
      <w:r w:rsidR="00D94D51">
        <w:rPr>
          <w:rFonts w:asciiTheme="majorBidi" w:hAnsiTheme="majorBidi" w:cstheme="majorBidi"/>
        </w:rPr>
        <w:t xml:space="preserve">of risk of bias assessment </w:t>
      </w:r>
    </w:p>
    <w:p w14:paraId="067A6D70" w14:textId="77777777" w:rsidR="00E569D8" w:rsidRDefault="00E569D8" w:rsidP="00AA30DB">
      <w:pPr>
        <w:spacing w:line="480" w:lineRule="auto"/>
        <w:rPr>
          <w:noProof/>
        </w:rPr>
      </w:pPr>
    </w:p>
    <w:p w14:paraId="3473D717" w14:textId="2508C304" w:rsidR="00196103" w:rsidRDefault="00196103" w:rsidP="00AA30DB">
      <w:pPr>
        <w:spacing w:line="480" w:lineRule="auto"/>
        <w:rPr>
          <w:noProof/>
        </w:rPr>
      </w:pPr>
      <w:r>
        <w:rPr>
          <w:noProof/>
        </w:rPr>
        <w:drawing>
          <wp:inline distT="0" distB="0" distL="0" distR="0" wp14:anchorId="08975B41" wp14:editId="5C2E43EC">
            <wp:extent cx="5721350" cy="3435350"/>
            <wp:effectExtent l="0" t="0" r="0" b="0"/>
            <wp:docPr id="1024652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1350" cy="3435350"/>
                    </a:xfrm>
                    <a:prstGeom prst="rect">
                      <a:avLst/>
                    </a:prstGeom>
                    <a:noFill/>
                    <a:ln>
                      <a:noFill/>
                    </a:ln>
                  </pic:spPr>
                </pic:pic>
              </a:graphicData>
            </a:graphic>
          </wp:inline>
        </w:drawing>
      </w:r>
    </w:p>
    <w:p w14:paraId="206DC212" w14:textId="77777777" w:rsidR="00E569D8" w:rsidRDefault="00E569D8" w:rsidP="00AA30DB">
      <w:pPr>
        <w:spacing w:line="480" w:lineRule="auto"/>
        <w:rPr>
          <w:noProof/>
        </w:rPr>
      </w:pPr>
    </w:p>
    <w:p w14:paraId="1C0900E0" w14:textId="77777777" w:rsidR="00E569D8" w:rsidRDefault="00E569D8" w:rsidP="00AA30DB">
      <w:pPr>
        <w:spacing w:line="480" w:lineRule="auto"/>
        <w:rPr>
          <w:noProof/>
        </w:rPr>
      </w:pPr>
    </w:p>
    <w:p w14:paraId="134B98AB" w14:textId="77777777" w:rsidR="002C1850" w:rsidRDefault="002C1850" w:rsidP="00AA30DB">
      <w:pPr>
        <w:spacing w:line="480" w:lineRule="auto"/>
        <w:rPr>
          <w:noProof/>
        </w:rPr>
      </w:pPr>
    </w:p>
    <w:p w14:paraId="062DBBAC" w14:textId="77777777" w:rsidR="002C1850" w:rsidRDefault="002C1850" w:rsidP="00AA30DB">
      <w:pPr>
        <w:spacing w:line="480" w:lineRule="auto"/>
        <w:rPr>
          <w:noProof/>
        </w:rPr>
      </w:pPr>
    </w:p>
    <w:p w14:paraId="4F2CC1A5" w14:textId="77777777" w:rsidR="002C1850" w:rsidRDefault="002C1850" w:rsidP="00AA30DB">
      <w:pPr>
        <w:spacing w:line="480" w:lineRule="auto"/>
        <w:rPr>
          <w:noProof/>
        </w:rPr>
      </w:pPr>
    </w:p>
    <w:p w14:paraId="3E18C7C7" w14:textId="77777777" w:rsidR="002C1850" w:rsidRDefault="002C1850" w:rsidP="00AA30DB">
      <w:pPr>
        <w:spacing w:line="480" w:lineRule="auto"/>
        <w:rPr>
          <w:noProof/>
        </w:rPr>
      </w:pPr>
    </w:p>
    <w:p w14:paraId="5565716C" w14:textId="77777777" w:rsidR="002C1850" w:rsidRDefault="002C1850" w:rsidP="00AA30DB">
      <w:pPr>
        <w:spacing w:line="480" w:lineRule="auto"/>
        <w:rPr>
          <w:noProof/>
        </w:rPr>
      </w:pPr>
    </w:p>
    <w:p w14:paraId="03B14C54" w14:textId="77777777" w:rsidR="002C1850" w:rsidRDefault="002C1850" w:rsidP="00AA30DB">
      <w:pPr>
        <w:spacing w:line="480" w:lineRule="auto"/>
        <w:rPr>
          <w:noProof/>
        </w:rPr>
      </w:pPr>
    </w:p>
    <w:p w14:paraId="34216C18" w14:textId="77777777" w:rsidR="002C1850" w:rsidRDefault="002C1850" w:rsidP="00AA30DB">
      <w:pPr>
        <w:spacing w:line="480" w:lineRule="auto"/>
        <w:rPr>
          <w:noProof/>
        </w:rPr>
      </w:pPr>
    </w:p>
    <w:p w14:paraId="0BF3C450" w14:textId="77777777" w:rsidR="002C1850" w:rsidRDefault="002C1850" w:rsidP="00AA30DB">
      <w:pPr>
        <w:spacing w:line="480" w:lineRule="auto"/>
        <w:rPr>
          <w:noProof/>
        </w:rPr>
      </w:pPr>
    </w:p>
    <w:p w14:paraId="31FC4EB2" w14:textId="77777777" w:rsidR="002C1850" w:rsidRDefault="002C1850" w:rsidP="00AA30DB">
      <w:pPr>
        <w:spacing w:line="480" w:lineRule="auto"/>
        <w:rPr>
          <w:noProof/>
        </w:rPr>
      </w:pPr>
    </w:p>
    <w:p w14:paraId="49C8502F" w14:textId="77777777" w:rsidR="002C1850" w:rsidRDefault="002C1850" w:rsidP="00AA30DB">
      <w:pPr>
        <w:spacing w:line="480" w:lineRule="auto"/>
        <w:rPr>
          <w:noProof/>
        </w:rPr>
      </w:pPr>
    </w:p>
    <w:p w14:paraId="6639AAF2" w14:textId="77777777" w:rsidR="002C1850" w:rsidRDefault="002C1850" w:rsidP="00AA30DB">
      <w:pPr>
        <w:spacing w:line="480" w:lineRule="auto"/>
        <w:rPr>
          <w:noProof/>
        </w:rPr>
      </w:pPr>
    </w:p>
    <w:p w14:paraId="75287D7A" w14:textId="77777777" w:rsidR="002C1850" w:rsidRDefault="002C1850" w:rsidP="00AA30DB">
      <w:pPr>
        <w:spacing w:line="480" w:lineRule="auto"/>
        <w:rPr>
          <w:noProof/>
        </w:rPr>
      </w:pPr>
    </w:p>
    <w:p w14:paraId="037B15F9" w14:textId="77777777" w:rsidR="00E569D8" w:rsidRDefault="00E569D8" w:rsidP="00AA30DB">
      <w:pPr>
        <w:spacing w:line="480" w:lineRule="auto"/>
        <w:rPr>
          <w:noProof/>
        </w:rPr>
      </w:pPr>
    </w:p>
    <w:p w14:paraId="4B084907" w14:textId="44183B09" w:rsidR="00E569D8" w:rsidRDefault="00E569D8" w:rsidP="00AA30DB">
      <w:pPr>
        <w:spacing w:line="480" w:lineRule="auto"/>
        <w:rPr>
          <w:rFonts w:asciiTheme="majorBidi" w:hAnsiTheme="majorBidi" w:cstheme="majorBidi"/>
        </w:rPr>
      </w:pPr>
      <w:r>
        <w:rPr>
          <w:noProof/>
        </w:rPr>
        <w:drawing>
          <wp:inline distT="0" distB="0" distL="0" distR="0" wp14:anchorId="244EB7DF" wp14:editId="67C36183">
            <wp:extent cx="5734436" cy="2895600"/>
            <wp:effectExtent l="0" t="0" r="0" b="0"/>
            <wp:docPr id="76787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117" r="9867"/>
                    <a:stretch>
                      <a:fillRect/>
                    </a:stretch>
                  </pic:blipFill>
                  <pic:spPr bwMode="auto">
                    <a:xfrm>
                      <a:off x="0" y="0"/>
                      <a:ext cx="5736830" cy="2896809"/>
                    </a:xfrm>
                    <a:prstGeom prst="rect">
                      <a:avLst/>
                    </a:prstGeom>
                    <a:noFill/>
                    <a:ln>
                      <a:noFill/>
                    </a:ln>
                    <a:extLst>
                      <a:ext uri="{53640926-AAD7-44D8-BBD7-CCE9431645EC}">
                        <a14:shadowObscured xmlns:a14="http://schemas.microsoft.com/office/drawing/2010/main"/>
                      </a:ext>
                    </a:extLst>
                  </pic:spPr>
                </pic:pic>
              </a:graphicData>
            </a:graphic>
          </wp:inline>
        </w:drawing>
      </w:r>
    </w:p>
    <w:p w14:paraId="7A32A604" w14:textId="17E681CA" w:rsidR="00AA30DB" w:rsidRDefault="00AA30DB" w:rsidP="00AA30DB">
      <w:pPr>
        <w:spacing w:line="480" w:lineRule="auto"/>
        <w:rPr>
          <w:rFonts w:asciiTheme="majorBidi" w:hAnsiTheme="majorBidi" w:cstheme="majorBidi"/>
        </w:rPr>
      </w:pPr>
      <w:r>
        <w:rPr>
          <w:rFonts w:asciiTheme="majorBidi" w:hAnsiTheme="majorBidi" w:cstheme="majorBidi"/>
        </w:rPr>
        <w:t xml:space="preserve">Figure </w:t>
      </w:r>
      <w:r w:rsidR="00B17F8E">
        <w:rPr>
          <w:rFonts w:asciiTheme="majorBidi" w:hAnsiTheme="majorBidi" w:cstheme="majorBidi"/>
        </w:rPr>
        <w:t>4</w:t>
      </w:r>
      <w:r>
        <w:rPr>
          <w:rFonts w:asciiTheme="majorBidi" w:hAnsiTheme="majorBidi" w:cstheme="majorBidi"/>
        </w:rPr>
        <w:t xml:space="preserve">: </w:t>
      </w:r>
      <w:r w:rsidR="008F6A49">
        <w:rPr>
          <w:rFonts w:asciiTheme="majorBidi" w:hAnsiTheme="majorBidi" w:cstheme="majorBidi"/>
        </w:rPr>
        <w:t>Sural Nerve Sensory Parameters</w:t>
      </w:r>
    </w:p>
    <w:p w14:paraId="1ACECABE" w14:textId="3F10160B" w:rsidR="008F6A49" w:rsidRDefault="008F6A49" w:rsidP="00AA30DB">
      <w:pPr>
        <w:spacing w:line="480" w:lineRule="auto"/>
        <w:rPr>
          <w:rFonts w:asciiTheme="majorBidi" w:hAnsiTheme="majorBidi" w:cstheme="majorBidi"/>
        </w:rPr>
      </w:pPr>
      <w:r w:rsidRPr="00D672E5">
        <w:rPr>
          <w:rFonts w:asciiTheme="majorBidi" w:hAnsiTheme="majorBidi" w:cstheme="majorBidi"/>
          <w:b/>
          <w:bCs/>
        </w:rPr>
        <w:t xml:space="preserve">Figure </w:t>
      </w:r>
      <w:r w:rsidR="00B17F8E">
        <w:rPr>
          <w:rFonts w:asciiTheme="majorBidi" w:hAnsiTheme="majorBidi" w:cstheme="majorBidi"/>
          <w:b/>
          <w:bCs/>
        </w:rPr>
        <w:t>4</w:t>
      </w:r>
      <w:r w:rsidRPr="00D672E5">
        <w:rPr>
          <w:rFonts w:asciiTheme="majorBidi" w:hAnsiTheme="majorBidi" w:cstheme="majorBidi"/>
          <w:b/>
          <w:bCs/>
        </w:rPr>
        <w:t>. Forest plots showing the effect of SGLT2 inhibitors on sural nerve sensory parameters in patients with peripheral diabetic neuropathy.</w:t>
      </w:r>
      <w:r w:rsidRPr="008F6A49">
        <w:rPr>
          <w:rFonts w:asciiTheme="majorBidi" w:hAnsiTheme="majorBidi" w:cstheme="majorBidi"/>
        </w:rPr>
        <w:t xml:space="preserve"> (A) Sural nerve sensory conduction velocity (m/s). (B) Sural nerve sensory amplitude (µV).</w:t>
      </w:r>
    </w:p>
    <w:p w14:paraId="2B082727" w14:textId="77777777" w:rsidR="00E569D8" w:rsidRDefault="00E569D8" w:rsidP="00D672E5">
      <w:pPr>
        <w:spacing w:line="480" w:lineRule="auto"/>
        <w:rPr>
          <w:rFonts w:asciiTheme="majorBidi" w:hAnsiTheme="majorBidi" w:cstheme="majorBidi"/>
        </w:rPr>
      </w:pPr>
    </w:p>
    <w:p w14:paraId="1C30C186" w14:textId="77777777" w:rsidR="00E569D8" w:rsidRDefault="00E569D8" w:rsidP="00D672E5">
      <w:pPr>
        <w:spacing w:line="480" w:lineRule="auto"/>
        <w:rPr>
          <w:rFonts w:asciiTheme="majorBidi" w:hAnsiTheme="majorBidi" w:cstheme="majorBidi"/>
        </w:rPr>
      </w:pPr>
    </w:p>
    <w:p w14:paraId="7763D3AD" w14:textId="77777777" w:rsidR="00E569D8" w:rsidRDefault="00E569D8" w:rsidP="00D672E5">
      <w:pPr>
        <w:spacing w:line="480" w:lineRule="auto"/>
        <w:rPr>
          <w:rFonts w:asciiTheme="majorBidi" w:hAnsiTheme="majorBidi" w:cstheme="majorBidi"/>
        </w:rPr>
      </w:pPr>
    </w:p>
    <w:p w14:paraId="1D8B3CD5" w14:textId="77777777" w:rsidR="00E569D8" w:rsidRDefault="00E569D8" w:rsidP="00D672E5">
      <w:pPr>
        <w:spacing w:line="480" w:lineRule="auto"/>
        <w:rPr>
          <w:rFonts w:asciiTheme="majorBidi" w:hAnsiTheme="majorBidi" w:cstheme="majorBidi"/>
        </w:rPr>
      </w:pPr>
    </w:p>
    <w:p w14:paraId="5E57E3FE" w14:textId="77777777" w:rsidR="00E569D8" w:rsidRDefault="00E569D8" w:rsidP="00D672E5">
      <w:pPr>
        <w:spacing w:line="480" w:lineRule="auto"/>
        <w:rPr>
          <w:rFonts w:asciiTheme="majorBidi" w:hAnsiTheme="majorBidi" w:cstheme="majorBidi"/>
        </w:rPr>
      </w:pPr>
    </w:p>
    <w:p w14:paraId="6014F973" w14:textId="77777777" w:rsidR="00E569D8" w:rsidRDefault="00E569D8" w:rsidP="00D672E5">
      <w:pPr>
        <w:spacing w:line="480" w:lineRule="auto"/>
        <w:rPr>
          <w:rFonts w:asciiTheme="majorBidi" w:hAnsiTheme="majorBidi" w:cstheme="majorBidi"/>
        </w:rPr>
      </w:pPr>
    </w:p>
    <w:p w14:paraId="375DAF4D" w14:textId="77777777" w:rsidR="00E569D8" w:rsidRDefault="00E569D8" w:rsidP="00D672E5">
      <w:pPr>
        <w:spacing w:line="480" w:lineRule="auto"/>
        <w:rPr>
          <w:rFonts w:asciiTheme="majorBidi" w:hAnsiTheme="majorBidi" w:cstheme="majorBidi"/>
        </w:rPr>
      </w:pPr>
    </w:p>
    <w:p w14:paraId="4433A9FA" w14:textId="77777777" w:rsidR="00E569D8" w:rsidRDefault="00E569D8" w:rsidP="00D672E5">
      <w:pPr>
        <w:spacing w:line="480" w:lineRule="auto"/>
        <w:rPr>
          <w:rFonts w:asciiTheme="majorBidi" w:hAnsiTheme="majorBidi" w:cstheme="majorBidi"/>
        </w:rPr>
      </w:pPr>
    </w:p>
    <w:p w14:paraId="3CFAD68C" w14:textId="77777777" w:rsidR="00E569D8" w:rsidRDefault="00E569D8" w:rsidP="00D672E5">
      <w:pPr>
        <w:spacing w:line="480" w:lineRule="auto"/>
        <w:rPr>
          <w:rFonts w:asciiTheme="majorBidi" w:hAnsiTheme="majorBidi" w:cstheme="majorBidi"/>
        </w:rPr>
      </w:pPr>
    </w:p>
    <w:p w14:paraId="3769683C" w14:textId="77777777" w:rsidR="00E569D8" w:rsidRDefault="00E569D8" w:rsidP="00D672E5">
      <w:pPr>
        <w:spacing w:line="480" w:lineRule="auto"/>
        <w:rPr>
          <w:rFonts w:asciiTheme="majorBidi" w:hAnsiTheme="majorBidi" w:cstheme="majorBidi"/>
        </w:rPr>
      </w:pPr>
    </w:p>
    <w:p w14:paraId="19559B3D" w14:textId="77777777" w:rsidR="00E569D8" w:rsidRDefault="00E569D8" w:rsidP="00D672E5">
      <w:pPr>
        <w:spacing w:line="480" w:lineRule="auto"/>
        <w:rPr>
          <w:rFonts w:asciiTheme="majorBidi" w:hAnsiTheme="majorBidi" w:cstheme="majorBidi"/>
        </w:rPr>
      </w:pPr>
    </w:p>
    <w:p w14:paraId="6CE34A0A" w14:textId="77777777" w:rsidR="00E569D8" w:rsidRDefault="00E569D8" w:rsidP="00D672E5">
      <w:pPr>
        <w:spacing w:line="480" w:lineRule="auto"/>
        <w:rPr>
          <w:rFonts w:asciiTheme="majorBidi" w:hAnsiTheme="majorBidi" w:cstheme="majorBidi"/>
        </w:rPr>
      </w:pPr>
    </w:p>
    <w:p w14:paraId="163A3953" w14:textId="77777777" w:rsidR="00E569D8" w:rsidRDefault="00E569D8" w:rsidP="00D672E5">
      <w:pPr>
        <w:spacing w:line="480" w:lineRule="auto"/>
        <w:rPr>
          <w:rFonts w:asciiTheme="majorBidi" w:hAnsiTheme="majorBidi" w:cstheme="majorBidi"/>
        </w:rPr>
      </w:pPr>
    </w:p>
    <w:p w14:paraId="6FF1C3AB" w14:textId="77777777" w:rsidR="00E569D8" w:rsidRDefault="00E569D8" w:rsidP="00D672E5">
      <w:pPr>
        <w:spacing w:line="480" w:lineRule="auto"/>
        <w:rPr>
          <w:noProof/>
        </w:rPr>
      </w:pPr>
    </w:p>
    <w:p w14:paraId="67484CE1" w14:textId="164BAB27" w:rsidR="00E569D8" w:rsidRDefault="00E569D8" w:rsidP="00D672E5">
      <w:pPr>
        <w:spacing w:line="480" w:lineRule="auto"/>
        <w:rPr>
          <w:rFonts w:asciiTheme="majorBidi" w:hAnsiTheme="majorBidi" w:cstheme="majorBidi"/>
        </w:rPr>
      </w:pPr>
      <w:r>
        <w:rPr>
          <w:noProof/>
        </w:rPr>
        <w:drawing>
          <wp:inline distT="0" distB="0" distL="0" distR="0" wp14:anchorId="750CD55E" wp14:editId="6226060F">
            <wp:extent cx="5440733" cy="3968750"/>
            <wp:effectExtent l="0" t="0" r="7620" b="0"/>
            <wp:docPr id="563956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756" r="9484"/>
                    <a:stretch>
                      <a:fillRect/>
                    </a:stretch>
                  </pic:blipFill>
                  <pic:spPr bwMode="auto">
                    <a:xfrm>
                      <a:off x="0" y="0"/>
                      <a:ext cx="5443284" cy="3970611"/>
                    </a:xfrm>
                    <a:prstGeom prst="rect">
                      <a:avLst/>
                    </a:prstGeom>
                    <a:noFill/>
                    <a:ln>
                      <a:noFill/>
                    </a:ln>
                    <a:extLst>
                      <a:ext uri="{53640926-AAD7-44D8-BBD7-CCE9431645EC}">
                        <a14:shadowObscured xmlns:a14="http://schemas.microsoft.com/office/drawing/2010/main"/>
                      </a:ext>
                    </a:extLst>
                  </pic:spPr>
                </pic:pic>
              </a:graphicData>
            </a:graphic>
          </wp:inline>
        </w:drawing>
      </w:r>
    </w:p>
    <w:p w14:paraId="4EB33C9B" w14:textId="159A9B66" w:rsidR="008F6A49" w:rsidRDefault="00D672E5" w:rsidP="00D672E5">
      <w:pPr>
        <w:spacing w:line="480" w:lineRule="auto"/>
        <w:rPr>
          <w:rFonts w:asciiTheme="majorBidi" w:hAnsiTheme="majorBidi" w:cstheme="majorBidi"/>
        </w:rPr>
      </w:pPr>
      <w:r>
        <w:rPr>
          <w:rFonts w:asciiTheme="majorBidi" w:hAnsiTheme="majorBidi" w:cstheme="majorBidi"/>
        </w:rPr>
        <w:t xml:space="preserve">Figure </w:t>
      </w:r>
      <w:r w:rsidR="00B17F8E">
        <w:rPr>
          <w:rFonts w:asciiTheme="majorBidi" w:hAnsiTheme="majorBidi" w:cstheme="majorBidi"/>
        </w:rPr>
        <w:t>5</w:t>
      </w:r>
      <w:r>
        <w:rPr>
          <w:rFonts w:asciiTheme="majorBidi" w:hAnsiTheme="majorBidi" w:cstheme="majorBidi"/>
        </w:rPr>
        <w:t xml:space="preserve">: </w:t>
      </w:r>
      <w:r w:rsidRPr="00D672E5">
        <w:rPr>
          <w:rFonts w:asciiTheme="majorBidi" w:hAnsiTheme="majorBidi" w:cstheme="majorBidi"/>
        </w:rPr>
        <w:t>Peroneal Nerve Motor Parameters</w:t>
      </w:r>
    </w:p>
    <w:p w14:paraId="70229708" w14:textId="276DC788" w:rsidR="00D672E5" w:rsidRPr="00AA30DB" w:rsidRDefault="00D672E5" w:rsidP="00D672E5">
      <w:pPr>
        <w:spacing w:line="480" w:lineRule="auto"/>
        <w:rPr>
          <w:rFonts w:asciiTheme="majorBidi" w:hAnsiTheme="majorBidi" w:cstheme="majorBidi"/>
        </w:rPr>
      </w:pPr>
      <w:r w:rsidRPr="00D672E5">
        <w:rPr>
          <w:rFonts w:asciiTheme="majorBidi" w:hAnsiTheme="majorBidi" w:cstheme="majorBidi"/>
          <w:b/>
          <w:bCs/>
        </w:rPr>
        <w:t xml:space="preserve">Figure </w:t>
      </w:r>
      <w:r w:rsidR="00B17F8E">
        <w:rPr>
          <w:rFonts w:asciiTheme="majorBidi" w:hAnsiTheme="majorBidi" w:cstheme="majorBidi"/>
          <w:b/>
          <w:bCs/>
        </w:rPr>
        <w:t>5</w:t>
      </w:r>
      <w:r w:rsidRPr="00D672E5">
        <w:rPr>
          <w:rFonts w:asciiTheme="majorBidi" w:hAnsiTheme="majorBidi" w:cstheme="majorBidi"/>
          <w:b/>
          <w:bCs/>
        </w:rPr>
        <w:t>. Forest plots showing the effect of SGLT2 inhibitors on peroneal nerve motor parameters in patients with peripheral diabetic neuropathy.</w:t>
      </w:r>
      <w:r w:rsidRPr="00D672E5">
        <w:rPr>
          <w:rFonts w:asciiTheme="majorBidi" w:hAnsiTheme="majorBidi" w:cstheme="majorBidi"/>
        </w:rPr>
        <w:t xml:space="preserve"> (A) Peroneal nerve motor conduction velocity (m/s). (B) Peroneal nerve motor amplitude (mV). (C) Peroneal nerve motor latency (</w:t>
      </w:r>
      <w:proofErr w:type="spellStart"/>
      <w:r w:rsidRPr="00D672E5">
        <w:rPr>
          <w:rFonts w:asciiTheme="majorBidi" w:hAnsiTheme="majorBidi" w:cstheme="majorBidi"/>
        </w:rPr>
        <w:t>ms</w:t>
      </w:r>
      <w:proofErr w:type="spellEnd"/>
      <w:r w:rsidRPr="00D672E5">
        <w:rPr>
          <w:rFonts w:asciiTheme="majorBidi" w:hAnsiTheme="majorBidi" w:cstheme="majorBidi"/>
        </w:rPr>
        <w:t>).</w:t>
      </w:r>
    </w:p>
    <w:p w14:paraId="030698E0" w14:textId="77777777" w:rsidR="00E569D8" w:rsidRDefault="00E569D8" w:rsidP="006D5FC2">
      <w:pPr>
        <w:spacing w:line="480" w:lineRule="auto"/>
        <w:rPr>
          <w:rFonts w:asciiTheme="majorBidi" w:hAnsiTheme="majorBidi" w:cstheme="majorBidi"/>
        </w:rPr>
      </w:pPr>
    </w:p>
    <w:p w14:paraId="7D434258" w14:textId="77777777" w:rsidR="00E569D8" w:rsidRDefault="00E569D8" w:rsidP="006D5FC2">
      <w:pPr>
        <w:spacing w:line="480" w:lineRule="auto"/>
        <w:rPr>
          <w:rFonts w:asciiTheme="majorBidi" w:hAnsiTheme="majorBidi" w:cstheme="majorBidi"/>
        </w:rPr>
      </w:pPr>
    </w:p>
    <w:p w14:paraId="14CFBC4A" w14:textId="77777777" w:rsidR="00E569D8" w:rsidRDefault="00E569D8" w:rsidP="006D5FC2">
      <w:pPr>
        <w:spacing w:line="480" w:lineRule="auto"/>
        <w:rPr>
          <w:rFonts w:asciiTheme="majorBidi" w:hAnsiTheme="majorBidi" w:cstheme="majorBidi"/>
        </w:rPr>
      </w:pPr>
    </w:p>
    <w:p w14:paraId="732BBE65" w14:textId="77777777" w:rsidR="00E569D8" w:rsidRDefault="00E569D8" w:rsidP="006D5FC2">
      <w:pPr>
        <w:spacing w:line="480" w:lineRule="auto"/>
        <w:rPr>
          <w:rFonts w:asciiTheme="majorBidi" w:hAnsiTheme="majorBidi" w:cstheme="majorBidi"/>
        </w:rPr>
      </w:pPr>
    </w:p>
    <w:p w14:paraId="1893BEA0" w14:textId="77777777" w:rsidR="00E569D8" w:rsidRDefault="00E569D8" w:rsidP="006D5FC2">
      <w:pPr>
        <w:spacing w:line="480" w:lineRule="auto"/>
        <w:rPr>
          <w:rFonts w:asciiTheme="majorBidi" w:hAnsiTheme="majorBidi" w:cstheme="majorBidi"/>
        </w:rPr>
      </w:pPr>
    </w:p>
    <w:p w14:paraId="0C8D140C" w14:textId="77777777" w:rsidR="00E569D8" w:rsidRDefault="00E569D8" w:rsidP="006D5FC2">
      <w:pPr>
        <w:spacing w:line="480" w:lineRule="auto"/>
        <w:rPr>
          <w:rFonts w:asciiTheme="majorBidi" w:hAnsiTheme="majorBidi" w:cstheme="majorBidi"/>
        </w:rPr>
      </w:pPr>
    </w:p>
    <w:p w14:paraId="08269423" w14:textId="77777777" w:rsidR="00E569D8" w:rsidRDefault="00E569D8" w:rsidP="006D5FC2">
      <w:pPr>
        <w:spacing w:line="480" w:lineRule="auto"/>
        <w:rPr>
          <w:rFonts w:asciiTheme="majorBidi" w:hAnsiTheme="majorBidi" w:cstheme="majorBidi"/>
        </w:rPr>
      </w:pPr>
    </w:p>
    <w:p w14:paraId="692CFACC" w14:textId="77777777" w:rsidR="00E569D8" w:rsidRDefault="00E569D8" w:rsidP="006D5FC2">
      <w:pPr>
        <w:spacing w:line="480" w:lineRule="auto"/>
        <w:rPr>
          <w:rFonts w:asciiTheme="majorBidi" w:hAnsiTheme="majorBidi" w:cstheme="majorBidi"/>
        </w:rPr>
      </w:pPr>
    </w:p>
    <w:p w14:paraId="3D61C66E" w14:textId="77777777" w:rsidR="00E569D8" w:rsidRDefault="00E569D8" w:rsidP="006D5FC2">
      <w:pPr>
        <w:spacing w:line="480" w:lineRule="auto"/>
        <w:rPr>
          <w:rFonts w:asciiTheme="majorBidi" w:hAnsiTheme="majorBidi" w:cstheme="majorBidi"/>
        </w:rPr>
      </w:pPr>
    </w:p>
    <w:p w14:paraId="6852F8F0" w14:textId="77777777" w:rsidR="00E569D8" w:rsidRDefault="00E569D8" w:rsidP="006D5FC2">
      <w:pPr>
        <w:spacing w:line="480" w:lineRule="auto"/>
        <w:rPr>
          <w:rFonts w:asciiTheme="majorBidi" w:hAnsiTheme="majorBidi" w:cstheme="majorBidi"/>
        </w:rPr>
      </w:pPr>
    </w:p>
    <w:p w14:paraId="711632ED" w14:textId="77777777" w:rsidR="008D2496" w:rsidRDefault="008D2496" w:rsidP="006D5FC2">
      <w:pPr>
        <w:spacing w:line="480" w:lineRule="auto"/>
        <w:rPr>
          <w:noProof/>
        </w:rPr>
      </w:pPr>
    </w:p>
    <w:p w14:paraId="2B61CF7D" w14:textId="05322DDD" w:rsidR="00E569D8" w:rsidRDefault="008D2496" w:rsidP="006D5FC2">
      <w:pPr>
        <w:spacing w:line="480" w:lineRule="auto"/>
        <w:rPr>
          <w:rFonts w:asciiTheme="majorBidi" w:hAnsiTheme="majorBidi" w:cstheme="majorBidi"/>
        </w:rPr>
      </w:pPr>
      <w:r>
        <w:rPr>
          <w:noProof/>
        </w:rPr>
        <w:drawing>
          <wp:inline distT="0" distB="0" distL="0" distR="0" wp14:anchorId="4132EEFE" wp14:editId="5A605CF5">
            <wp:extent cx="6286500" cy="1331053"/>
            <wp:effectExtent l="0" t="0" r="0" b="2540"/>
            <wp:docPr id="287532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858" t="17429" r="9817"/>
                    <a:stretch>
                      <a:fillRect/>
                    </a:stretch>
                  </pic:blipFill>
                  <pic:spPr bwMode="auto">
                    <a:xfrm>
                      <a:off x="0" y="0"/>
                      <a:ext cx="6308322" cy="1335673"/>
                    </a:xfrm>
                    <a:prstGeom prst="rect">
                      <a:avLst/>
                    </a:prstGeom>
                    <a:noFill/>
                    <a:ln>
                      <a:noFill/>
                    </a:ln>
                    <a:extLst>
                      <a:ext uri="{53640926-AAD7-44D8-BBD7-CCE9431645EC}">
                        <a14:shadowObscured xmlns:a14="http://schemas.microsoft.com/office/drawing/2010/main"/>
                      </a:ext>
                    </a:extLst>
                  </pic:spPr>
                </pic:pic>
              </a:graphicData>
            </a:graphic>
          </wp:inline>
        </w:drawing>
      </w:r>
    </w:p>
    <w:p w14:paraId="2CDEA238" w14:textId="4DF41D50" w:rsidR="006D5FC2" w:rsidRPr="006D5FC2" w:rsidRDefault="006D5FC2" w:rsidP="006D5FC2">
      <w:pPr>
        <w:spacing w:line="480" w:lineRule="auto"/>
        <w:rPr>
          <w:rFonts w:asciiTheme="majorBidi" w:hAnsiTheme="majorBidi" w:cstheme="majorBidi"/>
        </w:rPr>
      </w:pPr>
      <w:r w:rsidRPr="006D5FC2">
        <w:rPr>
          <w:rFonts w:asciiTheme="majorBidi" w:hAnsiTheme="majorBidi" w:cstheme="majorBidi"/>
        </w:rPr>
        <w:t xml:space="preserve">Figure </w:t>
      </w:r>
      <w:r w:rsidR="00B17F8E">
        <w:rPr>
          <w:rFonts w:asciiTheme="majorBidi" w:hAnsiTheme="majorBidi" w:cstheme="majorBidi"/>
        </w:rPr>
        <w:t>6</w:t>
      </w:r>
      <w:r w:rsidR="002455E4">
        <w:rPr>
          <w:rFonts w:asciiTheme="majorBidi" w:hAnsiTheme="majorBidi" w:cstheme="majorBidi"/>
        </w:rPr>
        <w:t>:</w:t>
      </w:r>
      <w:r w:rsidRPr="006D5FC2">
        <w:rPr>
          <w:rFonts w:asciiTheme="majorBidi" w:hAnsiTheme="majorBidi" w:cstheme="majorBidi"/>
        </w:rPr>
        <w:t xml:space="preserve"> Malondialdehyde</w:t>
      </w:r>
      <w:r>
        <w:rPr>
          <w:rFonts w:asciiTheme="majorBidi" w:hAnsiTheme="majorBidi" w:cstheme="majorBidi"/>
        </w:rPr>
        <w:t xml:space="preserve"> (MDA)</w:t>
      </w:r>
    </w:p>
    <w:p w14:paraId="74021A94" w14:textId="55AEC643" w:rsidR="006D5FC2" w:rsidRPr="006D5FC2" w:rsidRDefault="006D5FC2" w:rsidP="006D5FC2">
      <w:pPr>
        <w:spacing w:line="480" w:lineRule="auto"/>
        <w:rPr>
          <w:rFonts w:asciiTheme="majorBidi" w:hAnsiTheme="majorBidi" w:cstheme="majorBidi"/>
          <w:b/>
          <w:bCs/>
        </w:rPr>
      </w:pPr>
      <w:r w:rsidRPr="006D5FC2">
        <w:rPr>
          <w:rFonts w:asciiTheme="majorBidi" w:hAnsiTheme="majorBidi" w:cstheme="majorBidi"/>
          <w:b/>
          <w:bCs/>
        </w:rPr>
        <w:t xml:space="preserve">Figure </w:t>
      </w:r>
      <w:r w:rsidR="00B17F8E">
        <w:rPr>
          <w:rFonts w:asciiTheme="majorBidi" w:hAnsiTheme="majorBidi" w:cstheme="majorBidi"/>
          <w:b/>
          <w:bCs/>
        </w:rPr>
        <w:t>6</w:t>
      </w:r>
      <w:r w:rsidRPr="006D5FC2">
        <w:rPr>
          <w:rFonts w:asciiTheme="majorBidi" w:hAnsiTheme="majorBidi" w:cstheme="majorBidi"/>
          <w:b/>
          <w:bCs/>
        </w:rPr>
        <w:t>. Forest plot showing the effect of SGLT2 inhibitors on malondialdehyde (MDA), a marker of lipid peroxidation and systemic oxidative stress, in patients with peripheral diabetic neuropathy.</w:t>
      </w:r>
    </w:p>
    <w:p w14:paraId="044E0303" w14:textId="77777777" w:rsidR="006D5FC2" w:rsidRPr="00127A65" w:rsidRDefault="006D5FC2" w:rsidP="00127A65">
      <w:pPr>
        <w:spacing w:line="480" w:lineRule="auto"/>
        <w:rPr>
          <w:lang w:val="en-US"/>
        </w:rPr>
      </w:pPr>
    </w:p>
    <w:p w14:paraId="26D0152A" w14:textId="77777777" w:rsidR="00200DF4" w:rsidRPr="00127A65" w:rsidRDefault="00200DF4" w:rsidP="00C208BC">
      <w:pPr>
        <w:spacing w:after="120" w:line="360" w:lineRule="auto"/>
        <w:rPr>
          <w:lang w:val="en-US"/>
        </w:rPr>
      </w:pPr>
    </w:p>
    <w:p w14:paraId="17C8A701" w14:textId="77777777" w:rsidR="00200DF4" w:rsidRDefault="00200DF4" w:rsidP="00C208BC">
      <w:pPr>
        <w:spacing w:after="120" w:line="360" w:lineRule="auto"/>
        <w:sectPr w:rsidR="00200DF4" w:rsidSect="00AC58D8">
          <w:pgSz w:w="11906" w:h="16838" w:code="9"/>
          <w:pgMar w:top="1440" w:right="1440" w:bottom="1440" w:left="1440" w:header="720" w:footer="720" w:gutter="0"/>
          <w:pgNumType w:start="1"/>
          <w:cols w:space="720"/>
          <w:docGrid w:linePitch="299"/>
        </w:sectPr>
      </w:pPr>
    </w:p>
    <w:p w14:paraId="07BB946E" w14:textId="77777777" w:rsidR="00200DF4" w:rsidRDefault="00000000" w:rsidP="00C208BC">
      <w:pPr>
        <w:pStyle w:val="Heading1"/>
        <w:spacing w:line="360" w:lineRule="auto"/>
        <w:rPr>
          <w:sz w:val="20"/>
          <w:szCs w:val="20"/>
        </w:rPr>
      </w:pPr>
      <w:bookmarkStart w:id="6" w:name="_wxxcre7injtm" w:colFirst="0" w:colLast="0"/>
      <w:bookmarkEnd w:id="6"/>
      <w:r>
        <w:rPr>
          <w:rFonts w:ascii="Times New Roman" w:eastAsia="Times New Roman" w:hAnsi="Times New Roman" w:cs="Times New Roman"/>
          <w:sz w:val="22"/>
          <w:szCs w:val="22"/>
        </w:rPr>
        <w:lastRenderedPageBreak/>
        <w:t>Table 1: Baseline characteristics</w:t>
      </w:r>
    </w:p>
    <w:tbl>
      <w:tblPr>
        <w:tblStyle w:val="a"/>
        <w:tblW w:w="16110" w:type="dxa"/>
        <w:tblInd w:w="-9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90"/>
        <w:gridCol w:w="899"/>
        <w:gridCol w:w="989"/>
        <w:gridCol w:w="1259"/>
        <w:gridCol w:w="1169"/>
        <w:gridCol w:w="1079"/>
        <w:gridCol w:w="790"/>
        <w:gridCol w:w="924"/>
        <w:gridCol w:w="900"/>
        <w:gridCol w:w="989"/>
        <w:gridCol w:w="725"/>
        <w:gridCol w:w="959"/>
        <w:gridCol w:w="640"/>
        <w:gridCol w:w="979"/>
        <w:gridCol w:w="600"/>
        <w:gridCol w:w="859"/>
        <w:gridCol w:w="680"/>
        <w:gridCol w:w="680"/>
      </w:tblGrid>
      <w:tr w:rsidR="009A4123" w:rsidRPr="00381F74" w14:paraId="28822016" w14:textId="77777777" w:rsidTr="00381F74">
        <w:trPr>
          <w:trHeight w:val="180"/>
        </w:trPr>
        <w:tc>
          <w:tcPr>
            <w:tcW w:w="990" w:type="dxa"/>
            <w:vMerge w:val="restart"/>
            <w:shd w:val="clear" w:color="auto" w:fill="F2F2F2"/>
            <w:tcMar>
              <w:top w:w="0" w:type="dxa"/>
              <w:left w:w="0" w:type="dxa"/>
              <w:bottom w:w="0" w:type="dxa"/>
              <w:right w:w="0" w:type="dxa"/>
            </w:tcMar>
          </w:tcPr>
          <w:p w14:paraId="4239E2E1"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Study ID</w:t>
            </w:r>
          </w:p>
        </w:tc>
        <w:tc>
          <w:tcPr>
            <w:tcW w:w="899" w:type="dxa"/>
            <w:vMerge w:val="restart"/>
            <w:shd w:val="clear" w:color="auto" w:fill="F2F2F2"/>
            <w:tcMar>
              <w:top w:w="0" w:type="dxa"/>
              <w:left w:w="0" w:type="dxa"/>
              <w:bottom w:w="0" w:type="dxa"/>
              <w:right w:w="0" w:type="dxa"/>
            </w:tcMar>
          </w:tcPr>
          <w:p w14:paraId="41C19DF1"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Study Region</w:t>
            </w:r>
          </w:p>
        </w:tc>
        <w:tc>
          <w:tcPr>
            <w:tcW w:w="989" w:type="dxa"/>
            <w:vMerge w:val="restart"/>
            <w:shd w:val="clear" w:color="auto" w:fill="F2F2F2"/>
            <w:tcMar>
              <w:top w:w="0" w:type="dxa"/>
              <w:left w:w="0" w:type="dxa"/>
              <w:bottom w:w="0" w:type="dxa"/>
              <w:right w:w="0" w:type="dxa"/>
            </w:tcMar>
          </w:tcPr>
          <w:p w14:paraId="3BD4F5FA"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Study Design</w:t>
            </w:r>
          </w:p>
        </w:tc>
        <w:tc>
          <w:tcPr>
            <w:tcW w:w="1259" w:type="dxa"/>
            <w:vMerge w:val="restart"/>
            <w:shd w:val="clear" w:color="auto" w:fill="F2F2F2"/>
            <w:tcMar>
              <w:top w:w="0" w:type="dxa"/>
              <w:left w:w="0" w:type="dxa"/>
              <w:bottom w:w="0" w:type="dxa"/>
              <w:right w:w="0" w:type="dxa"/>
            </w:tcMar>
          </w:tcPr>
          <w:p w14:paraId="6FBC3096"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Intervention</w:t>
            </w:r>
          </w:p>
        </w:tc>
        <w:tc>
          <w:tcPr>
            <w:tcW w:w="1169" w:type="dxa"/>
            <w:vMerge w:val="restart"/>
            <w:shd w:val="clear" w:color="auto" w:fill="F2F2F2"/>
            <w:tcMar>
              <w:top w:w="0" w:type="dxa"/>
              <w:left w:w="0" w:type="dxa"/>
              <w:bottom w:w="0" w:type="dxa"/>
              <w:right w:w="0" w:type="dxa"/>
            </w:tcMar>
          </w:tcPr>
          <w:p w14:paraId="21A0D185"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Control</w:t>
            </w:r>
          </w:p>
        </w:tc>
        <w:tc>
          <w:tcPr>
            <w:tcW w:w="1869" w:type="dxa"/>
            <w:gridSpan w:val="2"/>
            <w:shd w:val="clear" w:color="auto" w:fill="F2F2F2"/>
            <w:tcMar>
              <w:top w:w="0" w:type="dxa"/>
              <w:left w:w="0" w:type="dxa"/>
              <w:bottom w:w="0" w:type="dxa"/>
              <w:right w:w="0" w:type="dxa"/>
            </w:tcMar>
          </w:tcPr>
          <w:p w14:paraId="3192ABDE"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Sample Size (N)</w:t>
            </w:r>
          </w:p>
        </w:tc>
        <w:tc>
          <w:tcPr>
            <w:tcW w:w="1824" w:type="dxa"/>
            <w:gridSpan w:val="2"/>
            <w:shd w:val="clear" w:color="auto" w:fill="F2F2F2"/>
            <w:tcMar>
              <w:top w:w="0" w:type="dxa"/>
              <w:left w:w="0" w:type="dxa"/>
              <w:bottom w:w="0" w:type="dxa"/>
              <w:right w:w="0" w:type="dxa"/>
            </w:tcMar>
          </w:tcPr>
          <w:p w14:paraId="62D8213D"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Age (Years)</w:t>
            </w:r>
          </w:p>
        </w:tc>
        <w:tc>
          <w:tcPr>
            <w:tcW w:w="1714" w:type="dxa"/>
            <w:gridSpan w:val="2"/>
            <w:shd w:val="clear" w:color="auto" w:fill="F2F2F2"/>
            <w:tcMar>
              <w:top w:w="0" w:type="dxa"/>
              <w:left w:w="0" w:type="dxa"/>
              <w:bottom w:w="0" w:type="dxa"/>
              <w:right w:w="0" w:type="dxa"/>
            </w:tcMar>
          </w:tcPr>
          <w:p w14:paraId="188006D7"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Gender (M:F)</w:t>
            </w:r>
          </w:p>
        </w:tc>
        <w:tc>
          <w:tcPr>
            <w:tcW w:w="1599" w:type="dxa"/>
            <w:gridSpan w:val="2"/>
            <w:shd w:val="clear" w:color="auto" w:fill="F2F2F2"/>
            <w:tcMar>
              <w:top w:w="0" w:type="dxa"/>
              <w:left w:w="0" w:type="dxa"/>
              <w:bottom w:w="0" w:type="dxa"/>
              <w:right w:w="0" w:type="dxa"/>
            </w:tcMar>
          </w:tcPr>
          <w:p w14:paraId="02932C3E"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BMI (kg/m²)</w:t>
            </w:r>
          </w:p>
        </w:tc>
        <w:tc>
          <w:tcPr>
            <w:tcW w:w="1579" w:type="dxa"/>
            <w:gridSpan w:val="2"/>
            <w:shd w:val="clear" w:color="auto" w:fill="F2F2F2"/>
            <w:tcMar>
              <w:top w:w="0" w:type="dxa"/>
              <w:left w:w="0" w:type="dxa"/>
              <w:bottom w:w="0" w:type="dxa"/>
              <w:right w:w="0" w:type="dxa"/>
            </w:tcMar>
          </w:tcPr>
          <w:p w14:paraId="6314FA99"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HbA1c (%)</w:t>
            </w:r>
          </w:p>
        </w:tc>
        <w:tc>
          <w:tcPr>
            <w:tcW w:w="1539" w:type="dxa"/>
            <w:gridSpan w:val="2"/>
            <w:shd w:val="clear" w:color="auto" w:fill="F2F2F2"/>
            <w:tcMar>
              <w:top w:w="0" w:type="dxa"/>
              <w:left w:w="0" w:type="dxa"/>
              <w:bottom w:w="0" w:type="dxa"/>
              <w:right w:w="0" w:type="dxa"/>
            </w:tcMar>
          </w:tcPr>
          <w:p w14:paraId="16123D01"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Duration of Diabetes</w:t>
            </w:r>
          </w:p>
        </w:tc>
        <w:tc>
          <w:tcPr>
            <w:tcW w:w="680" w:type="dxa"/>
            <w:shd w:val="clear" w:color="auto" w:fill="F2F2F2"/>
            <w:tcMar>
              <w:top w:w="0" w:type="dxa"/>
              <w:left w:w="0" w:type="dxa"/>
              <w:bottom w:w="0" w:type="dxa"/>
              <w:right w:w="0" w:type="dxa"/>
            </w:tcMar>
          </w:tcPr>
          <w:p w14:paraId="54BB1785"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Follow up</w:t>
            </w:r>
          </w:p>
        </w:tc>
      </w:tr>
      <w:tr w:rsidR="009A4123" w:rsidRPr="00381F74" w14:paraId="56EB43AB" w14:textId="77777777" w:rsidTr="00381F74">
        <w:tc>
          <w:tcPr>
            <w:tcW w:w="990" w:type="dxa"/>
            <w:vMerge/>
            <w:shd w:val="clear" w:color="auto" w:fill="F2F2F2"/>
            <w:tcMar>
              <w:top w:w="0" w:type="dxa"/>
              <w:left w:w="0" w:type="dxa"/>
              <w:bottom w:w="0" w:type="dxa"/>
              <w:right w:w="0" w:type="dxa"/>
            </w:tcMar>
          </w:tcPr>
          <w:p w14:paraId="2315AC82" w14:textId="77777777" w:rsidR="009A4123" w:rsidRPr="00381F74" w:rsidRDefault="009A4123" w:rsidP="00C208BC">
            <w:pPr>
              <w:widowControl w:val="0"/>
              <w:spacing w:after="120" w:line="360" w:lineRule="auto"/>
              <w:rPr>
                <w:rFonts w:asciiTheme="majorBidi" w:eastAsia="Lexend" w:hAnsiTheme="majorBidi" w:cstheme="majorBidi"/>
                <w:sz w:val="18"/>
                <w:szCs w:val="18"/>
              </w:rPr>
            </w:pPr>
          </w:p>
        </w:tc>
        <w:tc>
          <w:tcPr>
            <w:tcW w:w="899" w:type="dxa"/>
            <w:vMerge/>
            <w:shd w:val="clear" w:color="auto" w:fill="F2F2F2"/>
            <w:tcMar>
              <w:top w:w="0" w:type="dxa"/>
              <w:left w:w="0" w:type="dxa"/>
              <w:bottom w:w="0" w:type="dxa"/>
              <w:right w:w="0" w:type="dxa"/>
            </w:tcMar>
          </w:tcPr>
          <w:p w14:paraId="1187B9C4" w14:textId="77777777" w:rsidR="009A4123" w:rsidRPr="00381F74" w:rsidRDefault="009A4123" w:rsidP="00C208BC">
            <w:pPr>
              <w:widowControl w:val="0"/>
              <w:spacing w:after="120" w:line="360" w:lineRule="auto"/>
              <w:rPr>
                <w:rFonts w:asciiTheme="majorBidi" w:eastAsia="Lexend" w:hAnsiTheme="majorBidi" w:cstheme="majorBidi"/>
                <w:sz w:val="18"/>
                <w:szCs w:val="18"/>
              </w:rPr>
            </w:pPr>
          </w:p>
        </w:tc>
        <w:tc>
          <w:tcPr>
            <w:tcW w:w="989" w:type="dxa"/>
            <w:vMerge/>
            <w:shd w:val="clear" w:color="auto" w:fill="F2F2F2"/>
            <w:tcMar>
              <w:top w:w="0" w:type="dxa"/>
              <w:left w:w="0" w:type="dxa"/>
              <w:bottom w:w="0" w:type="dxa"/>
              <w:right w:w="0" w:type="dxa"/>
            </w:tcMar>
          </w:tcPr>
          <w:p w14:paraId="1EEE5312" w14:textId="77777777" w:rsidR="009A4123" w:rsidRPr="00381F74" w:rsidRDefault="009A4123" w:rsidP="00C208BC">
            <w:pPr>
              <w:widowControl w:val="0"/>
              <w:spacing w:after="120" w:line="360" w:lineRule="auto"/>
              <w:rPr>
                <w:rFonts w:asciiTheme="majorBidi" w:eastAsia="Lexend" w:hAnsiTheme="majorBidi" w:cstheme="majorBidi"/>
                <w:sz w:val="18"/>
                <w:szCs w:val="18"/>
              </w:rPr>
            </w:pPr>
          </w:p>
        </w:tc>
        <w:tc>
          <w:tcPr>
            <w:tcW w:w="1259" w:type="dxa"/>
            <w:vMerge/>
            <w:shd w:val="clear" w:color="auto" w:fill="F2F2F2"/>
            <w:tcMar>
              <w:top w:w="0" w:type="dxa"/>
              <w:left w:w="0" w:type="dxa"/>
              <w:bottom w:w="0" w:type="dxa"/>
              <w:right w:w="0" w:type="dxa"/>
            </w:tcMar>
          </w:tcPr>
          <w:p w14:paraId="647729DF" w14:textId="77777777" w:rsidR="009A4123" w:rsidRPr="00381F74" w:rsidRDefault="009A4123" w:rsidP="00C208BC">
            <w:pPr>
              <w:widowControl w:val="0"/>
              <w:spacing w:after="120" w:line="360" w:lineRule="auto"/>
              <w:rPr>
                <w:rFonts w:asciiTheme="majorBidi" w:eastAsia="Lexend" w:hAnsiTheme="majorBidi" w:cstheme="majorBidi"/>
                <w:sz w:val="18"/>
                <w:szCs w:val="18"/>
              </w:rPr>
            </w:pPr>
          </w:p>
        </w:tc>
        <w:tc>
          <w:tcPr>
            <w:tcW w:w="1169" w:type="dxa"/>
            <w:vMerge/>
            <w:shd w:val="clear" w:color="auto" w:fill="F2F2F2"/>
            <w:tcMar>
              <w:top w:w="0" w:type="dxa"/>
              <w:left w:w="0" w:type="dxa"/>
              <w:bottom w:w="0" w:type="dxa"/>
              <w:right w:w="0" w:type="dxa"/>
            </w:tcMar>
          </w:tcPr>
          <w:p w14:paraId="4A8E30D2"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p>
        </w:tc>
        <w:tc>
          <w:tcPr>
            <w:tcW w:w="1079" w:type="dxa"/>
            <w:shd w:val="clear" w:color="auto" w:fill="F2F2F2"/>
            <w:tcMar>
              <w:top w:w="0" w:type="dxa"/>
              <w:left w:w="0" w:type="dxa"/>
              <w:bottom w:w="0" w:type="dxa"/>
              <w:right w:w="0" w:type="dxa"/>
            </w:tcMar>
          </w:tcPr>
          <w:p w14:paraId="4BF3B5D7"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Intervention</w:t>
            </w:r>
          </w:p>
        </w:tc>
        <w:tc>
          <w:tcPr>
            <w:tcW w:w="790" w:type="dxa"/>
            <w:shd w:val="clear" w:color="auto" w:fill="F2F2F2"/>
            <w:tcMar>
              <w:top w:w="0" w:type="dxa"/>
              <w:left w:w="0" w:type="dxa"/>
              <w:bottom w:w="0" w:type="dxa"/>
              <w:right w:w="0" w:type="dxa"/>
            </w:tcMar>
          </w:tcPr>
          <w:p w14:paraId="5F93D2DE"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Control</w:t>
            </w:r>
          </w:p>
        </w:tc>
        <w:tc>
          <w:tcPr>
            <w:tcW w:w="924" w:type="dxa"/>
            <w:shd w:val="clear" w:color="auto" w:fill="F2F2F2"/>
            <w:tcMar>
              <w:top w:w="0" w:type="dxa"/>
              <w:left w:w="0" w:type="dxa"/>
              <w:bottom w:w="0" w:type="dxa"/>
              <w:right w:w="0" w:type="dxa"/>
            </w:tcMar>
          </w:tcPr>
          <w:p w14:paraId="450D7FB7"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Intervention</w:t>
            </w:r>
          </w:p>
        </w:tc>
        <w:tc>
          <w:tcPr>
            <w:tcW w:w="900" w:type="dxa"/>
            <w:shd w:val="clear" w:color="auto" w:fill="F2F2F2"/>
            <w:tcMar>
              <w:top w:w="0" w:type="dxa"/>
              <w:left w:w="0" w:type="dxa"/>
              <w:bottom w:w="0" w:type="dxa"/>
              <w:right w:w="0" w:type="dxa"/>
            </w:tcMar>
          </w:tcPr>
          <w:p w14:paraId="31E96CFE"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Control</w:t>
            </w:r>
          </w:p>
        </w:tc>
        <w:tc>
          <w:tcPr>
            <w:tcW w:w="989" w:type="dxa"/>
            <w:shd w:val="clear" w:color="auto" w:fill="F2F2F2"/>
            <w:tcMar>
              <w:top w:w="0" w:type="dxa"/>
              <w:left w:w="0" w:type="dxa"/>
              <w:bottom w:w="0" w:type="dxa"/>
              <w:right w:w="0" w:type="dxa"/>
            </w:tcMar>
          </w:tcPr>
          <w:p w14:paraId="63071A1F" w14:textId="77777777" w:rsidR="009A4123" w:rsidRPr="00381F74" w:rsidRDefault="009A4123" w:rsidP="009826F5">
            <w:pPr>
              <w:widowControl w:val="0"/>
              <w:spacing w:after="120" w:line="360" w:lineRule="auto"/>
              <w:ind w:right="-10"/>
              <w:jc w:val="center"/>
              <w:rPr>
                <w:rFonts w:asciiTheme="majorBidi" w:eastAsia="Lexend" w:hAnsiTheme="majorBidi" w:cstheme="majorBidi"/>
                <w:sz w:val="18"/>
                <w:szCs w:val="18"/>
              </w:rPr>
            </w:pPr>
            <w:r w:rsidRPr="00381F74">
              <w:rPr>
                <w:rFonts w:asciiTheme="majorBidi" w:eastAsia="Lexend" w:hAnsiTheme="majorBidi" w:cstheme="majorBidi"/>
                <w:sz w:val="18"/>
                <w:szCs w:val="18"/>
              </w:rPr>
              <w:t>Intervention</w:t>
            </w:r>
          </w:p>
        </w:tc>
        <w:tc>
          <w:tcPr>
            <w:tcW w:w="725" w:type="dxa"/>
            <w:shd w:val="clear" w:color="auto" w:fill="F2F2F2"/>
            <w:tcMar>
              <w:top w:w="0" w:type="dxa"/>
              <w:left w:w="0" w:type="dxa"/>
              <w:bottom w:w="0" w:type="dxa"/>
              <w:right w:w="0" w:type="dxa"/>
            </w:tcMar>
          </w:tcPr>
          <w:p w14:paraId="22820CE7"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Control</w:t>
            </w:r>
          </w:p>
        </w:tc>
        <w:tc>
          <w:tcPr>
            <w:tcW w:w="959" w:type="dxa"/>
            <w:shd w:val="clear" w:color="auto" w:fill="F2F2F2"/>
            <w:tcMar>
              <w:top w:w="0" w:type="dxa"/>
              <w:left w:w="0" w:type="dxa"/>
              <w:bottom w:w="0" w:type="dxa"/>
              <w:right w:w="0" w:type="dxa"/>
            </w:tcMar>
          </w:tcPr>
          <w:p w14:paraId="7235B422"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Intervention</w:t>
            </w:r>
          </w:p>
        </w:tc>
        <w:tc>
          <w:tcPr>
            <w:tcW w:w="640" w:type="dxa"/>
            <w:shd w:val="clear" w:color="auto" w:fill="F2F2F2"/>
            <w:tcMar>
              <w:top w:w="0" w:type="dxa"/>
              <w:left w:w="0" w:type="dxa"/>
              <w:bottom w:w="0" w:type="dxa"/>
              <w:right w:w="0" w:type="dxa"/>
            </w:tcMar>
          </w:tcPr>
          <w:p w14:paraId="114C81BA"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Control</w:t>
            </w:r>
          </w:p>
        </w:tc>
        <w:tc>
          <w:tcPr>
            <w:tcW w:w="979" w:type="dxa"/>
            <w:shd w:val="clear" w:color="auto" w:fill="F2F2F2"/>
            <w:tcMar>
              <w:top w:w="0" w:type="dxa"/>
              <w:left w:w="0" w:type="dxa"/>
              <w:bottom w:w="0" w:type="dxa"/>
              <w:right w:w="0" w:type="dxa"/>
            </w:tcMar>
          </w:tcPr>
          <w:p w14:paraId="3F197C56"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Intervention</w:t>
            </w:r>
          </w:p>
        </w:tc>
        <w:tc>
          <w:tcPr>
            <w:tcW w:w="600" w:type="dxa"/>
            <w:shd w:val="clear" w:color="auto" w:fill="F2F2F2"/>
            <w:tcMar>
              <w:top w:w="0" w:type="dxa"/>
              <w:left w:w="0" w:type="dxa"/>
              <w:bottom w:w="0" w:type="dxa"/>
              <w:right w:w="0" w:type="dxa"/>
            </w:tcMar>
          </w:tcPr>
          <w:p w14:paraId="4FC3B8D2"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Control</w:t>
            </w:r>
          </w:p>
        </w:tc>
        <w:tc>
          <w:tcPr>
            <w:tcW w:w="859" w:type="dxa"/>
            <w:shd w:val="clear" w:color="auto" w:fill="F2F2F2"/>
            <w:tcMar>
              <w:top w:w="0" w:type="dxa"/>
              <w:left w:w="0" w:type="dxa"/>
              <w:bottom w:w="0" w:type="dxa"/>
              <w:right w:w="0" w:type="dxa"/>
            </w:tcMar>
          </w:tcPr>
          <w:p w14:paraId="46B79503"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Intervention</w:t>
            </w:r>
          </w:p>
        </w:tc>
        <w:tc>
          <w:tcPr>
            <w:tcW w:w="680" w:type="dxa"/>
            <w:shd w:val="clear" w:color="auto" w:fill="F2F2F2"/>
            <w:tcMar>
              <w:top w:w="0" w:type="dxa"/>
              <w:left w:w="0" w:type="dxa"/>
              <w:bottom w:w="0" w:type="dxa"/>
              <w:right w:w="0" w:type="dxa"/>
            </w:tcMar>
          </w:tcPr>
          <w:p w14:paraId="0BDC5CD9"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Control</w:t>
            </w:r>
          </w:p>
        </w:tc>
        <w:tc>
          <w:tcPr>
            <w:tcW w:w="680" w:type="dxa"/>
            <w:vMerge w:val="restart"/>
            <w:shd w:val="clear" w:color="auto" w:fill="F2F2F2"/>
            <w:tcMar>
              <w:top w:w="0" w:type="dxa"/>
              <w:left w:w="0" w:type="dxa"/>
              <w:bottom w:w="0" w:type="dxa"/>
              <w:right w:w="0" w:type="dxa"/>
            </w:tcMar>
          </w:tcPr>
          <w:p w14:paraId="1FE2B29F"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p>
        </w:tc>
      </w:tr>
      <w:tr w:rsidR="009A4123" w:rsidRPr="00381F74" w14:paraId="7437342D" w14:textId="77777777" w:rsidTr="00381F74">
        <w:tc>
          <w:tcPr>
            <w:tcW w:w="990" w:type="dxa"/>
            <w:vMerge/>
            <w:shd w:val="clear" w:color="auto" w:fill="F2F2F2"/>
            <w:tcMar>
              <w:top w:w="0" w:type="dxa"/>
              <w:left w:w="0" w:type="dxa"/>
              <w:bottom w:w="0" w:type="dxa"/>
              <w:right w:w="0" w:type="dxa"/>
            </w:tcMar>
          </w:tcPr>
          <w:p w14:paraId="1A8FE305" w14:textId="77777777" w:rsidR="009A4123" w:rsidRPr="00381F74" w:rsidRDefault="009A4123" w:rsidP="00C208BC">
            <w:pPr>
              <w:widowControl w:val="0"/>
              <w:spacing w:after="120" w:line="360" w:lineRule="auto"/>
              <w:rPr>
                <w:rFonts w:asciiTheme="majorBidi" w:eastAsia="Lexend" w:hAnsiTheme="majorBidi" w:cstheme="majorBidi"/>
                <w:sz w:val="18"/>
                <w:szCs w:val="18"/>
              </w:rPr>
            </w:pPr>
          </w:p>
        </w:tc>
        <w:tc>
          <w:tcPr>
            <w:tcW w:w="899" w:type="dxa"/>
            <w:vMerge/>
            <w:shd w:val="clear" w:color="auto" w:fill="F2F2F2"/>
            <w:tcMar>
              <w:top w:w="0" w:type="dxa"/>
              <w:left w:w="0" w:type="dxa"/>
              <w:bottom w:w="0" w:type="dxa"/>
              <w:right w:w="0" w:type="dxa"/>
            </w:tcMar>
          </w:tcPr>
          <w:p w14:paraId="1D04FFE0" w14:textId="77777777" w:rsidR="009A4123" w:rsidRPr="00381F74" w:rsidRDefault="009A4123" w:rsidP="00C208BC">
            <w:pPr>
              <w:widowControl w:val="0"/>
              <w:spacing w:after="120" w:line="360" w:lineRule="auto"/>
              <w:rPr>
                <w:rFonts w:asciiTheme="majorBidi" w:eastAsia="Lexend" w:hAnsiTheme="majorBidi" w:cstheme="majorBidi"/>
                <w:sz w:val="18"/>
                <w:szCs w:val="18"/>
              </w:rPr>
            </w:pPr>
          </w:p>
        </w:tc>
        <w:tc>
          <w:tcPr>
            <w:tcW w:w="989" w:type="dxa"/>
            <w:vMerge/>
            <w:shd w:val="clear" w:color="auto" w:fill="F2F2F2"/>
            <w:tcMar>
              <w:top w:w="0" w:type="dxa"/>
              <w:left w:w="0" w:type="dxa"/>
              <w:bottom w:w="0" w:type="dxa"/>
              <w:right w:w="0" w:type="dxa"/>
            </w:tcMar>
          </w:tcPr>
          <w:p w14:paraId="63D8EBAC" w14:textId="77777777" w:rsidR="009A4123" w:rsidRPr="00381F74" w:rsidRDefault="009A4123" w:rsidP="00C208BC">
            <w:pPr>
              <w:widowControl w:val="0"/>
              <w:spacing w:after="120" w:line="360" w:lineRule="auto"/>
              <w:rPr>
                <w:rFonts w:asciiTheme="majorBidi" w:eastAsia="Lexend" w:hAnsiTheme="majorBidi" w:cstheme="majorBidi"/>
                <w:sz w:val="18"/>
                <w:szCs w:val="18"/>
              </w:rPr>
            </w:pPr>
          </w:p>
        </w:tc>
        <w:tc>
          <w:tcPr>
            <w:tcW w:w="1259" w:type="dxa"/>
            <w:vMerge/>
            <w:shd w:val="clear" w:color="auto" w:fill="F2F2F2"/>
            <w:tcMar>
              <w:top w:w="0" w:type="dxa"/>
              <w:left w:w="0" w:type="dxa"/>
              <w:bottom w:w="0" w:type="dxa"/>
              <w:right w:w="0" w:type="dxa"/>
            </w:tcMar>
          </w:tcPr>
          <w:p w14:paraId="13FBA177" w14:textId="77777777" w:rsidR="009A4123" w:rsidRPr="00381F74" w:rsidRDefault="009A4123" w:rsidP="00C208BC">
            <w:pPr>
              <w:widowControl w:val="0"/>
              <w:spacing w:after="120" w:line="360" w:lineRule="auto"/>
              <w:rPr>
                <w:rFonts w:asciiTheme="majorBidi" w:eastAsia="Lexend" w:hAnsiTheme="majorBidi" w:cstheme="majorBidi"/>
                <w:sz w:val="18"/>
                <w:szCs w:val="18"/>
              </w:rPr>
            </w:pPr>
          </w:p>
        </w:tc>
        <w:tc>
          <w:tcPr>
            <w:tcW w:w="1169" w:type="dxa"/>
            <w:vMerge/>
            <w:shd w:val="clear" w:color="auto" w:fill="F2F2F2"/>
            <w:tcMar>
              <w:top w:w="0" w:type="dxa"/>
              <w:left w:w="0" w:type="dxa"/>
              <w:bottom w:w="0" w:type="dxa"/>
              <w:right w:w="0" w:type="dxa"/>
            </w:tcMar>
          </w:tcPr>
          <w:p w14:paraId="376E0D33"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p>
        </w:tc>
        <w:tc>
          <w:tcPr>
            <w:tcW w:w="1079" w:type="dxa"/>
            <w:shd w:val="clear" w:color="auto" w:fill="F2F2F2"/>
            <w:tcMar>
              <w:top w:w="0" w:type="dxa"/>
              <w:left w:w="0" w:type="dxa"/>
              <w:bottom w:w="0" w:type="dxa"/>
              <w:right w:w="0" w:type="dxa"/>
            </w:tcMar>
          </w:tcPr>
          <w:p w14:paraId="13FD357F"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Number</w:t>
            </w:r>
          </w:p>
        </w:tc>
        <w:tc>
          <w:tcPr>
            <w:tcW w:w="790" w:type="dxa"/>
            <w:shd w:val="clear" w:color="auto" w:fill="F2F2F2"/>
            <w:tcMar>
              <w:top w:w="0" w:type="dxa"/>
              <w:left w:w="0" w:type="dxa"/>
              <w:bottom w:w="0" w:type="dxa"/>
              <w:right w:w="0" w:type="dxa"/>
            </w:tcMar>
          </w:tcPr>
          <w:p w14:paraId="73FA060D"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Number</w:t>
            </w:r>
          </w:p>
        </w:tc>
        <w:tc>
          <w:tcPr>
            <w:tcW w:w="924" w:type="dxa"/>
            <w:shd w:val="clear" w:color="auto" w:fill="F2F2F2"/>
            <w:tcMar>
              <w:top w:w="0" w:type="dxa"/>
              <w:left w:w="0" w:type="dxa"/>
              <w:bottom w:w="0" w:type="dxa"/>
              <w:right w:w="0" w:type="dxa"/>
            </w:tcMar>
          </w:tcPr>
          <w:p w14:paraId="59C71469"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Mean ± SD</w:t>
            </w:r>
          </w:p>
        </w:tc>
        <w:tc>
          <w:tcPr>
            <w:tcW w:w="900" w:type="dxa"/>
            <w:shd w:val="clear" w:color="auto" w:fill="F2F2F2"/>
            <w:tcMar>
              <w:top w:w="0" w:type="dxa"/>
              <w:left w:w="0" w:type="dxa"/>
              <w:bottom w:w="0" w:type="dxa"/>
              <w:right w:w="0" w:type="dxa"/>
            </w:tcMar>
          </w:tcPr>
          <w:p w14:paraId="4566EB5E"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Mean ± SD</w:t>
            </w:r>
          </w:p>
        </w:tc>
        <w:tc>
          <w:tcPr>
            <w:tcW w:w="989" w:type="dxa"/>
            <w:shd w:val="clear" w:color="auto" w:fill="F2F2F2"/>
            <w:tcMar>
              <w:top w:w="0" w:type="dxa"/>
              <w:left w:w="0" w:type="dxa"/>
              <w:bottom w:w="0" w:type="dxa"/>
              <w:right w:w="0" w:type="dxa"/>
            </w:tcMar>
          </w:tcPr>
          <w:p w14:paraId="18604C38"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Number</w:t>
            </w:r>
          </w:p>
        </w:tc>
        <w:tc>
          <w:tcPr>
            <w:tcW w:w="725" w:type="dxa"/>
            <w:shd w:val="clear" w:color="auto" w:fill="F2F2F2"/>
            <w:tcMar>
              <w:top w:w="0" w:type="dxa"/>
              <w:left w:w="0" w:type="dxa"/>
              <w:bottom w:w="0" w:type="dxa"/>
              <w:right w:w="0" w:type="dxa"/>
            </w:tcMar>
          </w:tcPr>
          <w:p w14:paraId="4158B65E"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Number</w:t>
            </w:r>
          </w:p>
        </w:tc>
        <w:tc>
          <w:tcPr>
            <w:tcW w:w="959" w:type="dxa"/>
            <w:shd w:val="clear" w:color="auto" w:fill="F2F2F2"/>
            <w:tcMar>
              <w:top w:w="0" w:type="dxa"/>
              <w:left w:w="0" w:type="dxa"/>
              <w:bottom w:w="0" w:type="dxa"/>
              <w:right w:w="0" w:type="dxa"/>
            </w:tcMar>
          </w:tcPr>
          <w:p w14:paraId="03590C91"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Mean ± SD</w:t>
            </w:r>
          </w:p>
        </w:tc>
        <w:tc>
          <w:tcPr>
            <w:tcW w:w="640" w:type="dxa"/>
            <w:shd w:val="clear" w:color="auto" w:fill="F2F2F2"/>
            <w:tcMar>
              <w:top w:w="0" w:type="dxa"/>
              <w:left w:w="0" w:type="dxa"/>
              <w:bottom w:w="0" w:type="dxa"/>
              <w:right w:w="0" w:type="dxa"/>
            </w:tcMar>
          </w:tcPr>
          <w:p w14:paraId="0A43D70B"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Mean ± SD</w:t>
            </w:r>
          </w:p>
        </w:tc>
        <w:tc>
          <w:tcPr>
            <w:tcW w:w="979" w:type="dxa"/>
            <w:shd w:val="clear" w:color="auto" w:fill="F2F2F2"/>
            <w:tcMar>
              <w:top w:w="0" w:type="dxa"/>
              <w:left w:w="0" w:type="dxa"/>
              <w:bottom w:w="0" w:type="dxa"/>
              <w:right w:w="0" w:type="dxa"/>
            </w:tcMar>
          </w:tcPr>
          <w:p w14:paraId="679D7598"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Number</w:t>
            </w:r>
          </w:p>
        </w:tc>
        <w:tc>
          <w:tcPr>
            <w:tcW w:w="600" w:type="dxa"/>
            <w:shd w:val="clear" w:color="auto" w:fill="F2F2F2"/>
            <w:tcMar>
              <w:top w:w="0" w:type="dxa"/>
              <w:left w:w="0" w:type="dxa"/>
              <w:bottom w:w="0" w:type="dxa"/>
              <w:right w:w="0" w:type="dxa"/>
            </w:tcMar>
          </w:tcPr>
          <w:p w14:paraId="1EB535B1"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Number</w:t>
            </w:r>
          </w:p>
        </w:tc>
        <w:tc>
          <w:tcPr>
            <w:tcW w:w="859" w:type="dxa"/>
            <w:shd w:val="clear" w:color="auto" w:fill="F2F2F2"/>
            <w:tcMar>
              <w:top w:w="0" w:type="dxa"/>
              <w:left w:w="0" w:type="dxa"/>
              <w:bottom w:w="0" w:type="dxa"/>
              <w:right w:w="0" w:type="dxa"/>
            </w:tcMar>
          </w:tcPr>
          <w:p w14:paraId="18C9B305"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Mean ± SD</w:t>
            </w:r>
          </w:p>
        </w:tc>
        <w:tc>
          <w:tcPr>
            <w:tcW w:w="680" w:type="dxa"/>
            <w:shd w:val="clear" w:color="auto" w:fill="F2F2F2"/>
            <w:tcMar>
              <w:top w:w="0" w:type="dxa"/>
              <w:left w:w="0" w:type="dxa"/>
              <w:bottom w:w="0" w:type="dxa"/>
              <w:right w:w="0" w:type="dxa"/>
            </w:tcMar>
          </w:tcPr>
          <w:p w14:paraId="0CE590A0"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Mean ± SD</w:t>
            </w:r>
          </w:p>
        </w:tc>
        <w:tc>
          <w:tcPr>
            <w:tcW w:w="680" w:type="dxa"/>
            <w:vMerge/>
            <w:shd w:val="clear" w:color="auto" w:fill="F2F2F2"/>
            <w:tcMar>
              <w:top w:w="0" w:type="dxa"/>
              <w:left w:w="0" w:type="dxa"/>
              <w:bottom w:w="0" w:type="dxa"/>
              <w:right w:w="0" w:type="dxa"/>
            </w:tcMar>
          </w:tcPr>
          <w:p w14:paraId="5DE9FA61" w14:textId="77777777" w:rsidR="009A4123" w:rsidRPr="00381F74" w:rsidRDefault="009A4123" w:rsidP="00C208BC">
            <w:pPr>
              <w:widowControl w:val="0"/>
              <w:spacing w:after="120" w:line="360" w:lineRule="auto"/>
              <w:rPr>
                <w:rFonts w:asciiTheme="majorBidi" w:eastAsia="Lexend" w:hAnsiTheme="majorBidi" w:cstheme="majorBidi"/>
                <w:sz w:val="18"/>
                <w:szCs w:val="18"/>
              </w:rPr>
            </w:pPr>
          </w:p>
        </w:tc>
      </w:tr>
      <w:tr w:rsidR="00381F74" w:rsidRPr="00381F74" w14:paraId="2D623D79" w14:textId="77777777" w:rsidTr="00381F74">
        <w:trPr>
          <w:trHeight w:val="180"/>
        </w:trPr>
        <w:tc>
          <w:tcPr>
            <w:tcW w:w="990" w:type="dxa"/>
            <w:tcMar>
              <w:top w:w="0" w:type="dxa"/>
              <w:left w:w="0" w:type="dxa"/>
              <w:bottom w:w="0" w:type="dxa"/>
              <w:right w:w="0" w:type="dxa"/>
            </w:tcMar>
          </w:tcPr>
          <w:p w14:paraId="04D9937E" w14:textId="77777777"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Mehta 2021</w:t>
            </w:r>
          </w:p>
        </w:tc>
        <w:tc>
          <w:tcPr>
            <w:tcW w:w="899" w:type="dxa"/>
            <w:tcMar>
              <w:top w:w="0" w:type="dxa"/>
              <w:left w:w="0" w:type="dxa"/>
              <w:bottom w:w="0" w:type="dxa"/>
              <w:right w:w="0" w:type="dxa"/>
            </w:tcMar>
          </w:tcPr>
          <w:p w14:paraId="29FC070A" w14:textId="77777777"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India</w:t>
            </w:r>
          </w:p>
        </w:tc>
        <w:tc>
          <w:tcPr>
            <w:tcW w:w="989" w:type="dxa"/>
            <w:tcMar>
              <w:top w:w="0" w:type="dxa"/>
              <w:left w:w="0" w:type="dxa"/>
              <w:bottom w:w="0" w:type="dxa"/>
              <w:right w:w="0" w:type="dxa"/>
            </w:tcMar>
          </w:tcPr>
          <w:p w14:paraId="44A6E24D" w14:textId="77777777"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RCT</w:t>
            </w:r>
          </w:p>
        </w:tc>
        <w:tc>
          <w:tcPr>
            <w:tcW w:w="1259" w:type="dxa"/>
            <w:tcMar>
              <w:top w:w="0" w:type="dxa"/>
              <w:left w:w="0" w:type="dxa"/>
              <w:bottom w:w="0" w:type="dxa"/>
              <w:right w:w="0" w:type="dxa"/>
            </w:tcMar>
          </w:tcPr>
          <w:p w14:paraId="48D8460C" w14:textId="634494C2"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Empagliflozin 25 mg once daily </w:t>
            </w:r>
          </w:p>
        </w:tc>
        <w:tc>
          <w:tcPr>
            <w:tcW w:w="1169" w:type="dxa"/>
            <w:tcMar>
              <w:top w:w="0" w:type="dxa"/>
              <w:left w:w="0" w:type="dxa"/>
              <w:bottom w:w="0" w:type="dxa"/>
              <w:right w:w="0" w:type="dxa"/>
            </w:tcMar>
          </w:tcPr>
          <w:p w14:paraId="2C042416" w14:textId="5534FD24"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Oral hypoglycemic agents</w:t>
            </w:r>
          </w:p>
        </w:tc>
        <w:tc>
          <w:tcPr>
            <w:tcW w:w="1079" w:type="dxa"/>
            <w:tcMar>
              <w:top w:w="0" w:type="dxa"/>
              <w:left w:w="0" w:type="dxa"/>
              <w:bottom w:w="0" w:type="dxa"/>
              <w:right w:w="0" w:type="dxa"/>
            </w:tcMar>
          </w:tcPr>
          <w:p w14:paraId="35E91EC8" w14:textId="3D8CF0A9"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50</w:t>
            </w:r>
          </w:p>
        </w:tc>
        <w:tc>
          <w:tcPr>
            <w:tcW w:w="790" w:type="dxa"/>
            <w:tcMar>
              <w:top w:w="0" w:type="dxa"/>
              <w:left w:w="0" w:type="dxa"/>
              <w:bottom w:w="0" w:type="dxa"/>
              <w:right w:w="0" w:type="dxa"/>
            </w:tcMar>
          </w:tcPr>
          <w:p w14:paraId="4B4EC0BD" w14:textId="77777777"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50</w:t>
            </w:r>
          </w:p>
        </w:tc>
        <w:tc>
          <w:tcPr>
            <w:tcW w:w="1824" w:type="dxa"/>
            <w:gridSpan w:val="2"/>
            <w:tcMar>
              <w:top w:w="0" w:type="dxa"/>
              <w:left w:w="0" w:type="dxa"/>
              <w:bottom w:w="0" w:type="dxa"/>
              <w:right w:w="0" w:type="dxa"/>
            </w:tcMar>
          </w:tcPr>
          <w:p w14:paraId="18DBAB90" w14:textId="241F9716"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50 ± 6.2 (Overall) </w:t>
            </w:r>
          </w:p>
        </w:tc>
        <w:tc>
          <w:tcPr>
            <w:tcW w:w="989" w:type="dxa"/>
            <w:tcMar>
              <w:top w:w="0" w:type="dxa"/>
              <w:left w:w="0" w:type="dxa"/>
              <w:bottom w:w="0" w:type="dxa"/>
              <w:right w:w="0" w:type="dxa"/>
            </w:tcMar>
          </w:tcPr>
          <w:p w14:paraId="3E518463" w14:textId="158672C9"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30:20</w:t>
            </w:r>
          </w:p>
        </w:tc>
        <w:tc>
          <w:tcPr>
            <w:tcW w:w="725" w:type="dxa"/>
            <w:tcMar>
              <w:top w:w="0" w:type="dxa"/>
              <w:left w:w="0" w:type="dxa"/>
              <w:bottom w:w="0" w:type="dxa"/>
              <w:right w:w="0" w:type="dxa"/>
            </w:tcMar>
          </w:tcPr>
          <w:p w14:paraId="585091F8" w14:textId="77777777"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29:21</w:t>
            </w:r>
          </w:p>
        </w:tc>
        <w:tc>
          <w:tcPr>
            <w:tcW w:w="959" w:type="dxa"/>
            <w:tcMar>
              <w:top w:w="0" w:type="dxa"/>
              <w:left w:w="0" w:type="dxa"/>
              <w:bottom w:w="0" w:type="dxa"/>
              <w:right w:w="0" w:type="dxa"/>
            </w:tcMar>
          </w:tcPr>
          <w:p w14:paraId="25FCC64A" w14:textId="11889C0B"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28.9 ± 0.7 </w:t>
            </w:r>
          </w:p>
        </w:tc>
        <w:tc>
          <w:tcPr>
            <w:tcW w:w="640" w:type="dxa"/>
            <w:tcMar>
              <w:top w:w="0" w:type="dxa"/>
              <w:left w:w="0" w:type="dxa"/>
              <w:bottom w:w="0" w:type="dxa"/>
              <w:right w:w="0" w:type="dxa"/>
            </w:tcMar>
          </w:tcPr>
          <w:p w14:paraId="6D4FCDA3" w14:textId="77777777"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26.9 ± 0.5 </w:t>
            </w:r>
          </w:p>
        </w:tc>
        <w:tc>
          <w:tcPr>
            <w:tcW w:w="979" w:type="dxa"/>
            <w:tcMar>
              <w:top w:w="0" w:type="dxa"/>
              <w:left w:w="0" w:type="dxa"/>
              <w:bottom w:w="0" w:type="dxa"/>
              <w:right w:w="0" w:type="dxa"/>
            </w:tcMar>
          </w:tcPr>
          <w:p w14:paraId="2990CE5E" w14:textId="61EE42CA"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14.04 ± 3.1 </w:t>
            </w:r>
          </w:p>
        </w:tc>
        <w:tc>
          <w:tcPr>
            <w:tcW w:w="600" w:type="dxa"/>
            <w:tcMar>
              <w:top w:w="0" w:type="dxa"/>
              <w:left w:w="0" w:type="dxa"/>
              <w:bottom w:w="0" w:type="dxa"/>
              <w:right w:w="0" w:type="dxa"/>
            </w:tcMar>
          </w:tcPr>
          <w:p w14:paraId="3349B235" w14:textId="77777777"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13.78 ± 2.9 </w:t>
            </w:r>
          </w:p>
        </w:tc>
        <w:tc>
          <w:tcPr>
            <w:tcW w:w="1539" w:type="dxa"/>
            <w:gridSpan w:val="2"/>
            <w:tcMar>
              <w:top w:w="0" w:type="dxa"/>
              <w:left w:w="0" w:type="dxa"/>
              <w:bottom w:w="0" w:type="dxa"/>
              <w:right w:w="0" w:type="dxa"/>
            </w:tcMar>
          </w:tcPr>
          <w:p w14:paraId="1E200C03" w14:textId="77777777"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15 ± 4.5 (Overall) </w:t>
            </w:r>
          </w:p>
          <w:p w14:paraId="4E79A3D6" w14:textId="77777777" w:rsidR="00381F74" w:rsidRPr="00381F74" w:rsidRDefault="00381F74" w:rsidP="00C208BC">
            <w:pPr>
              <w:widowControl w:val="0"/>
              <w:spacing w:after="120" w:line="360" w:lineRule="auto"/>
              <w:jc w:val="center"/>
              <w:rPr>
                <w:rFonts w:asciiTheme="majorBidi" w:eastAsia="Lexend" w:hAnsiTheme="majorBidi" w:cstheme="majorBidi"/>
                <w:sz w:val="18"/>
                <w:szCs w:val="18"/>
              </w:rPr>
            </w:pPr>
          </w:p>
        </w:tc>
        <w:tc>
          <w:tcPr>
            <w:tcW w:w="680" w:type="dxa"/>
            <w:tcMar>
              <w:top w:w="0" w:type="dxa"/>
              <w:left w:w="0" w:type="dxa"/>
              <w:bottom w:w="0" w:type="dxa"/>
              <w:right w:w="0" w:type="dxa"/>
            </w:tcMar>
          </w:tcPr>
          <w:p w14:paraId="2B8F23EE" w14:textId="77777777" w:rsidR="00381F74" w:rsidRPr="00381F74" w:rsidRDefault="00381F74"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6 months</w:t>
            </w:r>
          </w:p>
        </w:tc>
      </w:tr>
      <w:tr w:rsidR="009A4123" w:rsidRPr="00381F74" w14:paraId="75E07455" w14:textId="77777777" w:rsidTr="00381F74">
        <w:trPr>
          <w:trHeight w:val="921"/>
        </w:trPr>
        <w:tc>
          <w:tcPr>
            <w:tcW w:w="990" w:type="dxa"/>
            <w:tcMar>
              <w:top w:w="0" w:type="dxa"/>
              <w:left w:w="0" w:type="dxa"/>
              <w:bottom w:w="0" w:type="dxa"/>
              <w:right w:w="0" w:type="dxa"/>
            </w:tcMar>
          </w:tcPr>
          <w:p w14:paraId="2CDD26E5"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Liao 2022</w:t>
            </w:r>
          </w:p>
        </w:tc>
        <w:tc>
          <w:tcPr>
            <w:tcW w:w="899" w:type="dxa"/>
            <w:tcMar>
              <w:top w:w="0" w:type="dxa"/>
              <w:left w:w="0" w:type="dxa"/>
              <w:bottom w:w="0" w:type="dxa"/>
              <w:right w:w="0" w:type="dxa"/>
            </w:tcMar>
          </w:tcPr>
          <w:p w14:paraId="3B29F429"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34 countries</w:t>
            </w:r>
          </w:p>
        </w:tc>
        <w:tc>
          <w:tcPr>
            <w:tcW w:w="989" w:type="dxa"/>
            <w:tcMar>
              <w:top w:w="0" w:type="dxa"/>
              <w:left w:w="0" w:type="dxa"/>
              <w:bottom w:w="0" w:type="dxa"/>
              <w:right w:w="0" w:type="dxa"/>
            </w:tcMar>
          </w:tcPr>
          <w:p w14:paraId="5388A1FC"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Post hoc RCT</w:t>
            </w:r>
          </w:p>
        </w:tc>
        <w:tc>
          <w:tcPr>
            <w:tcW w:w="1259" w:type="dxa"/>
            <w:tcMar>
              <w:top w:w="0" w:type="dxa"/>
              <w:left w:w="0" w:type="dxa"/>
              <w:bottom w:w="0" w:type="dxa"/>
              <w:right w:w="0" w:type="dxa"/>
            </w:tcMar>
          </w:tcPr>
          <w:p w14:paraId="13C4FB94"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Canagliflozin 100 mg</w:t>
            </w:r>
          </w:p>
        </w:tc>
        <w:tc>
          <w:tcPr>
            <w:tcW w:w="1169" w:type="dxa"/>
            <w:tcMar>
              <w:top w:w="0" w:type="dxa"/>
              <w:left w:w="0" w:type="dxa"/>
              <w:bottom w:w="0" w:type="dxa"/>
              <w:right w:w="0" w:type="dxa"/>
            </w:tcMar>
          </w:tcPr>
          <w:p w14:paraId="06F42740"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Placebo</w:t>
            </w:r>
          </w:p>
        </w:tc>
        <w:tc>
          <w:tcPr>
            <w:tcW w:w="1079" w:type="dxa"/>
            <w:tcMar>
              <w:top w:w="0" w:type="dxa"/>
              <w:left w:w="0" w:type="dxa"/>
              <w:bottom w:w="0" w:type="dxa"/>
              <w:right w:w="0" w:type="dxa"/>
            </w:tcMar>
          </w:tcPr>
          <w:p w14:paraId="5F92647E"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2202</w:t>
            </w:r>
          </w:p>
        </w:tc>
        <w:tc>
          <w:tcPr>
            <w:tcW w:w="790" w:type="dxa"/>
            <w:tcMar>
              <w:top w:w="0" w:type="dxa"/>
              <w:left w:w="0" w:type="dxa"/>
              <w:bottom w:w="0" w:type="dxa"/>
              <w:right w:w="0" w:type="dxa"/>
            </w:tcMar>
          </w:tcPr>
          <w:p w14:paraId="0E260FFE"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2199</w:t>
            </w:r>
          </w:p>
        </w:tc>
        <w:tc>
          <w:tcPr>
            <w:tcW w:w="1824" w:type="dxa"/>
            <w:gridSpan w:val="2"/>
            <w:tcMar>
              <w:top w:w="0" w:type="dxa"/>
              <w:left w:w="0" w:type="dxa"/>
              <w:bottom w:w="0" w:type="dxa"/>
              <w:right w:w="0" w:type="dxa"/>
            </w:tcMar>
          </w:tcPr>
          <w:p w14:paraId="65402B0F"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63.0 ± 9.2 (Overall) </w:t>
            </w:r>
          </w:p>
        </w:tc>
        <w:tc>
          <w:tcPr>
            <w:tcW w:w="1714" w:type="dxa"/>
            <w:gridSpan w:val="2"/>
            <w:tcMar>
              <w:top w:w="0" w:type="dxa"/>
              <w:left w:w="0" w:type="dxa"/>
              <w:bottom w:w="0" w:type="dxa"/>
              <w:right w:w="0" w:type="dxa"/>
            </w:tcMar>
          </w:tcPr>
          <w:p w14:paraId="2402C2AF" w14:textId="2AAE8310" w:rsidR="009A4123" w:rsidRPr="00381F74" w:rsidRDefault="009A4123" w:rsidP="009826F5">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2907:1494 (Overall)</w:t>
            </w:r>
          </w:p>
        </w:tc>
        <w:tc>
          <w:tcPr>
            <w:tcW w:w="1599" w:type="dxa"/>
            <w:gridSpan w:val="2"/>
            <w:tcMar>
              <w:top w:w="0" w:type="dxa"/>
              <w:left w:w="0" w:type="dxa"/>
              <w:bottom w:w="0" w:type="dxa"/>
              <w:right w:w="0" w:type="dxa"/>
            </w:tcMar>
          </w:tcPr>
          <w:p w14:paraId="4DC503E2" w14:textId="03E6BE61" w:rsidR="009A4123" w:rsidRPr="00381F74" w:rsidRDefault="009A4123" w:rsidP="009826F5">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31.3 ± 6.2 (Overall) </w:t>
            </w:r>
          </w:p>
        </w:tc>
        <w:tc>
          <w:tcPr>
            <w:tcW w:w="1579" w:type="dxa"/>
            <w:gridSpan w:val="2"/>
            <w:tcMar>
              <w:top w:w="0" w:type="dxa"/>
              <w:left w:w="0" w:type="dxa"/>
              <w:bottom w:w="0" w:type="dxa"/>
              <w:right w:w="0" w:type="dxa"/>
            </w:tcMar>
          </w:tcPr>
          <w:p w14:paraId="2CAF48E7" w14:textId="2B075C6C" w:rsidR="009A4123" w:rsidRPr="00381F74" w:rsidRDefault="009A4123" w:rsidP="009826F5">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8.3 ± 1.3 (Overall)</w:t>
            </w:r>
          </w:p>
        </w:tc>
        <w:tc>
          <w:tcPr>
            <w:tcW w:w="1539" w:type="dxa"/>
            <w:gridSpan w:val="2"/>
            <w:tcMar>
              <w:top w:w="0" w:type="dxa"/>
              <w:left w:w="0" w:type="dxa"/>
              <w:bottom w:w="0" w:type="dxa"/>
              <w:right w:w="0" w:type="dxa"/>
            </w:tcMar>
          </w:tcPr>
          <w:p w14:paraId="36A7C2A1" w14:textId="1CF62A7C" w:rsidR="009A4123" w:rsidRPr="00381F74" w:rsidRDefault="009A4123" w:rsidP="009826F5">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15.8 ± 8.6 (Overall) </w:t>
            </w:r>
          </w:p>
        </w:tc>
        <w:tc>
          <w:tcPr>
            <w:tcW w:w="680" w:type="dxa"/>
            <w:tcMar>
              <w:top w:w="0" w:type="dxa"/>
              <w:left w:w="0" w:type="dxa"/>
              <w:bottom w:w="0" w:type="dxa"/>
              <w:right w:w="0" w:type="dxa"/>
            </w:tcMar>
          </w:tcPr>
          <w:p w14:paraId="5CE26F9B"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2.62 years</w:t>
            </w:r>
          </w:p>
        </w:tc>
      </w:tr>
      <w:tr w:rsidR="009A4123" w:rsidRPr="00381F74" w14:paraId="2B663094" w14:textId="77777777" w:rsidTr="00381F74">
        <w:tc>
          <w:tcPr>
            <w:tcW w:w="990" w:type="dxa"/>
            <w:tcMar>
              <w:top w:w="0" w:type="dxa"/>
              <w:left w:w="0" w:type="dxa"/>
              <w:bottom w:w="0" w:type="dxa"/>
              <w:right w:w="0" w:type="dxa"/>
            </w:tcMar>
          </w:tcPr>
          <w:p w14:paraId="3EDBD7B7"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Ishibashi 2022</w:t>
            </w:r>
          </w:p>
        </w:tc>
        <w:tc>
          <w:tcPr>
            <w:tcW w:w="899" w:type="dxa"/>
            <w:tcMar>
              <w:top w:w="0" w:type="dxa"/>
              <w:left w:w="0" w:type="dxa"/>
              <w:bottom w:w="0" w:type="dxa"/>
              <w:right w:w="0" w:type="dxa"/>
            </w:tcMar>
          </w:tcPr>
          <w:p w14:paraId="12EF649F"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Japan</w:t>
            </w:r>
          </w:p>
        </w:tc>
        <w:tc>
          <w:tcPr>
            <w:tcW w:w="989" w:type="dxa"/>
            <w:tcMar>
              <w:top w:w="0" w:type="dxa"/>
              <w:left w:w="0" w:type="dxa"/>
              <w:bottom w:w="0" w:type="dxa"/>
              <w:right w:w="0" w:type="dxa"/>
            </w:tcMar>
          </w:tcPr>
          <w:p w14:paraId="04F3D2C6" w14:textId="7A7678CB"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Prospective Cohort</w:t>
            </w:r>
          </w:p>
        </w:tc>
        <w:tc>
          <w:tcPr>
            <w:tcW w:w="1259" w:type="dxa"/>
            <w:tcMar>
              <w:top w:w="0" w:type="dxa"/>
              <w:left w:w="0" w:type="dxa"/>
              <w:bottom w:w="0" w:type="dxa"/>
              <w:right w:w="0" w:type="dxa"/>
            </w:tcMar>
          </w:tcPr>
          <w:p w14:paraId="5895FB1F"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SGLT2i inhibitors </w:t>
            </w:r>
          </w:p>
        </w:tc>
        <w:tc>
          <w:tcPr>
            <w:tcW w:w="1169" w:type="dxa"/>
            <w:tcMar>
              <w:top w:w="0" w:type="dxa"/>
              <w:left w:w="0" w:type="dxa"/>
              <w:bottom w:w="0" w:type="dxa"/>
              <w:right w:w="0" w:type="dxa"/>
            </w:tcMar>
          </w:tcPr>
          <w:p w14:paraId="0CCFC4E2" w14:textId="457A3998" w:rsidR="009A4123" w:rsidRPr="00381F74" w:rsidRDefault="009A4123" w:rsidP="009826F5">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 Standard car</w:t>
            </w:r>
            <w:r w:rsidR="009826F5" w:rsidRPr="00381F74">
              <w:rPr>
                <w:rFonts w:asciiTheme="majorBidi" w:eastAsia="Lexend" w:hAnsiTheme="majorBidi" w:cstheme="majorBidi"/>
                <w:sz w:val="18"/>
                <w:szCs w:val="18"/>
              </w:rPr>
              <w:t>e</w:t>
            </w:r>
            <w:r w:rsidRPr="00381F74">
              <w:rPr>
                <w:rFonts w:asciiTheme="majorBidi" w:eastAsia="Lexend" w:hAnsiTheme="majorBidi" w:cstheme="majorBidi"/>
                <w:sz w:val="18"/>
                <w:szCs w:val="18"/>
              </w:rPr>
              <w:t xml:space="preserve"> </w:t>
            </w:r>
          </w:p>
        </w:tc>
        <w:tc>
          <w:tcPr>
            <w:tcW w:w="1079" w:type="dxa"/>
            <w:tcMar>
              <w:top w:w="0" w:type="dxa"/>
              <w:left w:w="0" w:type="dxa"/>
              <w:bottom w:w="0" w:type="dxa"/>
              <w:right w:w="0" w:type="dxa"/>
            </w:tcMar>
          </w:tcPr>
          <w:p w14:paraId="19C0C5CE"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40</w:t>
            </w:r>
          </w:p>
        </w:tc>
        <w:tc>
          <w:tcPr>
            <w:tcW w:w="790" w:type="dxa"/>
            <w:tcMar>
              <w:top w:w="0" w:type="dxa"/>
              <w:left w:w="0" w:type="dxa"/>
              <w:bottom w:w="0" w:type="dxa"/>
              <w:right w:w="0" w:type="dxa"/>
            </w:tcMar>
          </w:tcPr>
          <w:p w14:paraId="1371300D"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73</w:t>
            </w:r>
          </w:p>
        </w:tc>
        <w:tc>
          <w:tcPr>
            <w:tcW w:w="924" w:type="dxa"/>
            <w:tcMar>
              <w:top w:w="0" w:type="dxa"/>
              <w:left w:w="0" w:type="dxa"/>
              <w:bottom w:w="0" w:type="dxa"/>
              <w:right w:w="0" w:type="dxa"/>
            </w:tcMar>
          </w:tcPr>
          <w:p w14:paraId="784D2FBF"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53.5 ± 1.2</w:t>
            </w:r>
          </w:p>
        </w:tc>
        <w:tc>
          <w:tcPr>
            <w:tcW w:w="900" w:type="dxa"/>
            <w:tcMar>
              <w:top w:w="0" w:type="dxa"/>
              <w:left w:w="0" w:type="dxa"/>
              <w:bottom w:w="0" w:type="dxa"/>
              <w:right w:w="0" w:type="dxa"/>
            </w:tcMar>
          </w:tcPr>
          <w:p w14:paraId="442DA819"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53.7 ± 0.88</w:t>
            </w:r>
          </w:p>
        </w:tc>
        <w:tc>
          <w:tcPr>
            <w:tcW w:w="989" w:type="dxa"/>
            <w:tcMar>
              <w:top w:w="0" w:type="dxa"/>
              <w:left w:w="0" w:type="dxa"/>
              <w:bottom w:w="0" w:type="dxa"/>
              <w:right w:w="0" w:type="dxa"/>
            </w:tcMar>
          </w:tcPr>
          <w:p w14:paraId="2696AEB6"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28:12</w:t>
            </w:r>
          </w:p>
        </w:tc>
        <w:tc>
          <w:tcPr>
            <w:tcW w:w="725" w:type="dxa"/>
            <w:tcMar>
              <w:top w:w="0" w:type="dxa"/>
              <w:left w:w="0" w:type="dxa"/>
              <w:bottom w:w="0" w:type="dxa"/>
              <w:right w:w="0" w:type="dxa"/>
            </w:tcMar>
          </w:tcPr>
          <w:p w14:paraId="7DB9379B"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49:24 </w:t>
            </w:r>
          </w:p>
        </w:tc>
        <w:tc>
          <w:tcPr>
            <w:tcW w:w="959" w:type="dxa"/>
            <w:tcMar>
              <w:top w:w="0" w:type="dxa"/>
              <w:left w:w="0" w:type="dxa"/>
              <w:bottom w:w="0" w:type="dxa"/>
              <w:right w:w="0" w:type="dxa"/>
            </w:tcMar>
          </w:tcPr>
          <w:p w14:paraId="45973E0D"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30.1 ± 0.72 </w:t>
            </w:r>
          </w:p>
        </w:tc>
        <w:tc>
          <w:tcPr>
            <w:tcW w:w="640" w:type="dxa"/>
            <w:tcMar>
              <w:top w:w="0" w:type="dxa"/>
              <w:left w:w="0" w:type="dxa"/>
              <w:bottom w:w="0" w:type="dxa"/>
              <w:right w:w="0" w:type="dxa"/>
            </w:tcMar>
          </w:tcPr>
          <w:p w14:paraId="56346598"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24.8 ± 0.43 </w:t>
            </w:r>
          </w:p>
        </w:tc>
        <w:tc>
          <w:tcPr>
            <w:tcW w:w="979" w:type="dxa"/>
            <w:tcMar>
              <w:top w:w="0" w:type="dxa"/>
              <w:left w:w="0" w:type="dxa"/>
              <w:bottom w:w="0" w:type="dxa"/>
              <w:right w:w="0" w:type="dxa"/>
            </w:tcMar>
          </w:tcPr>
          <w:p w14:paraId="332A4F23"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8.2 ± 0.14 </w:t>
            </w:r>
          </w:p>
        </w:tc>
        <w:tc>
          <w:tcPr>
            <w:tcW w:w="600" w:type="dxa"/>
            <w:tcMar>
              <w:top w:w="0" w:type="dxa"/>
              <w:left w:w="0" w:type="dxa"/>
              <w:bottom w:w="0" w:type="dxa"/>
              <w:right w:w="0" w:type="dxa"/>
            </w:tcMar>
          </w:tcPr>
          <w:p w14:paraId="792AC029"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8.2 ± 0.19 </w:t>
            </w:r>
          </w:p>
        </w:tc>
        <w:tc>
          <w:tcPr>
            <w:tcW w:w="859" w:type="dxa"/>
            <w:tcMar>
              <w:top w:w="0" w:type="dxa"/>
              <w:left w:w="0" w:type="dxa"/>
              <w:bottom w:w="0" w:type="dxa"/>
              <w:right w:w="0" w:type="dxa"/>
            </w:tcMar>
          </w:tcPr>
          <w:p w14:paraId="1BCA465F"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12.7 ± 1.1 </w:t>
            </w:r>
          </w:p>
        </w:tc>
        <w:tc>
          <w:tcPr>
            <w:tcW w:w="680" w:type="dxa"/>
            <w:tcMar>
              <w:top w:w="0" w:type="dxa"/>
              <w:left w:w="0" w:type="dxa"/>
              <w:bottom w:w="0" w:type="dxa"/>
              <w:right w:w="0" w:type="dxa"/>
            </w:tcMar>
          </w:tcPr>
          <w:p w14:paraId="39FA7331"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10.7 ± 0.9 </w:t>
            </w:r>
          </w:p>
        </w:tc>
        <w:tc>
          <w:tcPr>
            <w:tcW w:w="680" w:type="dxa"/>
            <w:tcMar>
              <w:top w:w="0" w:type="dxa"/>
              <w:left w:w="0" w:type="dxa"/>
              <w:bottom w:w="0" w:type="dxa"/>
              <w:right w:w="0" w:type="dxa"/>
            </w:tcMar>
          </w:tcPr>
          <w:p w14:paraId="5821FFFB"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3 years</w:t>
            </w:r>
          </w:p>
        </w:tc>
      </w:tr>
      <w:tr w:rsidR="009A4123" w:rsidRPr="00381F74" w14:paraId="7937D66D" w14:textId="77777777" w:rsidTr="00381F74">
        <w:tc>
          <w:tcPr>
            <w:tcW w:w="990" w:type="dxa"/>
            <w:tcMar>
              <w:top w:w="0" w:type="dxa"/>
              <w:left w:w="0" w:type="dxa"/>
              <w:bottom w:w="0" w:type="dxa"/>
              <w:right w:w="0" w:type="dxa"/>
            </w:tcMar>
          </w:tcPr>
          <w:p w14:paraId="0A6262EE"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El-Haggar 2024</w:t>
            </w:r>
          </w:p>
        </w:tc>
        <w:tc>
          <w:tcPr>
            <w:tcW w:w="899" w:type="dxa"/>
            <w:tcMar>
              <w:top w:w="0" w:type="dxa"/>
              <w:left w:w="0" w:type="dxa"/>
              <w:bottom w:w="0" w:type="dxa"/>
              <w:right w:w="0" w:type="dxa"/>
            </w:tcMar>
          </w:tcPr>
          <w:p w14:paraId="7B79EAAC"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Egypt</w:t>
            </w:r>
          </w:p>
        </w:tc>
        <w:tc>
          <w:tcPr>
            <w:tcW w:w="989" w:type="dxa"/>
            <w:tcMar>
              <w:top w:w="0" w:type="dxa"/>
              <w:left w:w="0" w:type="dxa"/>
              <w:bottom w:w="0" w:type="dxa"/>
              <w:right w:w="0" w:type="dxa"/>
            </w:tcMar>
          </w:tcPr>
          <w:p w14:paraId="0F2CBAC1"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RCT</w:t>
            </w:r>
          </w:p>
        </w:tc>
        <w:tc>
          <w:tcPr>
            <w:tcW w:w="1259" w:type="dxa"/>
            <w:tcMar>
              <w:top w:w="0" w:type="dxa"/>
              <w:left w:w="0" w:type="dxa"/>
              <w:bottom w:w="0" w:type="dxa"/>
              <w:right w:w="0" w:type="dxa"/>
            </w:tcMar>
          </w:tcPr>
          <w:p w14:paraId="5C51FF44"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Empagliflozin 25 mg</w:t>
            </w:r>
          </w:p>
        </w:tc>
        <w:tc>
          <w:tcPr>
            <w:tcW w:w="1169" w:type="dxa"/>
            <w:tcMar>
              <w:top w:w="0" w:type="dxa"/>
              <w:left w:w="0" w:type="dxa"/>
              <w:bottom w:w="0" w:type="dxa"/>
              <w:right w:w="0" w:type="dxa"/>
            </w:tcMar>
          </w:tcPr>
          <w:p w14:paraId="50BACB37"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Placebo</w:t>
            </w:r>
          </w:p>
        </w:tc>
        <w:tc>
          <w:tcPr>
            <w:tcW w:w="1079" w:type="dxa"/>
            <w:tcMar>
              <w:top w:w="0" w:type="dxa"/>
              <w:left w:w="0" w:type="dxa"/>
              <w:bottom w:w="0" w:type="dxa"/>
              <w:right w:w="0" w:type="dxa"/>
            </w:tcMar>
          </w:tcPr>
          <w:p w14:paraId="2912CBF5"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25</w:t>
            </w:r>
          </w:p>
        </w:tc>
        <w:tc>
          <w:tcPr>
            <w:tcW w:w="790" w:type="dxa"/>
            <w:tcMar>
              <w:top w:w="0" w:type="dxa"/>
              <w:left w:w="0" w:type="dxa"/>
              <w:bottom w:w="0" w:type="dxa"/>
              <w:right w:w="0" w:type="dxa"/>
            </w:tcMar>
          </w:tcPr>
          <w:p w14:paraId="51273AB6"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25</w:t>
            </w:r>
          </w:p>
        </w:tc>
        <w:tc>
          <w:tcPr>
            <w:tcW w:w="924" w:type="dxa"/>
            <w:tcMar>
              <w:top w:w="0" w:type="dxa"/>
              <w:left w:w="0" w:type="dxa"/>
              <w:bottom w:w="0" w:type="dxa"/>
              <w:right w:w="0" w:type="dxa"/>
            </w:tcMar>
          </w:tcPr>
          <w:p w14:paraId="6904479C"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52.9 ± 6.29</w:t>
            </w:r>
          </w:p>
        </w:tc>
        <w:tc>
          <w:tcPr>
            <w:tcW w:w="900" w:type="dxa"/>
            <w:tcMar>
              <w:top w:w="0" w:type="dxa"/>
              <w:left w:w="0" w:type="dxa"/>
              <w:bottom w:w="0" w:type="dxa"/>
              <w:right w:w="0" w:type="dxa"/>
            </w:tcMar>
          </w:tcPr>
          <w:p w14:paraId="643C104C"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53.4 ± 6.16</w:t>
            </w:r>
          </w:p>
        </w:tc>
        <w:tc>
          <w:tcPr>
            <w:tcW w:w="989" w:type="dxa"/>
            <w:tcMar>
              <w:top w:w="0" w:type="dxa"/>
              <w:left w:w="0" w:type="dxa"/>
              <w:bottom w:w="0" w:type="dxa"/>
              <w:right w:w="0" w:type="dxa"/>
            </w:tcMar>
          </w:tcPr>
          <w:p w14:paraId="6F4A31A3"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NR</w:t>
            </w:r>
          </w:p>
        </w:tc>
        <w:tc>
          <w:tcPr>
            <w:tcW w:w="725" w:type="dxa"/>
            <w:tcMar>
              <w:top w:w="0" w:type="dxa"/>
              <w:left w:w="0" w:type="dxa"/>
              <w:bottom w:w="0" w:type="dxa"/>
              <w:right w:w="0" w:type="dxa"/>
            </w:tcMar>
          </w:tcPr>
          <w:p w14:paraId="0C5F27FD"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NR</w:t>
            </w:r>
          </w:p>
        </w:tc>
        <w:tc>
          <w:tcPr>
            <w:tcW w:w="959" w:type="dxa"/>
            <w:tcMar>
              <w:top w:w="0" w:type="dxa"/>
              <w:left w:w="0" w:type="dxa"/>
              <w:bottom w:w="0" w:type="dxa"/>
              <w:right w:w="0" w:type="dxa"/>
            </w:tcMar>
          </w:tcPr>
          <w:p w14:paraId="398DCC6F"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NR</w:t>
            </w:r>
          </w:p>
        </w:tc>
        <w:tc>
          <w:tcPr>
            <w:tcW w:w="640" w:type="dxa"/>
            <w:tcMar>
              <w:top w:w="0" w:type="dxa"/>
              <w:left w:w="0" w:type="dxa"/>
              <w:bottom w:w="0" w:type="dxa"/>
              <w:right w:w="0" w:type="dxa"/>
            </w:tcMar>
          </w:tcPr>
          <w:p w14:paraId="0FE888A8"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NR</w:t>
            </w:r>
          </w:p>
        </w:tc>
        <w:tc>
          <w:tcPr>
            <w:tcW w:w="979" w:type="dxa"/>
            <w:tcMar>
              <w:top w:w="0" w:type="dxa"/>
              <w:left w:w="0" w:type="dxa"/>
              <w:bottom w:w="0" w:type="dxa"/>
              <w:right w:w="0" w:type="dxa"/>
            </w:tcMar>
          </w:tcPr>
          <w:p w14:paraId="66CF4FB3"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8.10 ± 0.67 </w:t>
            </w:r>
          </w:p>
        </w:tc>
        <w:tc>
          <w:tcPr>
            <w:tcW w:w="600" w:type="dxa"/>
            <w:tcMar>
              <w:top w:w="0" w:type="dxa"/>
              <w:left w:w="0" w:type="dxa"/>
              <w:bottom w:w="0" w:type="dxa"/>
              <w:right w:w="0" w:type="dxa"/>
            </w:tcMar>
          </w:tcPr>
          <w:p w14:paraId="3A31687C"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7.80 ± 0.91 </w:t>
            </w:r>
          </w:p>
        </w:tc>
        <w:tc>
          <w:tcPr>
            <w:tcW w:w="859" w:type="dxa"/>
            <w:tcMar>
              <w:top w:w="0" w:type="dxa"/>
              <w:left w:w="0" w:type="dxa"/>
              <w:bottom w:w="0" w:type="dxa"/>
              <w:right w:w="0" w:type="dxa"/>
            </w:tcMar>
          </w:tcPr>
          <w:p w14:paraId="734B9240"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NR</w:t>
            </w:r>
          </w:p>
        </w:tc>
        <w:tc>
          <w:tcPr>
            <w:tcW w:w="680" w:type="dxa"/>
            <w:tcMar>
              <w:top w:w="0" w:type="dxa"/>
              <w:left w:w="0" w:type="dxa"/>
              <w:bottom w:w="0" w:type="dxa"/>
              <w:right w:w="0" w:type="dxa"/>
            </w:tcMar>
          </w:tcPr>
          <w:p w14:paraId="3536A460"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NR</w:t>
            </w:r>
          </w:p>
        </w:tc>
        <w:tc>
          <w:tcPr>
            <w:tcW w:w="680" w:type="dxa"/>
            <w:tcMar>
              <w:top w:w="0" w:type="dxa"/>
              <w:left w:w="0" w:type="dxa"/>
              <w:bottom w:w="0" w:type="dxa"/>
              <w:right w:w="0" w:type="dxa"/>
            </w:tcMar>
          </w:tcPr>
          <w:p w14:paraId="0C4CCBEC"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3 months</w:t>
            </w:r>
          </w:p>
        </w:tc>
      </w:tr>
      <w:tr w:rsidR="009A4123" w:rsidRPr="00381F74" w14:paraId="1557B095" w14:textId="77777777" w:rsidTr="00381F74">
        <w:tc>
          <w:tcPr>
            <w:tcW w:w="990" w:type="dxa"/>
            <w:tcMar>
              <w:top w:w="0" w:type="dxa"/>
              <w:left w:w="0" w:type="dxa"/>
              <w:bottom w:w="0" w:type="dxa"/>
              <w:right w:w="0" w:type="dxa"/>
            </w:tcMar>
          </w:tcPr>
          <w:p w14:paraId="6E2A0E8D"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Adhikari 2025</w:t>
            </w:r>
          </w:p>
        </w:tc>
        <w:tc>
          <w:tcPr>
            <w:tcW w:w="899" w:type="dxa"/>
            <w:tcMar>
              <w:top w:w="0" w:type="dxa"/>
              <w:left w:w="0" w:type="dxa"/>
              <w:bottom w:w="0" w:type="dxa"/>
              <w:right w:w="0" w:type="dxa"/>
            </w:tcMar>
          </w:tcPr>
          <w:p w14:paraId="5E7D3A45"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India</w:t>
            </w:r>
          </w:p>
        </w:tc>
        <w:tc>
          <w:tcPr>
            <w:tcW w:w="989" w:type="dxa"/>
            <w:tcMar>
              <w:top w:w="0" w:type="dxa"/>
              <w:left w:w="0" w:type="dxa"/>
              <w:bottom w:w="0" w:type="dxa"/>
              <w:right w:w="0" w:type="dxa"/>
            </w:tcMar>
          </w:tcPr>
          <w:p w14:paraId="05315D6F"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RCT</w:t>
            </w:r>
          </w:p>
        </w:tc>
        <w:tc>
          <w:tcPr>
            <w:tcW w:w="1259" w:type="dxa"/>
            <w:tcMar>
              <w:top w:w="0" w:type="dxa"/>
              <w:left w:w="0" w:type="dxa"/>
              <w:bottom w:w="0" w:type="dxa"/>
              <w:right w:w="0" w:type="dxa"/>
            </w:tcMar>
          </w:tcPr>
          <w:p w14:paraId="385DCA53" w14:textId="06E4682F"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Dapagliflozin 10 mg</w:t>
            </w:r>
            <w:r w:rsidR="009826F5" w:rsidRPr="00381F74">
              <w:rPr>
                <w:rFonts w:asciiTheme="majorBidi" w:eastAsia="Lexend" w:hAnsiTheme="majorBidi" w:cstheme="majorBidi"/>
                <w:sz w:val="18"/>
                <w:szCs w:val="18"/>
              </w:rPr>
              <w:t xml:space="preserve"> once daily</w:t>
            </w:r>
          </w:p>
        </w:tc>
        <w:tc>
          <w:tcPr>
            <w:tcW w:w="1169" w:type="dxa"/>
            <w:tcMar>
              <w:top w:w="0" w:type="dxa"/>
              <w:left w:w="0" w:type="dxa"/>
              <w:bottom w:w="0" w:type="dxa"/>
              <w:right w:w="0" w:type="dxa"/>
            </w:tcMar>
          </w:tcPr>
          <w:p w14:paraId="0127B1EA"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OADs</w:t>
            </w:r>
          </w:p>
        </w:tc>
        <w:tc>
          <w:tcPr>
            <w:tcW w:w="1079" w:type="dxa"/>
            <w:tcMar>
              <w:top w:w="0" w:type="dxa"/>
              <w:left w:w="0" w:type="dxa"/>
              <w:bottom w:w="0" w:type="dxa"/>
              <w:right w:w="0" w:type="dxa"/>
            </w:tcMar>
          </w:tcPr>
          <w:p w14:paraId="6AE116BA"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22</w:t>
            </w:r>
          </w:p>
        </w:tc>
        <w:tc>
          <w:tcPr>
            <w:tcW w:w="790" w:type="dxa"/>
            <w:tcMar>
              <w:top w:w="0" w:type="dxa"/>
              <w:left w:w="0" w:type="dxa"/>
              <w:bottom w:w="0" w:type="dxa"/>
              <w:right w:w="0" w:type="dxa"/>
            </w:tcMar>
          </w:tcPr>
          <w:p w14:paraId="5831CAAA"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18</w:t>
            </w:r>
          </w:p>
        </w:tc>
        <w:tc>
          <w:tcPr>
            <w:tcW w:w="924" w:type="dxa"/>
            <w:tcMar>
              <w:top w:w="0" w:type="dxa"/>
              <w:left w:w="0" w:type="dxa"/>
              <w:bottom w:w="0" w:type="dxa"/>
              <w:right w:w="0" w:type="dxa"/>
            </w:tcMar>
          </w:tcPr>
          <w:p w14:paraId="0938D31F" w14:textId="23C18900" w:rsidR="009A4123" w:rsidRPr="00381F74" w:rsidRDefault="00341B89" w:rsidP="00C208BC">
            <w:pPr>
              <w:widowControl w:val="0"/>
              <w:spacing w:after="120" w:line="360" w:lineRule="auto"/>
              <w:jc w:val="center"/>
              <w:rPr>
                <w:rFonts w:asciiTheme="majorBidi" w:eastAsia="Lexend" w:hAnsiTheme="majorBidi" w:cstheme="majorBidi"/>
                <w:sz w:val="18"/>
                <w:szCs w:val="18"/>
              </w:rPr>
            </w:pPr>
            <w:r>
              <w:rPr>
                <w:rFonts w:asciiTheme="majorBidi" w:eastAsia="Lexend" w:hAnsiTheme="majorBidi" w:cstheme="majorBidi"/>
                <w:sz w:val="18"/>
                <w:szCs w:val="18"/>
              </w:rPr>
              <w:t xml:space="preserve">52.3 </w:t>
            </w:r>
            <w:r w:rsidRPr="00381F74">
              <w:rPr>
                <w:rFonts w:asciiTheme="majorBidi" w:eastAsia="Lexend" w:hAnsiTheme="majorBidi" w:cstheme="majorBidi"/>
                <w:sz w:val="18"/>
                <w:szCs w:val="18"/>
              </w:rPr>
              <w:t>±</w:t>
            </w:r>
            <w:r>
              <w:rPr>
                <w:rFonts w:asciiTheme="majorBidi" w:eastAsia="Lexend" w:hAnsiTheme="majorBidi" w:cstheme="majorBidi"/>
                <w:sz w:val="18"/>
                <w:szCs w:val="18"/>
              </w:rPr>
              <w:t xml:space="preserve"> 13.5</w:t>
            </w:r>
          </w:p>
        </w:tc>
        <w:tc>
          <w:tcPr>
            <w:tcW w:w="900" w:type="dxa"/>
            <w:tcMar>
              <w:top w:w="0" w:type="dxa"/>
              <w:left w:w="0" w:type="dxa"/>
              <w:bottom w:w="0" w:type="dxa"/>
              <w:right w:w="0" w:type="dxa"/>
            </w:tcMar>
          </w:tcPr>
          <w:p w14:paraId="64080D4C" w14:textId="7E94C5B9" w:rsidR="009A4123" w:rsidRPr="00381F74" w:rsidRDefault="00341B89" w:rsidP="00C208BC">
            <w:pPr>
              <w:widowControl w:val="0"/>
              <w:spacing w:after="120" w:line="360" w:lineRule="auto"/>
              <w:jc w:val="center"/>
              <w:rPr>
                <w:rFonts w:asciiTheme="majorBidi" w:eastAsia="Lexend" w:hAnsiTheme="majorBidi" w:cstheme="majorBidi"/>
                <w:sz w:val="18"/>
                <w:szCs w:val="18"/>
              </w:rPr>
            </w:pPr>
            <w:r>
              <w:rPr>
                <w:rFonts w:asciiTheme="majorBidi" w:eastAsia="Lexend" w:hAnsiTheme="majorBidi" w:cstheme="majorBidi"/>
                <w:sz w:val="18"/>
                <w:szCs w:val="18"/>
              </w:rPr>
              <w:t xml:space="preserve">53.6 </w:t>
            </w:r>
            <w:r w:rsidRPr="00381F74">
              <w:rPr>
                <w:rFonts w:asciiTheme="majorBidi" w:eastAsia="Lexend" w:hAnsiTheme="majorBidi" w:cstheme="majorBidi"/>
                <w:sz w:val="18"/>
                <w:szCs w:val="18"/>
              </w:rPr>
              <w:t>±</w:t>
            </w:r>
            <w:r>
              <w:rPr>
                <w:rFonts w:asciiTheme="majorBidi" w:eastAsia="Lexend" w:hAnsiTheme="majorBidi" w:cstheme="majorBidi"/>
                <w:sz w:val="18"/>
                <w:szCs w:val="18"/>
              </w:rPr>
              <w:t xml:space="preserve"> 12.0</w:t>
            </w:r>
          </w:p>
        </w:tc>
        <w:tc>
          <w:tcPr>
            <w:tcW w:w="989" w:type="dxa"/>
            <w:tcMar>
              <w:top w:w="0" w:type="dxa"/>
              <w:left w:w="0" w:type="dxa"/>
              <w:bottom w:w="0" w:type="dxa"/>
              <w:right w:w="0" w:type="dxa"/>
            </w:tcMar>
          </w:tcPr>
          <w:p w14:paraId="23F30FED"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11:11</w:t>
            </w:r>
          </w:p>
        </w:tc>
        <w:tc>
          <w:tcPr>
            <w:tcW w:w="725" w:type="dxa"/>
            <w:tcMar>
              <w:top w:w="0" w:type="dxa"/>
              <w:left w:w="0" w:type="dxa"/>
              <w:bottom w:w="0" w:type="dxa"/>
              <w:right w:w="0" w:type="dxa"/>
            </w:tcMar>
          </w:tcPr>
          <w:p w14:paraId="3EB6BF7B"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5:13</w:t>
            </w:r>
          </w:p>
        </w:tc>
        <w:tc>
          <w:tcPr>
            <w:tcW w:w="959" w:type="dxa"/>
            <w:tcMar>
              <w:top w:w="0" w:type="dxa"/>
              <w:left w:w="0" w:type="dxa"/>
              <w:bottom w:w="0" w:type="dxa"/>
              <w:right w:w="0" w:type="dxa"/>
            </w:tcMar>
          </w:tcPr>
          <w:p w14:paraId="03DC96FF" w14:textId="567EC198" w:rsidR="009A4123" w:rsidRPr="00381F74" w:rsidRDefault="00341B89" w:rsidP="00C208BC">
            <w:pPr>
              <w:widowControl w:val="0"/>
              <w:spacing w:after="120" w:line="360" w:lineRule="auto"/>
              <w:jc w:val="center"/>
              <w:rPr>
                <w:rFonts w:asciiTheme="majorBidi" w:eastAsia="Lexend" w:hAnsiTheme="majorBidi" w:cstheme="majorBidi"/>
                <w:sz w:val="18"/>
                <w:szCs w:val="18"/>
              </w:rPr>
            </w:pPr>
            <w:r>
              <w:rPr>
                <w:rFonts w:asciiTheme="majorBidi" w:eastAsia="Lexend" w:hAnsiTheme="majorBidi" w:cstheme="majorBidi"/>
                <w:sz w:val="18"/>
                <w:szCs w:val="18"/>
              </w:rPr>
              <w:t xml:space="preserve">28.1 </w:t>
            </w:r>
            <w:r w:rsidRPr="00381F74">
              <w:rPr>
                <w:rFonts w:asciiTheme="majorBidi" w:eastAsia="Lexend" w:hAnsiTheme="majorBidi" w:cstheme="majorBidi"/>
                <w:sz w:val="18"/>
                <w:szCs w:val="18"/>
              </w:rPr>
              <w:t>±</w:t>
            </w:r>
            <w:r>
              <w:rPr>
                <w:rFonts w:asciiTheme="majorBidi" w:eastAsia="Lexend" w:hAnsiTheme="majorBidi" w:cstheme="majorBidi"/>
                <w:sz w:val="18"/>
                <w:szCs w:val="18"/>
              </w:rPr>
              <w:t xml:space="preserve"> 4.9</w:t>
            </w:r>
          </w:p>
        </w:tc>
        <w:tc>
          <w:tcPr>
            <w:tcW w:w="640" w:type="dxa"/>
            <w:tcMar>
              <w:top w:w="0" w:type="dxa"/>
              <w:left w:w="0" w:type="dxa"/>
              <w:bottom w:w="0" w:type="dxa"/>
              <w:right w:w="0" w:type="dxa"/>
            </w:tcMar>
          </w:tcPr>
          <w:p w14:paraId="409968C9" w14:textId="3DBBBC95" w:rsidR="009A4123" w:rsidRPr="00381F74" w:rsidRDefault="00341B89" w:rsidP="00C208BC">
            <w:pPr>
              <w:widowControl w:val="0"/>
              <w:spacing w:after="120" w:line="360" w:lineRule="auto"/>
              <w:jc w:val="center"/>
              <w:rPr>
                <w:rFonts w:asciiTheme="majorBidi" w:eastAsia="Lexend" w:hAnsiTheme="majorBidi" w:cstheme="majorBidi"/>
                <w:sz w:val="18"/>
                <w:szCs w:val="18"/>
              </w:rPr>
            </w:pPr>
            <w:r>
              <w:rPr>
                <w:rFonts w:asciiTheme="majorBidi" w:eastAsia="Lexend" w:hAnsiTheme="majorBidi" w:cstheme="majorBidi"/>
                <w:sz w:val="18"/>
                <w:szCs w:val="18"/>
              </w:rPr>
              <w:t xml:space="preserve">26.3 </w:t>
            </w:r>
            <w:r w:rsidRPr="00381F74">
              <w:rPr>
                <w:rFonts w:asciiTheme="majorBidi" w:eastAsia="Lexend" w:hAnsiTheme="majorBidi" w:cstheme="majorBidi"/>
                <w:sz w:val="18"/>
                <w:szCs w:val="18"/>
              </w:rPr>
              <w:t>±</w:t>
            </w:r>
            <w:r>
              <w:rPr>
                <w:rFonts w:asciiTheme="majorBidi" w:eastAsia="Lexend" w:hAnsiTheme="majorBidi" w:cstheme="majorBidi"/>
                <w:sz w:val="18"/>
                <w:szCs w:val="18"/>
              </w:rPr>
              <w:t xml:space="preserve"> 3.7</w:t>
            </w:r>
          </w:p>
        </w:tc>
        <w:tc>
          <w:tcPr>
            <w:tcW w:w="979" w:type="dxa"/>
            <w:tcMar>
              <w:top w:w="0" w:type="dxa"/>
              <w:left w:w="0" w:type="dxa"/>
              <w:bottom w:w="0" w:type="dxa"/>
              <w:right w:w="0" w:type="dxa"/>
            </w:tcMar>
          </w:tcPr>
          <w:p w14:paraId="5855D10B" w14:textId="3DE9D706"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7.</w:t>
            </w:r>
            <w:r w:rsidR="00341B89">
              <w:rPr>
                <w:rFonts w:asciiTheme="majorBidi" w:eastAsia="Lexend" w:hAnsiTheme="majorBidi" w:cstheme="majorBidi"/>
                <w:sz w:val="18"/>
                <w:szCs w:val="18"/>
              </w:rPr>
              <w:t xml:space="preserve">5 </w:t>
            </w:r>
            <w:r w:rsidR="00341B89" w:rsidRPr="00381F74">
              <w:rPr>
                <w:rFonts w:asciiTheme="majorBidi" w:eastAsia="Lexend" w:hAnsiTheme="majorBidi" w:cstheme="majorBidi"/>
                <w:sz w:val="18"/>
                <w:szCs w:val="18"/>
              </w:rPr>
              <w:t>±</w:t>
            </w:r>
            <w:r w:rsidR="00341B89">
              <w:rPr>
                <w:rFonts w:asciiTheme="majorBidi" w:eastAsia="Lexend" w:hAnsiTheme="majorBidi" w:cstheme="majorBidi"/>
                <w:sz w:val="18"/>
                <w:szCs w:val="18"/>
              </w:rPr>
              <w:t xml:space="preserve"> 0.6</w:t>
            </w:r>
          </w:p>
        </w:tc>
        <w:tc>
          <w:tcPr>
            <w:tcW w:w="600" w:type="dxa"/>
            <w:tcMar>
              <w:top w:w="0" w:type="dxa"/>
              <w:left w:w="0" w:type="dxa"/>
              <w:bottom w:w="0" w:type="dxa"/>
              <w:right w:w="0" w:type="dxa"/>
            </w:tcMar>
          </w:tcPr>
          <w:p w14:paraId="6F416DA8" w14:textId="095EA0F4"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7.4 </w:t>
            </w:r>
            <w:r w:rsidR="00341B89" w:rsidRPr="00381F74">
              <w:rPr>
                <w:rFonts w:asciiTheme="majorBidi" w:eastAsia="Lexend" w:hAnsiTheme="majorBidi" w:cstheme="majorBidi"/>
                <w:sz w:val="18"/>
                <w:szCs w:val="18"/>
              </w:rPr>
              <w:t>±</w:t>
            </w:r>
            <w:r w:rsidR="00341B89">
              <w:rPr>
                <w:rFonts w:asciiTheme="majorBidi" w:eastAsia="Lexend" w:hAnsiTheme="majorBidi" w:cstheme="majorBidi"/>
                <w:sz w:val="18"/>
                <w:szCs w:val="18"/>
              </w:rPr>
              <w:t xml:space="preserve"> 0.3</w:t>
            </w:r>
            <w:r w:rsidRPr="00381F74">
              <w:rPr>
                <w:rFonts w:asciiTheme="majorBidi" w:eastAsia="Lexend" w:hAnsiTheme="majorBidi" w:cstheme="majorBidi"/>
                <w:sz w:val="18"/>
                <w:szCs w:val="18"/>
              </w:rPr>
              <w:t xml:space="preserve"> </w:t>
            </w:r>
          </w:p>
        </w:tc>
        <w:tc>
          <w:tcPr>
            <w:tcW w:w="859" w:type="dxa"/>
            <w:tcMar>
              <w:top w:w="0" w:type="dxa"/>
              <w:left w:w="0" w:type="dxa"/>
              <w:bottom w:w="0" w:type="dxa"/>
              <w:right w:w="0" w:type="dxa"/>
            </w:tcMar>
          </w:tcPr>
          <w:p w14:paraId="0027DDE3" w14:textId="2E5293E8" w:rsidR="009A4123" w:rsidRPr="00381F74" w:rsidRDefault="00341B89" w:rsidP="00C208BC">
            <w:pPr>
              <w:widowControl w:val="0"/>
              <w:spacing w:after="120" w:line="360" w:lineRule="auto"/>
              <w:jc w:val="center"/>
              <w:rPr>
                <w:rFonts w:asciiTheme="majorBidi" w:eastAsia="Lexend" w:hAnsiTheme="majorBidi" w:cstheme="majorBidi"/>
                <w:sz w:val="18"/>
                <w:szCs w:val="18"/>
              </w:rPr>
            </w:pPr>
            <w:r>
              <w:rPr>
                <w:rFonts w:asciiTheme="majorBidi" w:eastAsia="Lexend" w:hAnsiTheme="majorBidi" w:cstheme="majorBidi"/>
                <w:sz w:val="18"/>
                <w:szCs w:val="18"/>
              </w:rPr>
              <w:t xml:space="preserve">6.0 </w:t>
            </w:r>
            <w:r w:rsidRPr="00381F74">
              <w:rPr>
                <w:rFonts w:asciiTheme="majorBidi" w:eastAsia="Lexend" w:hAnsiTheme="majorBidi" w:cstheme="majorBidi"/>
                <w:sz w:val="18"/>
                <w:szCs w:val="18"/>
              </w:rPr>
              <w:t>±</w:t>
            </w:r>
            <w:r>
              <w:rPr>
                <w:rFonts w:asciiTheme="majorBidi" w:eastAsia="Lexend" w:hAnsiTheme="majorBidi" w:cstheme="majorBidi"/>
                <w:sz w:val="18"/>
                <w:szCs w:val="18"/>
              </w:rPr>
              <w:t xml:space="preserve"> 2.3</w:t>
            </w:r>
          </w:p>
        </w:tc>
        <w:tc>
          <w:tcPr>
            <w:tcW w:w="680" w:type="dxa"/>
            <w:tcMar>
              <w:top w:w="0" w:type="dxa"/>
              <w:left w:w="0" w:type="dxa"/>
              <w:bottom w:w="0" w:type="dxa"/>
              <w:right w:w="0" w:type="dxa"/>
            </w:tcMar>
          </w:tcPr>
          <w:p w14:paraId="1477EE5D" w14:textId="525EE2DA" w:rsidR="009A4123" w:rsidRPr="00381F74" w:rsidRDefault="00341B89" w:rsidP="00C208BC">
            <w:pPr>
              <w:widowControl w:val="0"/>
              <w:spacing w:after="120" w:line="360" w:lineRule="auto"/>
              <w:jc w:val="center"/>
              <w:rPr>
                <w:rFonts w:asciiTheme="majorBidi" w:eastAsia="Lexend" w:hAnsiTheme="majorBidi" w:cstheme="majorBidi"/>
                <w:sz w:val="18"/>
                <w:szCs w:val="18"/>
              </w:rPr>
            </w:pPr>
            <w:r>
              <w:rPr>
                <w:rFonts w:asciiTheme="majorBidi" w:eastAsia="Lexend" w:hAnsiTheme="majorBidi" w:cstheme="majorBidi"/>
                <w:sz w:val="18"/>
                <w:szCs w:val="18"/>
              </w:rPr>
              <w:t xml:space="preserve">5.3 </w:t>
            </w:r>
            <w:r w:rsidRPr="00381F74">
              <w:rPr>
                <w:rFonts w:asciiTheme="majorBidi" w:eastAsia="Lexend" w:hAnsiTheme="majorBidi" w:cstheme="majorBidi"/>
                <w:sz w:val="18"/>
                <w:szCs w:val="18"/>
              </w:rPr>
              <w:t>±</w:t>
            </w:r>
            <w:r>
              <w:rPr>
                <w:rFonts w:asciiTheme="majorBidi" w:eastAsia="Lexend" w:hAnsiTheme="majorBidi" w:cstheme="majorBidi"/>
                <w:sz w:val="18"/>
                <w:szCs w:val="18"/>
              </w:rPr>
              <w:t xml:space="preserve"> 2.4</w:t>
            </w:r>
          </w:p>
        </w:tc>
        <w:tc>
          <w:tcPr>
            <w:tcW w:w="680" w:type="dxa"/>
            <w:tcMar>
              <w:top w:w="0" w:type="dxa"/>
              <w:left w:w="0" w:type="dxa"/>
              <w:bottom w:w="0" w:type="dxa"/>
              <w:right w:w="0" w:type="dxa"/>
            </w:tcMar>
          </w:tcPr>
          <w:p w14:paraId="58000F4C"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6 months</w:t>
            </w:r>
          </w:p>
        </w:tc>
      </w:tr>
      <w:tr w:rsidR="009A4123" w:rsidRPr="00381F74" w14:paraId="6CBE22FD" w14:textId="77777777" w:rsidTr="00381F74">
        <w:tc>
          <w:tcPr>
            <w:tcW w:w="990" w:type="dxa"/>
            <w:tcMar>
              <w:top w:w="0" w:type="dxa"/>
              <w:left w:w="0" w:type="dxa"/>
              <w:bottom w:w="0" w:type="dxa"/>
              <w:right w:w="0" w:type="dxa"/>
            </w:tcMar>
          </w:tcPr>
          <w:p w14:paraId="601E053D"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proofErr w:type="spellStart"/>
            <w:r w:rsidRPr="00381F74">
              <w:rPr>
                <w:rFonts w:asciiTheme="majorBidi" w:eastAsia="Lexend" w:hAnsiTheme="majorBidi" w:cstheme="majorBidi"/>
                <w:sz w:val="18"/>
                <w:szCs w:val="18"/>
              </w:rPr>
              <w:t>Klabuzai</w:t>
            </w:r>
            <w:proofErr w:type="spellEnd"/>
            <w:r w:rsidRPr="00381F74">
              <w:rPr>
                <w:rFonts w:asciiTheme="majorBidi" w:eastAsia="Lexend" w:hAnsiTheme="majorBidi" w:cstheme="majorBidi"/>
                <w:sz w:val="18"/>
                <w:szCs w:val="18"/>
              </w:rPr>
              <w:t xml:space="preserve"> 2025</w:t>
            </w:r>
          </w:p>
        </w:tc>
        <w:tc>
          <w:tcPr>
            <w:tcW w:w="899" w:type="dxa"/>
            <w:tcMar>
              <w:top w:w="0" w:type="dxa"/>
              <w:left w:w="0" w:type="dxa"/>
              <w:bottom w:w="0" w:type="dxa"/>
              <w:right w:w="0" w:type="dxa"/>
            </w:tcMar>
          </w:tcPr>
          <w:p w14:paraId="7ABBEF71"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Hungary</w:t>
            </w:r>
          </w:p>
        </w:tc>
        <w:tc>
          <w:tcPr>
            <w:tcW w:w="989" w:type="dxa"/>
            <w:tcMar>
              <w:top w:w="0" w:type="dxa"/>
              <w:left w:w="0" w:type="dxa"/>
              <w:bottom w:w="0" w:type="dxa"/>
              <w:right w:w="0" w:type="dxa"/>
            </w:tcMar>
          </w:tcPr>
          <w:p w14:paraId="16DDACAD"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Single-arm</w:t>
            </w:r>
          </w:p>
        </w:tc>
        <w:tc>
          <w:tcPr>
            <w:tcW w:w="1259" w:type="dxa"/>
            <w:tcMar>
              <w:top w:w="0" w:type="dxa"/>
              <w:left w:w="0" w:type="dxa"/>
              <w:bottom w:w="0" w:type="dxa"/>
              <w:right w:w="0" w:type="dxa"/>
            </w:tcMar>
          </w:tcPr>
          <w:p w14:paraId="26A6CE45" w14:textId="1181BC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SGLT-2 inhibitor</w:t>
            </w:r>
            <w:r w:rsidR="009826F5" w:rsidRPr="00381F74">
              <w:rPr>
                <w:rFonts w:asciiTheme="majorBidi" w:eastAsia="Lexend" w:hAnsiTheme="majorBidi" w:cstheme="majorBidi"/>
                <w:sz w:val="18"/>
                <w:szCs w:val="18"/>
              </w:rPr>
              <w:t xml:space="preserve"> determined by clinical team</w:t>
            </w:r>
            <w:r w:rsidRPr="00381F74">
              <w:rPr>
                <w:rFonts w:asciiTheme="majorBidi" w:eastAsia="Lexend" w:hAnsiTheme="majorBidi" w:cstheme="majorBidi"/>
                <w:sz w:val="18"/>
                <w:szCs w:val="18"/>
              </w:rPr>
              <w:t xml:space="preserve"> </w:t>
            </w:r>
          </w:p>
        </w:tc>
        <w:tc>
          <w:tcPr>
            <w:tcW w:w="1169" w:type="dxa"/>
            <w:tcMar>
              <w:top w:w="0" w:type="dxa"/>
              <w:left w:w="0" w:type="dxa"/>
              <w:bottom w:w="0" w:type="dxa"/>
              <w:right w:w="0" w:type="dxa"/>
            </w:tcMar>
          </w:tcPr>
          <w:p w14:paraId="6843FE5D"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w:t>
            </w:r>
          </w:p>
        </w:tc>
        <w:tc>
          <w:tcPr>
            <w:tcW w:w="1079" w:type="dxa"/>
            <w:tcMar>
              <w:top w:w="0" w:type="dxa"/>
              <w:left w:w="0" w:type="dxa"/>
              <w:bottom w:w="0" w:type="dxa"/>
              <w:right w:w="0" w:type="dxa"/>
            </w:tcMar>
          </w:tcPr>
          <w:p w14:paraId="138212B3"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40</w:t>
            </w:r>
          </w:p>
        </w:tc>
        <w:tc>
          <w:tcPr>
            <w:tcW w:w="790" w:type="dxa"/>
            <w:tcMar>
              <w:top w:w="0" w:type="dxa"/>
              <w:left w:w="0" w:type="dxa"/>
              <w:bottom w:w="0" w:type="dxa"/>
              <w:right w:w="0" w:type="dxa"/>
            </w:tcMar>
          </w:tcPr>
          <w:p w14:paraId="00141980"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w:t>
            </w:r>
          </w:p>
        </w:tc>
        <w:tc>
          <w:tcPr>
            <w:tcW w:w="924" w:type="dxa"/>
            <w:tcMar>
              <w:top w:w="0" w:type="dxa"/>
              <w:left w:w="0" w:type="dxa"/>
              <w:bottom w:w="0" w:type="dxa"/>
              <w:right w:w="0" w:type="dxa"/>
            </w:tcMar>
          </w:tcPr>
          <w:p w14:paraId="1E22E705"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61 ± 9</w:t>
            </w:r>
          </w:p>
        </w:tc>
        <w:tc>
          <w:tcPr>
            <w:tcW w:w="900" w:type="dxa"/>
            <w:tcMar>
              <w:top w:w="0" w:type="dxa"/>
              <w:left w:w="0" w:type="dxa"/>
              <w:bottom w:w="0" w:type="dxa"/>
              <w:right w:w="0" w:type="dxa"/>
            </w:tcMar>
          </w:tcPr>
          <w:p w14:paraId="3C05620A"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w:t>
            </w:r>
          </w:p>
        </w:tc>
        <w:tc>
          <w:tcPr>
            <w:tcW w:w="989" w:type="dxa"/>
            <w:tcMar>
              <w:top w:w="0" w:type="dxa"/>
              <w:left w:w="0" w:type="dxa"/>
              <w:bottom w:w="0" w:type="dxa"/>
              <w:right w:w="0" w:type="dxa"/>
            </w:tcMar>
          </w:tcPr>
          <w:p w14:paraId="358EFC17"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19:21</w:t>
            </w:r>
          </w:p>
        </w:tc>
        <w:tc>
          <w:tcPr>
            <w:tcW w:w="725" w:type="dxa"/>
            <w:tcMar>
              <w:top w:w="0" w:type="dxa"/>
              <w:left w:w="0" w:type="dxa"/>
              <w:bottom w:w="0" w:type="dxa"/>
              <w:right w:w="0" w:type="dxa"/>
            </w:tcMar>
          </w:tcPr>
          <w:p w14:paraId="4969CBC2"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w:t>
            </w:r>
          </w:p>
        </w:tc>
        <w:tc>
          <w:tcPr>
            <w:tcW w:w="959" w:type="dxa"/>
            <w:tcMar>
              <w:top w:w="0" w:type="dxa"/>
              <w:left w:w="0" w:type="dxa"/>
              <w:bottom w:w="0" w:type="dxa"/>
              <w:right w:w="0" w:type="dxa"/>
            </w:tcMar>
          </w:tcPr>
          <w:p w14:paraId="7ABA9D4D"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32.6 ± 4.45 </w:t>
            </w:r>
          </w:p>
        </w:tc>
        <w:tc>
          <w:tcPr>
            <w:tcW w:w="640" w:type="dxa"/>
            <w:tcMar>
              <w:top w:w="0" w:type="dxa"/>
              <w:left w:w="0" w:type="dxa"/>
              <w:bottom w:w="0" w:type="dxa"/>
              <w:right w:w="0" w:type="dxa"/>
            </w:tcMar>
          </w:tcPr>
          <w:p w14:paraId="64318C48"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w:t>
            </w:r>
          </w:p>
        </w:tc>
        <w:tc>
          <w:tcPr>
            <w:tcW w:w="979" w:type="dxa"/>
            <w:tcMar>
              <w:top w:w="0" w:type="dxa"/>
              <w:left w:w="0" w:type="dxa"/>
              <w:bottom w:w="0" w:type="dxa"/>
              <w:right w:w="0" w:type="dxa"/>
            </w:tcMar>
          </w:tcPr>
          <w:p w14:paraId="5BDF82FE"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NR </w:t>
            </w:r>
          </w:p>
        </w:tc>
        <w:tc>
          <w:tcPr>
            <w:tcW w:w="600" w:type="dxa"/>
            <w:tcMar>
              <w:top w:w="0" w:type="dxa"/>
              <w:left w:w="0" w:type="dxa"/>
              <w:bottom w:w="0" w:type="dxa"/>
              <w:right w:w="0" w:type="dxa"/>
            </w:tcMar>
          </w:tcPr>
          <w:p w14:paraId="28B12623"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N/A </w:t>
            </w:r>
          </w:p>
        </w:tc>
        <w:tc>
          <w:tcPr>
            <w:tcW w:w="859" w:type="dxa"/>
            <w:tcMar>
              <w:top w:w="0" w:type="dxa"/>
              <w:left w:w="0" w:type="dxa"/>
              <w:bottom w:w="0" w:type="dxa"/>
              <w:right w:w="0" w:type="dxa"/>
            </w:tcMar>
          </w:tcPr>
          <w:p w14:paraId="7ECD0DA3"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8.3 ± 8.0 years </w:t>
            </w:r>
          </w:p>
        </w:tc>
        <w:tc>
          <w:tcPr>
            <w:tcW w:w="680" w:type="dxa"/>
            <w:tcMar>
              <w:top w:w="0" w:type="dxa"/>
              <w:left w:w="0" w:type="dxa"/>
              <w:bottom w:w="0" w:type="dxa"/>
              <w:right w:w="0" w:type="dxa"/>
            </w:tcMar>
          </w:tcPr>
          <w:p w14:paraId="1B912C57"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N/A </w:t>
            </w:r>
          </w:p>
        </w:tc>
        <w:tc>
          <w:tcPr>
            <w:tcW w:w="680" w:type="dxa"/>
            <w:tcMar>
              <w:top w:w="0" w:type="dxa"/>
              <w:left w:w="0" w:type="dxa"/>
              <w:bottom w:w="0" w:type="dxa"/>
              <w:right w:w="0" w:type="dxa"/>
            </w:tcMar>
          </w:tcPr>
          <w:p w14:paraId="2B5EBE7A"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4 weeks</w:t>
            </w:r>
          </w:p>
        </w:tc>
      </w:tr>
      <w:tr w:rsidR="009A4123" w:rsidRPr="00381F74" w14:paraId="69AC6F42" w14:textId="77777777" w:rsidTr="00381F74">
        <w:tc>
          <w:tcPr>
            <w:tcW w:w="990" w:type="dxa"/>
            <w:tcMar>
              <w:top w:w="0" w:type="dxa"/>
              <w:left w:w="0" w:type="dxa"/>
              <w:bottom w:w="0" w:type="dxa"/>
              <w:right w:w="0" w:type="dxa"/>
            </w:tcMar>
          </w:tcPr>
          <w:p w14:paraId="5551277D"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proofErr w:type="spellStart"/>
            <w:r w:rsidRPr="00381F74">
              <w:rPr>
                <w:rFonts w:asciiTheme="majorBidi" w:eastAsia="Lexend" w:hAnsiTheme="majorBidi" w:cstheme="majorBidi"/>
                <w:sz w:val="18"/>
                <w:szCs w:val="18"/>
              </w:rPr>
              <w:t>Vafaeinasab</w:t>
            </w:r>
            <w:proofErr w:type="spellEnd"/>
            <w:r w:rsidRPr="00381F74">
              <w:rPr>
                <w:rFonts w:asciiTheme="majorBidi" w:eastAsia="Lexend" w:hAnsiTheme="majorBidi" w:cstheme="majorBidi"/>
                <w:sz w:val="18"/>
                <w:szCs w:val="18"/>
              </w:rPr>
              <w:t xml:space="preserve"> 2025</w:t>
            </w:r>
          </w:p>
        </w:tc>
        <w:tc>
          <w:tcPr>
            <w:tcW w:w="899" w:type="dxa"/>
            <w:tcMar>
              <w:top w:w="0" w:type="dxa"/>
              <w:left w:w="0" w:type="dxa"/>
              <w:bottom w:w="0" w:type="dxa"/>
              <w:right w:w="0" w:type="dxa"/>
            </w:tcMar>
          </w:tcPr>
          <w:p w14:paraId="2564CFB0"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Iran</w:t>
            </w:r>
          </w:p>
        </w:tc>
        <w:tc>
          <w:tcPr>
            <w:tcW w:w="989" w:type="dxa"/>
            <w:tcMar>
              <w:top w:w="0" w:type="dxa"/>
              <w:left w:w="0" w:type="dxa"/>
              <w:bottom w:w="0" w:type="dxa"/>
              <w:right w:w="0" w:type="dxa"/>
            </w:tcMar>
          </w:tcPr>
          <w:p w14:paraId="27804E48"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RCT</w:t>
            </w:r>
          </w:p>
        </w:tc>
        <w:tc>
          <w:tcPr>
            <w:tcW w:w="1259" w:type="dxa"/>
            <w:tcMar>
              <w:top w:w="0" w:type="dxa"/>
              <w:left w:w="0" w:type="dxa"/>
              <w:bottom w:w="0" w:type="dxa"/>
              <w:right w:w="0" w:type="dxa"/>
            </w:tcMar>
          </w:tcPr>
          <w:p w14:paraId="637F869E" w14:textId="3C7AFAC1"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Empagliflozin 10 mg</w:t>
            </w:r>
            <w:r w:rsidR="009826F5" w:rsidRPr="00381F74">
              <w:rPr>
                <w:rFonts w:asciiTheme="majorBidi" w:eastAsia="Lexend" w:hAnsiTheme="majorBidi" w:cstheme="majorBidi"/>
                <w:sz w:val="18"/>
                <w:szCs w:val="18"/>
              </w:rPr>
              <w:t xml:space="preserve"> once daily</w:t>
            </w:r>
          </w:p>
        </w:tc>
        <w:tc>
          <w:tcPr>
            <w:tcW w:w="1169" w:type="dxa"/>
            <w:tcMar>
              <w:top w:w="0" w:type="dxa"/>
              <w:left w:w="0" w:type="dxa"/>
              <w:bottom w:w="0" w:type="dxa"/>
              <w:right w:w="0" w:type="dxa"/>
            </w:tcMar>
          </w:tcPr>
          <w:p w14:paraId="2E5C50F7"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Placebo</w:t>
            </w:r>
          </w:p>
        </w:tc>
        <w:tc>
          <w:tcPr>
            <w:tcW w:w="1079" w:type="dxa"/>
            <w:tcMar>
              <w:top w:w="0" w:type="dxa"/>
              <w:left w:w="0" w:type="dxa"/>
              <w:bottom w:w="0" w:type="dxa"/>
              <w:right w:w="0" w:type="dxa"/>
            </w:tcMar>
          </w:tcPr>
          <w:p w14:paraId="269AD55F"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25</w:t>
            </w:r>
          </w:p>
        </w:tc>
        <w:tc>
          <w:tcPr>
            <w:tcW w:w="790" w:type="dxa"/>
            <w:tcMar>
              <w:top w:w="0" w:type="dxa"/>
              <w:left w:w="0" w:type="dxa"/>
              <w:bottom w:w="0" w:type="dxa"/>
              <w:right w:w="0" w:type="dxa"/>
            </w:tcMar>
          </w:tcPr>
          <w:p w14:paraId="1CF8557C"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25</w:t>
            </w:r>
          </w:p>
        </w:tc>
        <w:tc>
          <w:tcPr>
            <w:tcW w:w="924" w:type="dxa"/>
            <w:tcMar>
              <w:top w:w="0" w:type="dxa"/>
              <w:left w:w="0" w:type="dxa"/>
              <w:bottom w:w="0" w:type="dxa"/>
              <w:right w:w="0" w:type="dxa"/>
            </w:tcMar>
          </w:tcPr>
          <w:p w14:paraId="7DF443D2"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53.92 ± 3.02</w:t>
            </w:r>
          </w:p>
        </w:tc>
        <w:tc>
          <w:tcPr>
            <w:tcW w:w="900" w:type="dxa"/>
            <w:tcMar>
              <w:top w:w="0" w:type="dxa"/>
              <w:left w:w="0" w:type="dxa"/>
              <w:bottom w:w="0" w:type="dxa"/>
              <w:right w:w="0" w:type="dxa"/>
            </w:tcMar>
          </w:tcPr>
          <w:p w14:paraId="1EDABDF6"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54.70 ± 3.03</w:t>
            </w:r>
          </w:p>
        </w:tc>
        <w:tc>
          <w:tcPr>
            <w:tcW w:w="989" w:type="dxa"/>
            <w:tcMar>
              <w:top w:w="0" w:type="dxa"/>
              <w:left w:w="0" w:type="dxa"/>
              <w:bottom w:w="0" w:type="dxa"/>
              <w:right w:w="0" w:type="dxa"/>
            </w:tcMar>
          </w:tcPr>
          <w:p w14:paraId="48B644C8"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NR</w:t>
            </w:r>
          </w:p>
        </w:tc>
        <w:tc>
          <w:tcPr>
            <w:tcW w:w="725" w:type="dxa"/>
            <w:tcMar>
              <w:top w:w="0" w:type="dxa"/>
              <w:left w:w="0" w:type="dxa"/>
              <w:bottom w:w="0" w:type="dxa"/>
              <w:right w:w="0" w:type="dxa"/>
            </w:tcMar>
          </w:tcPr>
          <w:p w14:paraId="13799243"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NR</w:t>
            </w:r>
          </w:p>
        </w:tc>
        <w:tc>
          <w:tcPr>
            <w:tcW w:w="959" w:type="dxa"/>
            <w:tcMar>
              <w:top w:w="0" w:type="dxa"/>
              <w:left w:w="0" w:type="dxa"/>
              <w:bottom w:w="0" w:type="dxa"/>
              <w:right w:w="0" w:type="dxa"/>
            </w:tcMar>
          </w:tcPr>
          <w:p w14:paraId="39ECD381"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25.22 ± 1.62 </w:t>
            </w:r>
          </w:p>
        </w:tc>
        <w:tc>
          <w:tcPr>
            <w:tcW w:w="640" w:type="dxa"/>
            <w:tcMar>
              <w:top w:w="0" w:type="dxa"/>
              <w:left w:w="0" w:type="dxa"/>
              <w:bottom w:w="0" w:type="dxa"/>
              <w:right w:w="0" w:type="dxa"/>
            </w:tcMar>
          </w:tcPr>
          <w:p w14:paraId="4D7ADA6C"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25.38 ± 2.07 </w:t>
            </w:r>
          </w:p>
        </w:tc>
        <w:tc>
          <w:tcPr>
            <w:tcW w:w="979" w:type="dxa"/>
            <w:tcMar>
              <w:top w:w="0" w:type="dxa"/>
              <w:left w:w="0" w:type="dxa"/>
              <w:bottom w:w="0" w:type="dxa"/>
              <w:right w:w="0" w:type="dxa"/>
            </w:tcMar>
          </w:tcPr>
          <w:p w14:paraId="7D1A43E9"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7.42 ± 0.30 </w:t>
            </w:r>
          </w:p>
        </w:tc>
        <w:tc>
          <w:tcPr>
            <w:tcW w:w="600" w:type="dxa"/>
            <w:tcMar>
              <w:top w:w="0" w:type="dxa"/>
              <w:left w:w="0" w:type="dxa"/>
              <w:bottom w:w="0" w:type="dxa"/>
              <w:right w:w="0" w:type="dxa"/>
            </w:tcMar>
          </w:tcPr>
          <w:p w14:paraId="73AC4A50"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 xml:space="preserve">7.30 ± 0.35 </w:t>
            </w:r>
          </w:p>
        </w:tc>
        <w:tc>
          <w:tcPr>
            <w:tcW w:w="859" w:type="dxa"/>
            <w:tcMar>
              <w:top w:w="0" w:type="dxa"/>
              <w:left w:w="0" w:type="dxa"/>
              <w:bottom w:w="0" w:type="dxa"/>
              <w:right w:w="0" w:type="dxa"/>
            </w:tcMar>
          </w:tcPr>
          <w:p w14:paraId="128953A0"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NR</w:t>
            </w:r>
          </w:p>
        </w:tc>
        <w:tc>
          <w:tcPr>
            <w:tcW w:w="680" w:type="dxa"/>
            <w:tcMar>
              <w:top w:w="0" w:type="dxa"/>
              <w:left w:w="0" w:type="dxa"/>
              <w:bottom w:w="0" w:type="dxa"/>
              <w:right w:w="0" w:type="dxa"/>
            </w:tcMar>
          </w:tcPr>
          <w:p w14:paraId="3959DA72"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NR</w:t>
            </w:r>
          </w:p>
        </w:tc>
        <w:tc>
          <w:tcPr>
            <w:tcW w:w="680" w:type="dxa"/>
            <w:tcMar>
              <w:top w:w="0" w:type="dxa"/>
              <w:left w:w="0" w:type="dxa"/>
              <w:bottom w:w="0" w:type="dxa"/>
              <w:right w:w="0" w:type="dxa"/>
            </w:tcMar>
          </w:tcPr>
          <w:p w14:paraId="471E1F88" w14:textId="77777777" w:rsidR="009A4123" w:rsidRPr="00381F74" w:rsidRDefault="009A4123" w:rsidP="00C208BC">
            <w:pPr>
              <w:widowControl w:val="0"/>
              <w:spacing w:after="120" w:line="360" w:lineRule="auto"/>
              <w:jc w:val="center"/>
              <w:rPr>
                <w:rFonts w:asciiTheme="majorBidi" w:eastAsia="Lexend" w:hAnsiTheme="majorBidi" w:cstheme="majorBidi"/>
                <w:sz w:val="18"/>
                <w:szCs w:val="18"/>
              </w:rPr>
            </w:pPr>
            <w:r w:rsidRPr="00381F74">
              <w:rPr>
                <w:rFonts w:asciiTheme="majorBidi" w:eastAsia="Lexend" w:hAnsiTheme="majorBidi" w:cstheme="majorBidi"/>
                <w:sz w:val="18"/>
                <w:szCs w:val="18"/>
              </w:rPr>
              <w:t>20 weeks</w:t>
            </w:r>
          </w:p>
        </w:tc>
      </w:tr>
    </w:tbl>
    <w:p w14:paraId="26E65814" w14:textId="77777777" w:rsidR="007F7929" w:rsidRDefault="007F7929" w:rsidP="00381F74">
      <w:pPr>
        <w:tabs>
          <w:tab w:val="left" w:pos="3280"/>
        </w:tabs>
        <w:spacing w:after="120" w:line="360" w:lineRule="auto"/>
        <w:rPr>
          <w:rFonts w:ascii="Times New Roman" w:eastAsia="Times New Roman" w:hAnsi="Times New Roman" w:cs="Times New Roman"/>
        </w:rPr>
      </w:pPr>
    </w:p>
    <w:sectPr w:rsidR="007F7929" w:rsidSect="00381F74">
      <w:pgSz w:w="16838" w:h="11906" w:orient="landscape"/>
      <w:pgMar w:top="810" w:right="1440" w:bottom="5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45801" w14:textId="77777777" w:rsidR="00814EA9" w:rsidRDefault="00814EA9">
      <w:pPr>
        <w:spacing w:line="240" w:lineRule="auto"/>
      </w:pPr>
      <w:r>
        <w:separator/>
      </w:r>
    </w:p>
  </w:endnote>
  <w:endnote w:type="continuationSeparator" w:id="0">
    <w:p w14:paraId="05F62582" w14:textId="77777777" w:rsidR="00814EA9" w:rsidRDefault="00814E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67B49327-018C-432E-8FBD-ED282BE7B47F}"/>
  </w:font>
  <w:font w:name="Lexend">
    <w:charset w:val="00"/>
    <w:family w:val="auto"/>
    <w:pitch w:val="default"/>
    <w:embedRegular r:id="rId2" w:fontKey="{73938A19-95F6-47F2-8D77-3CC7F1B1A7F8}"/>
  </w:font>
  <w:font w:name="Calibri">
    <w:panose1 w:val="020F0502020204030204"/>
    <w:charset w:val="00"/>
    <w:family w:val="swiss"/>
    <w:pitch w:val="variable"/>
    <w:sig w:usb0="E4002EFF" w:usb1="C000247B" w:usb2="00000009" w:usb3="00000000" w:csb0="000001FF" w:csb1="00000000"/>
    <w:embedRegular r:id="rId3" w:fontKey="{46C7246F-6465-4522-A63F-378E60E27167}"/>
  </w:font>
  <w:font w:name="Cambria">
    <w:panose1 w:val="02040503050406030204"/>
    <w:charset w:val="00"/>
    <w:family w:val="roman"/>
    <w:pitch w:val="variable"/>
    <w:sig w:usb0="E00006FF" w:usb1="420024FF" w:usb2="02000000" w:usb3="00000000" w:csb0="0000019F" w:csb1="00000000"/>
    <w:embedRegular r:id="rId4" w:fontKey="{097A947A-1CF9-491D-91EE-B81B55E9E36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4ED9F" w14:textId="77777777" w:rsidR="00814EA9" w:rsidRDefault="00814EA9">
      <w:pPr>
        <w:spacing w:line="240" w:lineRule="auto"/>
      </w:pPr>
      <w:r>
        <w:separator/>
      </w:r>
    </w:p>
  </w:footnote>
  <w:footnote w:type="continuationSeparator" w:id="0">
    <w:p w14:paraId="07C8B1AF" w14:textId="77777777" w:rsidR="00814EA9" w:rsidRDefault="00814E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16B8" w14:textId="77777777" w:rsidR="00200DF4" w:rsidRDefault="00200DF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DF4"/>
    <w:rsid w:val="00004396"/>
    <w:rsid w:val="00012E4C"/>
    <w:rsid w:val="000218A8"/>
    <w:rsid w:val="0002688A"/>
    <w:rsid w:val="00032176"/>
    <w:rsid w:val="00047BA3"/>
    <w:rsid w:val="0006444B"/>
    <w:rsid w:val="00081EB1"/>
    <w:rsid w:val="000908A3"/>
    <w:rsid w:val="00090960"/>
    <w:rsid w:val="00092D99"/>
    <w:rsid w:val="00095D2F"/>
    <w:rsid w:val="000A3992"/>
    <w:rsid w:val="000A431B"/>
    <w:rsid w:val="000C1F89"/>
    <w:rsid w:val="000C7469"/>
    <w:rsid w:val="000D47E9"/>
    <w:rsid w:val="00102FFB"/>
    <w:rsid w:val="00127A65"/>
    <w:rsid w:val="001348E9"/>
    <w:rsid w:val="0015168F"/>
    <w:rsid w:val="00156AEC"/>
    <w:rsid w:val="001636B5"/>
    <w:rsid w:val="00177D64"/>
    <w:rsid w:val="00181E86"/>
    <w:rsid w:val="00196103"/>
    <w:rsid w:val="001C5B59"/>
    <w:rsid w:val="001C71F6"/>
    <w:rsid w:val="001E485F"/>
    <w:rsid w:val="00200DF4"/>
    <w:rsid w:val="002144EF"/>
    <w:rsid w:val="00215EC9"/>
    <w:rsid w:val="00225F03"/>
    <w:rsid w:val="00241A31"/>
    <w:rsid w:val="002455E4"/>
    <w:rsid w:val="0024695F"/>
    <w:rsid w:val="00265329"/>
    <w:rsid w:val="002709AC"/>
    <w:rsid w:val="00294763"/>
    <w:rsid w:val="002A4D70"/>
    <w:rsid w:val="002B7C1E"/>
    <w:rsid w:val="002C0B3C"/>
    <w:rsid w:val="002C1850"/>
    <w:rsid w:val="002D025B"/>
    <w:rsid w:val="002D2BB5"/>
    <w:rsid w:val="002D64EE"/>
    <w:rsid w:val="002E4AFD"/>
    <w:rsid w:val="002E794B"/>
    <w:rsid w:val="00300C42"/>
    <w:rsid w:val="00320191"/>
    <w:rsid w:val="003345A2"/>
    <w:rsid w:val="00341B89"/>
    <w:rsid w:val="003547BD"/>
    <w:rsid w:val="00381F74"/>
    <w:rsid w:val="003B7C24"/>
    <w:rsid w:val="003C18FF"/>
    <w:rsid w:val="003C4038"/>
    <w:rsid w:val="003C5E2D"/>
    <w:rsid w:val="00414732"/>
    <w:rsid w:val="0042595B"/>
    <w:rsid w:val="00432619"/>
    <w:rsid w:val="00434BA4"/>
    <w:rsid w:val="00483F07"/>
    <w:rsid w:val="00492DBF"/>
    <w:rsid w:val="00493B25"/>
    <w:rsid w:val="004B735C"/>
    <w:rsid w:val="004C04C3"/>
    <w:rsid w:val="004C73A6"/>
    <w:rsid w:val="004D38B7"/>
    <w:rsid w:val="004D76D2"/>
    <w:rsid w:val="004D7FCA"/>
    <w:rsid w:val="004E7B17"/>
    <w:rsid w:val="0050237C"/>
    <w:rsid w:val="005116CC"/>
    <w:rsid w:val="005378DE"/>
    <w:rsid w:val="0056582B"/>
    <w:rsid w:val="00571229"/>
    <w:rsid w:val="00577F13"/>
    <w:rsid w:val="00584267"/>
    <w:rsid w:val="005B5912"/>
    <w:rsid w:val="005F0C1A"/>
    <w:rsid w:val="005F7065"/>
    <w:rsid w:val="005F7578"/>
    <w:rsid w:val="00632352"/>
    <w:rsid w:val="006351DD"/>
    <w:rsid w:val="00653CBA"/>
    <w:rsid w:val="0066777A"/>
    <w:rsid w:val="00681687"/>
    <w:rsid w:val="00681DAE"/>
    <w:rsid w:val="006A5F7F"/>
    <w:rsid w:val="006B4B0A"/>
    <w:rsid w:val="006D1FD4"/>
    <w:rsid w:val="006D4FBA"/>
    <w:rsid w:val="006D5FC2"/>
    <w:rsid w:val="006F14C8"/>
    <w:rsid w:val="00765D7B"/>
    <w:rsid w:val="00782C11"/>
    <w:rsid w:val="00783857"/>
    <w:rsid w:val="00787FA5"/>
    <w:rsid w:val="00796E7F"/>
    <w:rsid w:val="007B5804"/>
    <w:rsid w:val="007C671D"/>
    <w:rsid w:val="007C7B27"/>
    <w:rsid w:val="007D5939"/>
    <w:rsid w:val="007F7929"/>
    <w:rsid w:val="0080314D"/>
    <w:rsid w:val="00814CE3"/>
    <w:rsid w:val="00814EA9"/>
    <w:rsid w:val="008157B6"/>
    <w:rsid w:val="0081704E"/>
    <w:rsid w:val="00820E86"/>
    <w:rsid w:val="008265CA"/>
    <w:rsid w:val="00836784"/>
    <w:rsid w:val="00842493"/>
    <w:rsid w:val="008435B4"/>
    <w:rsid w:val="00845779"/>
    <w:rsid w:val="00856505"/>
    <w:rsid w:val="0087250D"/>
    <w:rsid w:val="00876D8A"/>
    <w:rsid w:val="00896C8B"/>
    <w:rsid w:val="008A1E98"/>
    <w:rsid w:val="008C41F5"/>
    <w:rsid w:val="008C78A1"/>
    <w:rsid w:val="008D2496"/>
    <w:rsid w:val="008E2507"/>
    <w:rsid w:val="008F198F"/>
    <w:rsid w:val="008F36F1"/>
    <w:rsid w:val="008F6A49"/>
    <w:rsid w:val="00932F44"/>
    <w:rsid w:val="0095588F"/>
    <w:rsid w:val="00967CB3"/>
    <w:rsid w:val="009767B0"/>
    <w:rsid w:val="009826F5"/>
    <w:rsid w:val="009841B2"/>
    <w:rsid w:val="00985071"/>
    <w:rsid w:val="009930EC"/>
    <w:rsid w:val="009A4123"/>
    <w:rsid w:val="009B7911"/>
    <w:rsid w:val="009F0A3E"/>
    <w:rsid w:val="00A109B5"/>
    <w:rsid w:val="00A1735D"/>
    <w:rsid w:val="00A27F98"/>
    <w:rsid w:val="00A54384"/>
    <w:rsid w:val="00A76CF6"/>
    <w:rsid w:val="00AA0227"/>
    <w:rsid w:val="00AA30DB"/>
    <w:rsid w:val="00AC0393"/>
    <w:rsid w:val="00AC58D8"/>
    <w:rsid w:val="00AE49D8"/>
    <w:rsid w:val="00B077A2"/>
    <w:rsid w:val="00B07A15"/>
    <w:rsid w:val="00B17F8E"/>
    <w:rsid w:val="00B42415"/>
    <w:rsid w:val="00B530BB"/>
    <w:rsid w:val="00B6051A"/>
    <w:rsid w:val="00B63860"/>
    <w:rsid w:val="00B84696"/>
    <w:rsid w:val="00BA416F"/>
    <w:rsid w:val="00BA7A67"/>
    <w:rsid w:val="00BB6735"/>
    <w:rsid w:val="00BC0939"/>
    <w:rsid w:val="00BC298C"/>
    <w:rsid w:val="00BD0B35"/>
    <w:rsid w:val="00BE5646"/>
    <w:rsid w:val="00BF49F9"/>
    <w:rsid w:val="00BF4F7F"/>
    <w:rsid w:val="00C208BC"/>
    <w:rsid w:val="00C245E3"/>
    <w:rsid w:val="00C308B6"/>
    <w:rsid w:val="00C37220"/>
    <w:rsid w:val="00C53D07"/>
    <w:rsid w:val="00C56817"/>
    <w:rsid w:val="00C62664"/>
    <w:rsid w:val="00C72535"/>
    <w:rsid w:val="00C87ADC"/>
    <w:rsid w:val="00C87F9A"/>
    <w:rsid w:val="00CA5654"/>
    <w:rsid w:val="00CB1E0F"/>
    <w:rsid w:val="00CC260B"/>
    <w:rsid w:val="00CE7B4E"/>
    <w:rsid w:val="00CF0565"/>
    <w:rsid w:val="00CF6050"/>
    <w:rsid w:val="00CF7FE6"/>
    <w:rsid w:val="00D0553B"/>
    <w:rsid w:val="00D1006E"/>
    <w:rsid w:val="00D325F9"/>
    <w:rsid w:val="00D53249"/>
    <w:rsid w:val="00D672E5"/>
    <w:rsid w:val="00D7424F"/>
    <w:rsid w:val="00D9107A"/>
    <w:rsid w:val="00D94D51"/>
    <w:rsid w:val="00DA0FE9"/>
    <w:rsid w:val="00DD12E5"/>
    <w:rsid w:val="00DD206C"/>
    <w:rsid w:val="00DD681A"/>
    <w:rsid w:val="00E22414"/>
    <w:rsid w:val="00E509B0"/>
    <w:rsid w:val="00E569D8"/>
    <w:rsid w:val="00E627B9"/>
    <w:rsid w:val="00E63A13"/>
    <w:rsid w:val="00E6706D"/>
    <w:rsid w:val="00E838F4"/>
    <w:rsid w:val="00EA0969"/>
    <w:rsid w:val="00EC5598"/>
    <w:rsid w:val="00EC5ACB"/>
    <w:rsid w:val="00ED0F7F"/>
    <w:rsid w:val="00EE5ADB"/>
    <w:rsid w:val="00EF4A89"/>
    <w:rsid w:val="00F050B1"/>
    <w:rsid w:val="00F21D8F"/>
    <w:rsid w:val="00F25FC4"/>
    <w:rsid w:val="00F36624"/>
    <w:rsid w:val="00F52FAB"/>
    <w:rsid w:val="00F63E37"/>
    <w:rsid w:val="00F653EF"/>
    <w:rsid w:val="00F91161"/>
    <w:rsid w:val="00FB298A"/>
    <w:rsid w:val="00FC0963"/>
    <w:rsid w:val="00FC0C4C"/>
    <w:rsid w:val="00FD79F2"/>
    <w:rsid w:val="00FF27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A1D1D"/>
  <w15:docId w15:val="{280A9201-6FA8-49C0-83FF-9AE7C2AAE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Bibliography">
    <w:name w:val="Bibliography"/>
    <w:basedOn w:val="Normal"/>
    <w:next w:val="Normal"/>
    <w:uiPriority w:val="37"/>
    <w:unhideWhenUsed/>
    <w:rsid w:val="00AC58D8"/>
    <w:pPr>
      <w:tabs>
        <w:tab w:val="left" w:pos="624"/>
      </w:tabs>
      <w:spacing w:after="240" w:line="240" w:lineRule="auto"/>
      <w:ind w:left="624" w:hanging="624"/>
    </w:pPr>
  </w:style>
  <w:style w:type="table" w:styleId="TableGrid">
    <w:name w:val="Table Grid"/>
    <w:basedOn w:val="TableNormal"/>
    <w:uiPriority w:val="39"/>
    <w:rsid w:val="007F79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4CE3"/>
    <w:rPr>
      <w:color w:val="0000FF" w:themeColor="hyperlink"/>
      <w:u w:val="single"/>
    </w:rPr>
  </w:style>
  <w:style w:type="character" w:styleId="UnresolvedMention">
    <w:name w:val="Unresolved Mention"/>
    <w:basedOn w:val="DefaultParagraphFont"/>
    <w:uiPriority w:val="99"/>
    <w:semiHidden/>
    <w:unhideWhenUsed/>
    <w:rsid w:val="00814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5.tiff"/><Relationship Id="rId5" Type="http://schemas.openxmlformats.org/officeDocument/2006/relationships/endnotes" Target="endnotes.xml"/><Relationship Id="rId10" Type="http://schemas.openxmlformats.org/officeDocument/2006/relationships/image" Target="media/image4.tiff"/><Relationship Id="rId4" Type="http://schemas.openxmlformats.org/officeDocument/2006/relationships/footnotes" Target="footnotes.xml"/><Relationship Id="rId9" Type="http://schemas.openxmlformats.org/officeDocument/2006/relationships/image" Target="media/image3.tiff"/><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16083</TotalTime>
  <Pages>33</Pages>
  <Words>35515</Words>
  <Characters>202436</Characters>
  <Application>Microsoft Office Word</Application>
  <DocSecurity>0</DocSecurity>
  <Lines>1686</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Youssef Adel</cp:lastModifiedBy>
  <cp:revision>183</cp:revision>
  <cp:lastPrinted>2026-05-28T18:18:00Z</cp:lastPrinted>
  <dcterms:created xsi:type="dcterms:W3CDTF">2026-05-18T19:48:00Z</dcterms:created>
  <dcterms:modified xsi:type="dcterms:W3CDTF">2026-06-01T13:15:00Z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{"style":{"styleID":"http://www.zotero.org/styles/sage-vancouver-brackets","hasBibliography":true,"bibliographyStyleHasBeenSet":true},"prefs":{"fieldType":"Field","automaticJournalAbbreviations":true,"delayCitationUpdates":false,"noteType":0},"sessionID":</vt:lpwstr>
  </property>
  <property fmtid="{D5CDD505-2E9C-101B-9397-08002B2CF9AE}" pid="3" name="ZOTERO_PREF_2">
    <vt:lpwstr>"g6iDE82k","zoteroVersion":"9.0.4","dataVersion":4}</vt:lpwstr>
  </property>
</Properties>
</file>