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B9B54" w14:textId="77777777" w:rsidR="00200DF4" w:rsidRDefault="00000000" w:rsidP="00AC58D8">
      <w:pPr>
        <w:pStyle w:val="Title"/>
        <w:spacing w:after="120" w:line="360" w:lineRule="auto"/>
        <w:ind w:left="504"/>
        <w:jc w:val="center"/>
        <w:rPr>
          <w:rFonts w:ascii="Times New Roman" w:eastAsia="Times New Roman" w:hAnsi="Times New Roman" w:cs="Times New Roman"/>
          <w:b/>
          <w:bCs/>
          <w:sz w:val="30"/>
          <w:szCs w:val="30"/>
        </w:rPr>
      </w:pPr>
      <w:bookmarkStart w:id="0" w:name="_gqlr3m5nqlyx" w:colFirst="0" w:colLast="0"/>
      <w:bookmarkEnd w:id="0"/>
      <w:r>
        <w:rPr>
          <w:rFonts w:ascii="Times New Roman" w:eastAsia="Times New Roman" w:hAnsi="Times New Roman" w:cs="Times New Roman"/>
          <w:b/>
          <w:bCs/>
          <w:sz w:val="30"/>
          <w:szCs w:val="30"/>
        </w:rPr>
        <w:t xml:space="preserve">Do SGLT2 Inhibitors Improve Peripheral Nerve Function in Diabetic Neuropathy? A Systematic Review and Meta-Analysis </w:t>
      </w:r>
    </w:p>
    <w:p w14:paraId="47A29685" w14:textId="77777777" w:rsidR="00200DF4" w:rsidRDefault="00200DF4" w:rsidP="00AC58D8">
      <w:pPr>
        <w:spacing w:after="120" w:line="360" w:lineRule="auto"/>
      </w:pPr>
    </w:p>
    <w:p w14:paraId="43753E37" w14:textId="77777777" w:rsidR="00200DF4" w:rsidRPr="000218A8" w:rsidRDefault="00200DF4" w:rsidP="00AC58D8">
      <w:pPr>
        <w:spacing w:after="120" w:line="360" w:lineRule="auto"/>
        <w:rPr>
          <w:b/>
          <w:bCs/>
        </w:rPr>
      </w:pPr>
    </w:p>
    <w:p w14:paraId="03E08BEA" w14:textId="77777777" w:rsidR="00200DF4" w:rsidRPr="000218A8" w:rsidRDefault="00000000" w:rsidP="00AC58D8">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Authors</w:t>
      </w:r>
    </w:p>
    <w:p w14:paraId="586451DE" w14:textId="77777777" w:rsidR="00200DF4" w:rsidRPr="000218A8" w:rsidRDefault="00200DF4" w:rsidP="00AC58D8">
      <w:pPr>
        <w:spacing w:after="120" w:line="360" w:lineRule="auto"/>
        <w:rPr>
          <w:rFonts w:asciiTheme="majorBidi" w:eastAsia="Times New Roman" w:hAnsiTheme="majorBidi" w:cstheme="majorBidi"/>
          <w:b/>
          <w:bCs/>
          <w:sz w:val="20"/>
          <w:szCs w:val="20"/>
        </w:rPr>
      </w:pPr>
    </w:p>
    <w:p w14:paraId="1BA5A4E4" w14:textId="77777777" w:rsidR="00200DF4" w:rsidRPr="000218A8" w:rsidRDefault="00200DF4" w:rsidP="00AC58D8">
      <w:pPr>
        <w:spacing w:after="120" w:line="360" w:lineRule="auto"/>
        <w:rPr>
          <w:rFonts w:asciiTheme="majorBidi" w:eastAsia="Times New Roman" w:hAnsiTheme="majorBidi" w:cstheme="majorBidi"/>
          <w:b/>
          <w:bCs/>
          <w:sz w:val="20"/>
          <w:szCs w:val="20"/>
        </w:rPr>
      </w:pPr>
    </w:p>
    <w:p w14:paraId="3CB3803E" w14:textId="77777777" w:rsidR="00200DF4" w:rsidRPr="000218A8" w:rsidRDefault="00200DF4" w:rsidP="00AC58D8">
      <w:pPr>
        <w:spacing w:after="120" w:line="360" w:lineRule="auto"/>
        <w:rPr>
          <w:rFonts w:asciiTheme="majorBidi" w:eastAsia="Times New Roman" w:hAnsiTheme="majorBidi" w:cstheme="majorBidi"/>
          <w:b/>
          <w:bCs/>
          <w:sz w:val="20"/>
          <w:szCs w:val="20"/>
        </w:rPr>
      </w:pPr>
    </w:p>
    <w:p w14:paraId="4D4B93F4" w14:textId="77777777" w:rsidR="00200DF4" w:rsidRPr="000218A8" w:rsidRDefault="00000000" w:rsidP="00AC58D8">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Affiliation</w:t>
      </w:r>
    </w:p>
    <w:p w14:paraId="6777D1C7" w14:textId="77777777" w:rsidR="00200DF4" w:rsidRPr="000218A8" w:rsidRDefault="00200DF4" w:rsidP="00AC58D8">
      <w:pPr>
        <w:spacing w:after="120" w:line="360" w:lineRule="auto"/>
        <w:rPr>
          <w:rFonts w:asciiTheme="majorBidi" w:eastAsia="Times New Roman" w:hAnsiTheme="majorBidi" w:cstheme="majorBidi"/>
          <w:b/>
          <w:bCs/>
          <w:sz w:val="20"/>
          <w:szCs w:val="20"/>
        </w:rPr>
      </w:pPr>
    </w:p>
    <w:p w14:paraId="7AB7ACD6" w14:textId="77777777" w:rsidR="00200DF4" w:rsidRPr="000218A8" w:rsidRDefault="00200DF4" w:rsidP="00AC58D8">
      <w:pPr>
        <w:spacing w:after="120" w:line="360" w:lineRule="auto"/>
        <w:rPr>
          <w:rFonts w:asciiTheme="majorBidi" w:eastAsia="Times New Roman" w:hAnsiTheme="majorBidi" w:cstheme="majorBidi"/>
          <w:b/>
          <w:bCs/>
          <w:sz w:val="20"/>
          <w:szCs w:val="20"/>
        </w:rPr>
      </w:pPr>
    </w:p>
    <w:p w14:paraId="736E7D02" w14:textId="77777777" w:rsidR="00200DF4" w:rsidRPr="000218A8" w:rsidRDefault="00200DF4" w:rsidP="00AC58D8">
      <w:pPr>
        <w:spacing w:after="120" w:line="360" w:lineRule="auto"/>
        <w:rPr>
          <w:rFonts w:asciiTheme="majorBidi" w:eastAsia="Times New Roman" w:hAnsiTheme="majorBidi" w:cstheme="majorBidi"/>
          <w:b/>
          <w:bCs/>
          <w:sz w:val="20"/>
          <w:szCs w:val="20"/>
        </w:rPr>
      </w:pPr>
    </w:p>
    <w:p w14:paraId="70BEABE3" w14:textId="77777777" w:rsidR="00200DF4" w:rsidRPr="000218A8" w:rsidRDefault="00000000" w:rsidP="00AC58D8">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Correspondence to</w:t>
      </w:r>
    </w:p>
    <w:p w14:paraId="5DD50E89" w14:textId="77777777" w:rsidR="00200DF4" w:rsidRPr="000218A8" w:rsidRDefault="00200DF4" w:rsidP="00AC58D8">
      <w:pPr>
        <w:spacing w:after="120" w:line="360" w:lineRule="auto"/>
        <w:rPr>
          <w:rFonts w:ascii="Times New Roman" w:eastAsia="Times New Roman" w:hAnsi="Times New Roman" w:cs="Times New Roman"/>
          <w:b/>
          <w:bCs/>
        </w:rPr>
      </w:pPr>
    </w:p>
    <w:p w14:paraId="519B8D56" w14:textId="77777777" w:rsidR="00200DF4" w:rsidRDefault="00000000" w:rsidP="00AC58D8">
      <w:pPr>
        <w:spacing w:after="120" w:line="360" w:lineRule="auto"/>
        <w:rPr>
          <w:rFonts w:ascii="Times New Roman" w:eastAsia="Times New Roman" w:hAnsi="Times New Roman" w:cs="Times New Roman"/>
        </w:rPr>
      </w:pPr>
      <w:r>
        <w:br w:type="page"/>
      </w:r>
    </w:p>
    <w:p w14:paraId="578A07D7" w14:textId="77777777" w:rsidR="00200DF4" w:rsidRDefault="00000000" w:rsidP="00AC58D8">
      <w:pPr>
        <w:pStyle w:val="Heading1"/>
        <w:spacing w:line="360" w:lineRule="auto"/>
      </w:pPr>
      <w:r>
        <w:lastRenderedPageBreak/>
        <w:t>Abstract</w:t>
      </w:r>
    </w:p>
    <w:p w14:paraId="655B96A6" w14:textId="149CC404" w:rsidR="00200DF4" w:rsidRPr="00AC58D8" w:rsidRDefault="00000000" w:rsidP="00AC58D8">
      <w:pPr>
        <w:spacing w:after="120" w:line="360" w:lineRule="auto"/>
        <w:rPr>
          <w:rFonts w:asciiTheme="majorBidi" w:eastAsia="Times New Roman" w:hAnsiTheme="majorBidi" w:cstheme="majorBidi"/>
          <w:b/>
          <w:bCs/>
          <w:sz w:val="20"/>
          <w:szCs w:val="20"/>
        </w:rPr>
      </w:pPr>
      <w:r w:rsidRPr="00AC58D8">
        <w:rPr>
          <w:rFonts w:asciiTheme="majorBidi" w:eastAsia="Times New Roman" w:hAnsiTheme="majorBidi" w:cstheme="majorBidi"/>
          <w:b/>
          <w:bCs/>
          <w:sz w:val="20"/>
          <w:szCs w:val="20"/>
        </w:rPr>
        <w:t>Background</w:t>
      </w:r>
    </w:p>
    <w:p w14:paraId="3114B211" w14:textId="37EECFA7" w:rsidR="00200DF4" w:rsidRPr="00AC58D8" w:rsidRDefault="00000000" w:rsidP="00AC58D8">
      <w:pPr>
        <w:spacing w:after="120" w:line="360" w:lineRule="auto"/>
        <w:rPr>
          <w:rFonts w:asciiTheme="majorBidi" w:eastAsia="Times New Roman" w:hAnsiTheme="majorBidi" w:cstheme="majorBidi"/>
          <w:sz w:val="20"/>
          <w:szCs w:val="20"/>
        </w:rPr>
      </w:pPr>
      <w:r w:rsidRPr="00AC58D8">
        <w:rPr>
          <w:rFonts w:asciiTheme="majorBidi" w:eastAsia="Times New Roman" w:hAnsiTheme="majorBidi" w:cstheme="majorBidi"/>
          <w:sz w:val="20"/>
          <w:szCs w:val="20"/>
        </w:rPr>
        <w:t xml:space="preserve">Peripheral diabetic neuropathy (PDN) is one of the most prevalent and debilitating complications of diabetes mellitus, affecting up to 50% of patients and representing a major driver of morbidity, lower-limb amputation, and reduced quality of life. Despite its burden, disease-modifying pharmacological options remain extremely limited. Sodium-glucose cotransporter-2 inhibitors (SGLT2i) have demonstrated cardiovascular and renal protective effects beyond </w:t>
      </w:r>
      <w:proofErr w:type="spellStart"/>
      <w:r w:rsidRPr="00AC58D8">
        <w:rPr>
          <w:rFonts w:asciiTheme="majorBidi" w:eastAsia="Times New Roman" w:hAnsiTheme="majorBidi" w:cstheme="majorBidi"/>
          <w:sz w:val="20"/>
          <w:szCs w:val="20"/>
        </w:rPr>
        <w:t>glycaemic</w:t>
      </w:r>
      <w:proofErr w:type="spellEnd"/>
      <w:r w:rsidRPr="00AC58D8">
        <w:rPr>
          <w:rFonts w:asciiTheme="majorBidi" w:eastAsia="Times New Roman" w:hAnsiTheme="majorBidi" w:cstheme="majorBidi"/>
          <w:sz w:val="20"/>
          <w:szCs w:val="20"/>
        </w:rPr>
        <w:t xml:space="preserve"> control, and emerging preclinical and clinical evidence suggests potential neuroprotective properties. This systematic review and meta-analysis </w:t>
      </w:r>
      <w:proofErr w:type="gramStart"/>
      <w:r w:rsidRPr="00AC58D8">
        <w:rPr>
          <w:rFonts w:asciiTheme="majorBidi" w:eastAsia="Times New Roman" w:hAnsiTheme="majorBidi" w:cstheme="majorBidi"/>
          <w:sz w:val="20"/>
          <w:szCs w:val="20"/>
        </w:rPr>
        <w:t>aims</w:t>
      </w:r>
      <w:proofErr w:type="gramEnd"/>
      <w:r w:rsidRPr="00AC58D8">
        <w:rPr>
          <w:rFonts w:asciiTheme="majorBidi" w:eastAsia="Times New Roman" w:hAnsiTheme="majorBidi" w:cstheme="majorBidi"/>
          <w:sz w:val="20"/>
          <w:szCs w:val="20"/>
        </w:rPr>
        <w:t xml:space="preserve"> to evaluate the effect of SGLT2 inhibitors on peripheral nerve function and related biomarkers in patients with diabetic peripheral neuropathy.</w:t>
      </w:r>
    </w:p>
    <w:p w14:paraId="02000B4C" w14:textId="77777777" w:rsidR="00200DF4" w:rsidRPr="00AC58D8" w:rsidRDefault="00000000" w:rsidP="00AC58D8">
      <w:pPr>
        <w:spacing w:after="120" w:line="360" w:lineRule="auto"/>
        <w:rPr>
          <w:rFonts w:asciiTheme="majorBidi" w:eastAsia="Times New Roman" w:hAnsiTheme="majorBidi" w:cstheme="majorBidi"/>
          <w:b/>
          <w:bCs/>
          <w:sz w:val="20"/>
          <w:szCs w:val="20"/>
        </w:rPr>
      </w:pPr>
      <w:r w:rsidRPr="00AC58D8">
        <w:rPr>
          <w:rFonts w:asciiTheme="majorBidi" w:eastAsia="Times New Roman" w:hAnsiTheme="majorBidi" w:cstheme="majorBidi"/>
          <w:b/>
          <w:bCs/>
          <w:sz w:val="20"/>
          <w:szCs w:val="20"/>
        </w:rPr>
        <w:t>Methods</w:t>
      </w:r>
    </w:p>
    <w:p w14:paraId="575C04E7" w14:textId="5FA111C8" w:rsidR="00200DF4" w:rsidRPr="00AC58D8" w:rsidRDefault="00000000" w:rsidP="00AC58D8">
      <w:pPr>
        <w:spacing w:after="120" w:line="360" w:lineRule="auto"/>
        <w:rPr>
          <w:rFonts w:asciiTheme="majorBidi" w:eastAsia="Times New Roman" w:hAnsiTheme="majorBidi" w:cstheme="majorBidi"/>
          <w:sz w:val="20"/>
          <w:szCs w:val="20"/>
        </w:rPr>
      </w:pPr>
      <w:r w:rsidRPr="00AC58D8">
        <w:rPr>
          <w:rFonts w:asciiTheme="majorBidi" w:eastAsia="Gungsuh" w:hAnsiTheme="majorBidi" w:cstheme="majorBidi"/>
          <w:sz w:val="20"/>
          <w:szCs w:val="20"/>
        </w:rPr>
        <w:t xml:space="preserve">A systematic search was conducted across PubMed, EMBASE, Cochrane CENTRAL, and Scopus from inception to [date], following PRISMA 2020 guidelines and a pre-registered protocol [PROSPERO ID: XXXXXXX]. Studies were eligible if they reported quantitative outcomes related to PDN in patients with diabetes mellitus receiving an SGLT2 inhibitor compared to placebo or active control. Seven studies met inclusion criteria: five </w:t>
      </w:r>
      <w:proofErr w:type="spellStart"/>
      <w:r w:rsidRPr="00AC58D8">
        <w:rPr>
          <w:rFonts w:asciiTheme="majorBidi" w:eastAsia="Gungsuh" w:hAnsiTheme="majorBidi" w:cstheme="majorBidi"/>
          <w:sz w:val="20"/>
          <w:szCs w:val="20"/>
        </w:rPr>
        <w:t>randomised</w:t>
      </w:r>
      <w:proofErr w:type="spellEnd"/>
      <w:r w:rsidRPr="00AC58D8">
        <w:rPr>
          <w:rFonts w:asciiTheme="majorBidi" w:eastAsia="Gungsuh" w:hAnsiTheme="majorBidi" w:cstheme="majorBidi"/>
          <w:sz w:val="20"/>
          <w:szCs w:val="20"/>
        </w:rPr>
        <w:t xml:space="preserve"> controlled trials (RCTs), one prospective cohort study, and one single-arm study. The primary outcome was sural nerve sensory conduction velocity (SNCV). Secondary outcomes included sural nerve sensory amplitude, peroneal nerve motor conduction velocity, amplitude and latency, corneal confocal microscopy (CCM) parameters [corneal nerve </w:t>
      </w:r>
      <w:proofErr w:type="spellStart"/>
      <w:r w:rsidRPr="00AC58D8">
        <w:rPr>
          <w:rFonts w:asciiTheme="majorBidi" w:eastAsia="Gungsuh" w:hAnsiTheme="majorBidi" w:cstheme="majorBidi"/>
          <w:sz w:val="20"/>
          <w:szCs w:val="20"/>
        </w:rPr>
        <w:t>fibre</w:t>
      </w:r>
      <w:proofErr w:type="spellEnd"/>
      <w:r w:rsidRPr="00AC58D8">
        <w:rPr>
          <w:rFonts w:asciiTheme="majorBidi" w:eastAsia="Gungsuh" w:hAnsiTheme="majorBidi" w:cstheme="majorBidi"/>
          <w:sz w:val="20"/>
          <w:szCs w:val="20"/>
        </w:rPr>
        <w:t xml:space="preserve"> density (CNFD), length (CNFL), and branch density (CNBD)], and the oxidative stress marker malondialdehyde (MDA). Random-effects meta-analyses were performed where ≥2 RCTs reported a common outcome. Risk of bias was assessed using the Cochrane </w:t>
      </w:r>
      <w:proofErr w:type="spellStart"/>
      <w:r w:rsidRPr="00AC58D8">
        <w:rPr>
          <w:rFonts w:asciiTheme="majorBidi" w:eastAsia="Gungsuh" w:hAnsiTheme="majorBidi" w:cstheme="majorBidi"/>
          <w:sz w:val="20"/>
          <w:szCs w:val="20"/>
        </w:rPr>
        <w:t>RoB</w:t>
      </w:r>
      <w:proofErr w:type="spellEnd"/>
      <w:r w:rsidRPr="00AC58D8">
        <w:rPr>
          <w:rFonts w:asciiTheme="majorBidi" w:eastAsia="Gungsuh" w:hAnsiTheme="majorBidi" w:cstheme="majorBidi"/>
          <w:sz w:val="20"/>
          <w:szCs w:val="20"/>
        </w:rPr>
        <w:t xml:space="preserve"> 2.0 tool for RCTs and the ROBINS-I tool for </w:t>
      </w:r>
      <w:proofErr w:type="gramStart"/>
      <w:r w:rsidRPr="00AC58D8">
        <w:rPr>
          <w:rFonts w:asciiTheme="majorBidi" w:eastAsia="Gungsuh" w:hAnsiTheme="majorBidi" w:cstheme="majorBidi"/>
          <w:sz w:val="20"/>
          <w:szCs w:val="20"/>
        </w:rPr>
        <w:t>the cohort</w:t>
      </w:r>
      <w:proofErr w:type="gramEnd"/>
      <w:r w:rsidRPr="00AC58D8">
        <w:rPr>
          <w:rFonts w:asciiTheme="majorBidi" w:eastAsia="Gungsuh" w:hAnsiTheme="majorBidi" w:cstheme="majorBidi"/>
          <w:sz w:val="20"/>
          <w:szCs w:val="20"/>
        </w:rPr>
        <w:t xml:space="preserve"> study.</w:t>
      </w:r>
    </w:p>
    <w:p w14:paraId="003505E9" w14:textId="77777777" w:rsidR="00200DF4" w:rsidRPr="00AC58D8" w:rsidRDefault="00000000" w:rsidP="00AC58D8">
      <w:pPr>
        <w:spacing w:after="120" w:line="360" w:lineRule="auto"/>
        <w:rPr>
          <w:rFonts w:asciiTheme="majorBidi" w:eastAsia="Times New Roman" w:hAnsiTheme="majorBidi" w:cstheme="majorBidi"/>
          <w:b/>
          <w:bCs/>
          <w:sz w:val="20"/>
          <w:szCs w:val="20"/>
        </w:rPr>
      </w:pPr>
      <w:r w:rsidRPr="00AC58D8">
        <w:rPr>
          <w:rFonts w:asciiTheme="majorBidi" w:eastAsia="Times New Roman" w:hAnsiTheme="majorBidi" w:cstheme="majorBidi"/>
          <w:b/>
          <w:bCs/>
          <w:sz w:val="20"/>
          <w:szCs w:val="20"/>
        </w:rPr>
        <w:t>Results</w:t>
      </w:r>
    </w:p>
    <w:p w14:paraId="172C3E0A" w14:textId="41342256" w:rsidR="00200DF4" w:rsidRPr="00AC58D8" w:rsidRDefault="00000000" w:rsidP="00AC58D8">
      <w:pPr>
        <w:spacing w:after="120" w:line="360" w:lineRule="auto"/>
        <w:rPr>
          <w:rFonts w:asciiTheme="majorBidi" w:eastAsia="Times New Roman" w:hAnsiTheme="majorBidi" w:cstheme="majorBidi"/>
          <w:sz w:val="20"/>
          <w:szCs w:val="20"/>
        </w:rPr>
      </w:pPr>
      <w:r w:rsidRPr="00AC58D8">
        <w:rPr>
          <w:rFonts w:asciiTheme="majorBidi" w:eastAsia="Times New Roman" w:hAnsiTheme="majorBidi" w:cstheme="majorBidi"/>
          <w:sz w:val="20"/>
          <w:szCs w:val="20"/>
        </w:rPr>
        <w:t xml:space="preserve">Seven studies enrolling a total of [N] participants were included. Meta-analysis of three RCTs demonstrated a statistically significant improvement in sural nerve sensory conduction velocity in the SGLT2i group compared to controls (mean difference [MD]: [X] m/s, 95% CI [X to X]; I² = X%; p = X). Sural nerve sensory amplitude was also significantly greater in the SGLT2i group (MD: [X] µV, 95% CI [X to X]; I² = X%; p = X). Peroneal nerve motor latency was significantly reduced with SGLT2i therapy (MD: [X] </w:t>
      </w:r>
      <w:proofErr w:type="spellStart"/>
      <w:r w:rsidRPr="00AC58D8">
        <w:rPr>
          <w:rFonts w:asciiTheme="majorBidi" w:eastAsia="Times New Roman" w:hAnsiTheme="majorBidi" w:cstheme="majorBidi"/>
          <w:sz w:val="20"/>
          <w:szCs w:val="20"/>
        </w:rPr>
        <w:t>ms</w:t>
      </w:r>
      <w:proofErr w:type="spellEnd"/>
      <w:r w:rsidRPr="00AC58D8">
        <w:rPr>
          <w:rFonts w:asciiTheme="majorBidi" w:eastAsia="Times New Roman" w:hAnsiTheme="majorBidi" w:cstheme="majorBidi"/>
          <w:sz w:val="20"/>
          <w:szCs w:val="20"/>
        </w:rPr>
        <w:t>, 95% CI [X to X]; p = X), while no statistically significant differences were identified in peroneal nerve motor conduction velocity or amplitude across two RCTs, though these analyses were limited by small sample sizes. Meta-analysis of two RCTs reporting MDA revealed no significant between-group difference (MD: [X], 95% CI [X to X]; p = X). CCM outcomes were reported in one RCT and one prospective cohort study; owing to heterogeneity in study design, these are presented narratively and demonstrated no statistically significant change attributable to SGLT2i therapy.</w:t>
      </w:r>
    </w:p>
    <w:p w14:paraId="1754CB89" w14:textId="77777777" w:rsidR="00200DF4" w:rsidRPr="00AC58D8" w:rsidRDefault="00000000" w:rsidP="00AC58D8">
      <w:pPr>
        <w:spacing w:after="120" w:line="360" w:lineRule="auto"/>
        <w:rPr>
          <w:rFonts w:asciiTheme="majorBidi" w:eastAsia="Times New Roman" w:hAnsiTheme="majorBidi" w:cstheme="majorBidi"/>
          <w:b/>
          <w:bCs/>
          <w:sz w:val="20"/>
          <w:szCs w:val="20"/>
        </w:rPr>
      </w:pPr>
      <w:r w:rsidRPr="00AC58D8">
        <w:rPr>
          <w:rFonts w:asciiTheme="majorBidi" w:eastAsia="Times New Roman" w:hAnsiTheme="majorBidi" w:cstheme="majorBidi"/>
          <w:b/>
          <w:bCs/>
          <w:sz w:val="20"/>
          <w:szCs w:val="20"/>
        </w:rPr>
        <w:t>Conclusion</w:t>
      </w:r>
    </w:p>
    <w:p w14:paraId="2B10FD0F" w14:textId="77777777" w:rsidR="00200DF4" w:rsidRPr="00AC58D8" w:rsidRDefault="00000000" w:rsidP="00AC58D8">
      <w:pPr>
        <w:spacing w:after="120" w:line="360" w:lineRule="auto"/>
        <w:rPr>
          <w:rFonts w:asciiTheme="majorBidi" w:eastAsia="Times New Roman" w:hAnsiTheme="majorBidi" w:cstheme="majorBidi"/>
          <w:sz w:val="20"/>
          <w:szCs w:val="20"/>
        </w:rPr>
      </w:pPr>
      <w:r w:rsidRPr="00AC58D8">
        <w:rPr>
          <w:rFonts w:asciiTheme="majorBidi" w:eastAsia="Times New Roman" w:hAnsiTheme="majorBidi" w:cstheme="majorBidi"/>
          <w:sz w:val="20"/>
          <w:szCs w:val="20"/>
        </w:rPr>
        <w:t xml:space="preserve">This meta-analysis provides preliminary evidence that SGLT2 inhibitors may improve sensory peripheral nerve function in patients with diabetic peripheral neuropathy, as reflected by significant improvements in sural nerve conduction velocity and amplitude, and peroneal nerve motor latency. These findings suggest a potential </w:t>
      </w:r>
      <w:r w:rsidRPr="00AC58D8">
        <w:rPr>
          <w:rFonts w:asciiTheme="majorBidi" w:eastAsia="Times New Roman" w:hAnsiTheme="majorBidi" w:cstheme="majorBidi"/>
          <w:sz w:val="20"/>
          <w:szCs w:val="20"/>
        </w:rPr>
        <w:lastRenderedPageBreak/>
        <w:t xml:space="preserve">neuroprotective effect that may extend beyond </w:t>
      </w:r>
      <w:proofErr w:type="spellStart"/>
      <w:r w:rsidRPr="00AC58D8">
        <w:rPr>
          <w:rFonts w:asciiTheme="majorBidi" w:eastAsia="Times New Roman" w:hAnsiTheme="majorBidi" w:cstheme="majorBidi"/>
          <w:sz w:val="20"/>
          <w:szCs w:val="20"/>
        </w:rPr>
        <w:t>glycaemic</w:t>
      </w:r>
      <w:proofErr w:type="spellEnd"/>
      <w:r w:rsidRPr="00AC58D8">
        <w:rPr>
          <w:rFonts w:asciiTheme="majorBidi" w:eastAsia="Times New Roman" w:hAnsiTheme="majorBidi" w:cstheme="majorBidi"/>
          <w:sz w:val="20"/>
          <w:szCs w:val="20"/>
        </w:rPr>
        <w:t xml:space="preserve"> </w:t>
      </w:r>
      <w:proofErr w:type="spellStart"/>
      <w:r w:rsidRPr="00AC58D8">
        <w:rPr>
          <w:rFonts w:asciiTheme="majorBidi" w:eastAsia="Times New Roman" w:hAnsiTheme="majorBidi" w:cstheme="majorBidi"/>
          <w:sz w:val="20"/>
          <w:szCs w:val="20"/>
        </w:rPr>
        <w:t>optimisation</w:t>
      </w:r>
      <w:proofErr w:type="spellEnd"/>
      <w:r w:rsidRPr="00AC58D8">
        <w:rPr>
          <w:rFonts w:asciiTheme="majorBidi" w:eastAsia="Times New Roman" w:hAnsiTheme="majorBidi" w:cstheme="majorBidi"/>
          <w:sz w:val="20"/>
          <w:szCs w:val="20"/>
        </w:rPr>
        <w:t xml:space="preserve">, possibly mediated through reduced oxidative stress, improved </w:t>
      </w:r>
      <w:proofErr w:type="spellStart"/>
      <w:r w:rsidRPr="00AC58D8">
        <w:rPr>
          <w:rFonts w:asciiTheme="majorBidi" w:eastAsia="Times New Roman" w:hAnsiTheme="majorBidi" w:cstheme="majorBidi"/>
          <w:sz w:val="20"/>
          <w:szCs w:val="20"/>
        </w:rPr>
        <w:t>endoneurial</w:t>
      </w:r>
      <w:proofErr w:type="spellEnd"/>
      <w:r w:rsidRPr="00AC58D8">
        <w:rPr>
          <w:rFonts w:asciiTheme="majorBidi" w:eastAsia="Times New Roman" w:hAnsiTheme="majorBidi" w:cstheme="majorBidi"/>
          <w:sz w:val="20"/>
          <w:szCs w:val="20"/>
        </w:rPr>
        <w:t xml:space="preserve"> perfusion, or metabolic reprogramming via ketogenesis. However, the evidence base remains limited by a small number of studies, short follow-up durations, heterogeneity in SGLT2i agents and PDN severity, and overall low-to-moderate certainty of evidence. Large, well-designed RCTs with pre-specified neurological endpoints and longer follow-up are warranted to confirm these findings and establish SGLT2 inhibitors as a potential disease-modifying therapy for PDN.</w:t>
      </w:r>
    </w:p>
    <w:p w14:paraId="45C8DFB5" w14:textId="77777777" w:rsidR="00200DF4" w:rsidRDefault="00000000" w:rsidP="00AC58D8">
      <w:pPr>
        <w:spacing w:after="120" w:line="360" w:lineRule="auto"/>
        <w:rPr>
          <w:rFonts w:ascii="Times New Roman" w:eastAsia="Times New Roman" w:hAnsi="Times New Roman" w:cs="Times New Roman"/>
        </w:rPr>
      </w:pPr>
      <w:r>
        <w:br w:type="page"/>
      </w:r>
    </w:p>
    <w:p w14:paraId="463B0E3D" w14:textId="0082CF0D" w:rsidR="00200DF4" w:rsidRDefault="00CC260B" w:rsidP="00AC58D8">
      <w:pPr>
        <w:pStyle w:val="Heading1"/>
        <w:spacing w:line="360" w:lineRule="auto"/>
        <w:rPr>
          <w:rFonts w:ascii="Times New Roman" w:eastAsia="Times New Roman" w:hAnsi="Times New Roman" w:cs="Times New Roman"/>
          <w:sz w:val="22"/>
          <w:szCs w:val="22"/>
        </w:rPr>
      </w:pPr>
      <w:bookmarkStart w:id="1" w:name="_p2ew7bqicju2" w:colFirst="0" w:colLast="0"/>
      <w:bookmarkEnd w:id="1"/>
      <w:r>
        <w:lastRenderedPageBreak/>
        <w:t xml:space="preserve">1. </w:t>
      </w:r>
      <w:r w:rsidR="00000000" w:rsidRPr="00CC260B">
        <w:t>Introduction</w:t>
      </w:r>
    </w:p>
    <w:p w14:paraId="65D0F167" w14:textId="1DFDCC48"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Diabetic peripheral neuropathy (DPN) is one of the most common and disabling microvascular complications of diabetes, affecting up to one‑third to one‑half of patients and </w:t>
      </w:r>
      <w:proofErr w:type="gramStart"/>
      <w:r>
        <w:rPr>
          <w:rFonts w:ascii="Times New Roman" w:eastAsia="Times New Roman" w:hAnsi="Times New Roman" w:cs="Times New Roman"/>
        </w:rPr>
        <w:t>predisposing</w:t>
      </w:r>
      <w:proofErr w:type="gramEnd"/>
      <w:r>
        <w:rPr>
          <w:rFonts w:ascii="Times New Roman" w:eastAsia="Times New Roman" w:hAnsi="Times New Roman" w:cs="Times New Roman"/>
        </w:rPr>
        <w:t xml:space="preserve"> them to pain, foot ulceration, and amputation. Chronic hyperglycemia, dyslipidemia, insulin resistance, and microvascular dysfunction converge to drive oxidative stress, mitochondrial injury, and neuroinflammation, leading to progressive sensory and motor nerve fiber loss. Despite optimized glycemic control and symptomatic treatments, many individuals continue to experience progressive neuropathic pain and functional impairment, underscoring the need for disease‑modifying strategies.</w:t>
      </w:r>
    </w:p>
    <w:p w14:paraId="2BB9F64B" w14:textId="10D199DE"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Sodium–glucose co‑transporter‑2 inhibitors (SGLT2i) are glucose‑lowering agents that reduce renal glucose reabsorption in the proximal tubule and have demonstrated robust cardiovascular and renal benefits in people with type 2 diabetes. Beyond their insulin‑independent glucose lowering, SGLT2i can attenuate glycemic variability and improve multiple non‑glycemic risk factors relevant to microvascular injury, including weight, blood pressure, and markers of oxidative stress and inflammation. These pleiotropic effects have led to the hypothesis that SGLT2i may exert direct or indirect neuroprotective actions in DPN through improved microcirculation, reduced oxidative damage, and modulation of neuroinflammatory pathways.</w:t>
      </w:r>
    </w:p>
    <w:p w14:paraId="182A65E1" w14:textId="77777777"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Emerging clinical and experimental data suggest that SGLT2i may improve neuropathy‑related outcomes, including nerve conduction parameters, small nerve fiber regeneration, and composite neurophysiological scores, although findings remain heterogeneous and often derive from secondary analyses of trials not primarily designed for neuropathy endpoints. A recent meta‑analysis reported moderate improvements in DPN manifestations and nerve conduction velocity with </w:t>
      </w:r>
      <w:proofErr w:type="gramStart"/>
      <w:r>
        <w:rPr>
          <w:rFonts w:ascii="Times New Roman" w:eastAsia="Times New Roman" w:hAnsi="Times New Roman" w:cs="Times New Roman"/>
        </w:rPr>
        <w:t>SGLT2i, but</w:t>
      </w:r>
      <w:proofErr w:type="gramEnd"/>
      <w:r>
        <w:rPr>
          <w:rFonts w:ascii="Times New Roman" w:eastAsia="Times New Roman" w:hAnsi="Times New Roman" w:cs="Times New Roman"/>
        </w:rPr>
        <w:t xml:space="preserve"> also highlighted important limitations such as small numbers of dedicated neuropathy studies, variable diagnostic criteria, and inconsistent follow‑up durations. Given the growing clinical use of SGLT2i and the substantial burden of DPN, a comprehensive and methodologically rigorous systematic review focused specifically on the effects of SGLT2i on peripheral diabetic neuropathy is warranted to synthesize the available evidence, clarify potential neuroprotective benefits, and identify key gaps to inform future trials.</w:t>
      </w:r>
    </w:p>
    <w:p w14:paraId="2D9318EB" w14:textId="77777777" w:rsidR="00200DF4" w:rsidRDefault="00200DF4" w:rsidP="00AC58D8">
      <w:pPr>
        <w:spacing w:after="120" w:line="360" w:lineRule="auto"/>
        <w:rPr>
          <w:rFonts w:ascii="Times New Roman" w:eastAsia="Times New Roman" w:hAnsi="Times New Roman" w:cs="Times New Roman"/>
        </w:rPr>
      </w:pPr>
    </w:p>
    <w:p w14:paraId="7F2FC157" w14:textId="77777777" w:rsidR="00200DF4" w:rsidRDefault="00200DF4" w:rsidP="00AC58D8">
      <w:pPr>
        <w:spacing w:after="120" w:line="360" w:lineRule="auto"/>
        <w:rPr>
          <w:rFonts w:ascii="Times New Roman" w:eastAsia="Times New Roman" w:hAnsi="Times New Roman" w:cs="Times New Roman"/>
        </w:rPr>
      </w:pPr>
    </w:p>
    <w:p w14:paraId="66191BDE" w14:textId="77777777" w:rsidR="00200DF4" w:rsidRDefault="00000000" w:rsidP="00AC58D8">
      <w:pPr>
        <w:spacing w:after="120" w:line="360" w:lineRule="auto"/>
        <w:rPr>
          <w:rFonts w:ascii="Times New Roman" w:eastAsia="Times New Roman" w:hAnsi="Times New Roman" w:cs="Times New Roman"/>
        </w:rPr>
      </w:pPr>
      <w:r>
        <w:br w:type="page"/>
      </w:r>
    </w:p>
    <w:p w14:paraId="6C4EF7D3" w14:textId="25ECD5DA" w:rsidR="00200DF4" w:rsidRPr="00CC260B" w:rsidRDefault="00CC260B" w:rsidP="00AC58D8">
      <w:pPr>
        <w:pStyle w:val="Heading1"/>
        <w:spacing w:line="360" w:lineRule="auto"/>
      </w:pPr>
      <w:r>
        <w:lastRenderedPageBreak/>
        <w:t xml:space="preserve">2. </w:t>
      </w:r>
      <w:r w:rsidR="00000000" w:rsidRPr="00CC260B">
        <w:t>Methodology</w:t>
      </w:r>
    </w:p>
    <w:p w14:paraId="2C86543D" w14:textId="53929572" w:rsidR="00200DF4" w:rsidRDefault="00000000" w:rsidP="00FD79F2">
      <w:pPr>
        <w:spacing w:after="240" w:line="360" w:lineRule="auto"/>
        <w:rPr>
          <w:rFonts w:ascii="Times New Roman" w:eastAsia="Times New Roman" w:hAnsi="Times New Roman" w:cs="Times New Roman"/>
          <w:i/>
          <w:iCs/>
        </w:rPr>
      </w:pPr>
      <w:r>
        <w:rPr>
          <w:rFonts w:ascii="Times New Roman" w:eastAsia="Times New Roman" w:hAnsi="Times New Roman" w:cs="Times New Roman"/>
        </w:rPr>
        <w:t xml:space="preserve">While carrying out this systematic review and meta-analysis, we used the guidelines of Cochrane Handbook of Systematic Reviews and Meta-analysis (version 6.5) </w:t>
      </w:r>
      <w:r w:rsidR="00AC58D8">
        <w:fldChar w:fldCharType="begin"/>
      </w:r>
      <w:r w:rsidR="00AC58D8">
        <w:instrText xml:space="preserve"> ADDIN ZOTERO_ITEM CSL_CITATION {"citationID":"KYDHUhZs","properties":{"formattedCitation":"[1]","plainCitation":"[1]","noteIndex":0},"citationItems":[{"id":96,"uris":["http://zotero.org/groups/6417726/items/LND4DMUL"],"itemData":{"id":96,"type":"book","edition":"Version 6.5 (updated August 2024)","publisher":"Cochrane","title":"Cochrane Handbook for Systematic Reviews of Interventions","URL":"www.cochrane.org/handbook","author":[{"literal":"Higgins JPT"},{"literal":"Thomas J"},{"literal":"Chandler J"},{"literal":"Cumpston M"},{"literal":"Li T"},{"literal":"Page MJ"},{"literal":"et al"},{"literal":"editor (s)"}],"issued":{"date-parts":[["2024"]]}}}],"schema":"https://github.com/citation-style-language/schema/raw/master/csl-citation.json"} </w:instrText>
      </w:r>
      <w:r w:rsidR="00AC58D8">
        <w:fldChar w:fldCharType="separate"/>
      </w:r>
      <w:r w:rsidR="00AC58D8" w:rsidRPr="00AC58D8">
        <w:t>[1]</w:t>
      </w:r>
      <w:r w:rsidR="00AC58D8">
        <w:fldChar w:fldCharType="end"/>
      </w:r>
      <w:r>
        <w:rPr>
          <w:rFonts w:ascii="Times New Roman" w:eastAsia="Times New Roman" w:hAnsi="Times New Roman" w:cs="Times New Roman"/>
        </w:rPr>
        <w:t xml:space="preserve">. We reported this study according to the Preferred Reporting items of Systematic Reviews and Meta-Analysis (PRISMA statement 2020) </w:t>
      </w:r>
      <w:r w:rsidR="00AC58D8">
        <w:fldChar w:fldCharType="begin"/>
      </w:r>
      <w:r w:rsidR="00AC58D8">
        <w:instrText xml:space="preserve"> ADDIN ZOTERO_ITEM CSL_CITATION {"citationID":"2wlfPaaq","properties":{"formattedCitation":"[2]","plainCitation":"[2]","noteIndex":0},"citationItems":[{"id":116,"uris":["http://zotero.org/groups/6437514/items/V5VVDHJQ"],"itemData":{"id":116,"type":"article-journal","container-title":"BMJ","DOI":"10.1136/bmj.n71","ISSN":"1756-1833","journalAbbreviation":"BMJ","language":"en","page":"n71","source":"DOI.org (Crossref)","title":"The PRISMA 2020 statement: an updated guideline for reporting systematic reviews","title-short":"The PRISMA 2020 statement","author":[{"family":"Page","given":"Matthew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A"},{"family":"Whiting","given":"Penny"},{"family":"Moher","given":"David"}],"issued":{"date-parts":[["2021",3,29]]}}}],"schema":"https://github.com/citation-style-language/schema/raw/master/csl-citation.json"} </w:instrText>
      </w:r>
      <w:r w:rsidR="00AC58D8">
        <w:fldChar w:fldCharType="separate"/>
      </w:r>
      <w:r w:rsidR="00AC58D8" w:rsidRPr="00AC58D8">
        <w:t>[2]</w:t>
      </w:r>
      <w:r w:rsidR="00AC58D8">
        <w:fldChar w:fldCharType="end"/>
      </w:r>
      <w:r>
        <w:rPr>
          <w:rFonts w:ascii="Times New Roman" w:eastAsia="Times New Roman" w:hAnsi="Times New Roman" w:cs="Times New Roman"/>
        </w:rPr>
        <w:t xml:space="preserve">. </w:t>
      </w:r>
    </w:p>
    <w:p w14:paraId="7E6BC305" w14:textId="63942252" w:rsidR="00200DF4" w:rsidRPr="00CC260B" w:rsidRDefault="00CC260B" w:rsidP="00FD79F2">
      <w:pPr>
        <w:spacing w:after="240" w:line="360" w:lineRule="auto"/>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2.1 </w:t>
      </w:r>
      <w:r w:rsidR="00000000" w:rsidRPr="00CC260B">
        <w:rPr>
          <w:rFonts w:ascii="Times New Roman" w:eastAsia="Times New Roman" w:hAnsi="Times New Roman" w:cs="Times New Roman"/>
          <w:b/>
          <w:bCs/>
          <w:i/>
          <w:iCs/>
        </w:rPr>
        <w:t>Eligibility criteria</w:t>
      </w:r>
    </w:p>
    <w:p w14:paraId="47EBAEE4" w14:textId="24E931A0"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Studies were considered eligible for inclusion in this systematic review if they met the following pre-specified criteria, defined according to the PICOS framework. With respect to </w:t>
      </w:r>
      <w:r w:rsidRPr="00CC260B">
        <w:rPr>
          <w:rFonts w:ascii="Times New Roman" w:eastAsia="Times New Roman" w:hAnsi="Times New Roman" w:cs="Times New Roman"/>
        </w:rPr>
        <w:t xml:space="preserve">population, studies were required to </w:t>
      </w:r>
      <w:r w:rsidR="00CC260B" w:rsidRPr="00CC260B">
        <w:rPr>
          <w:rFonts w:ascii="Times New Roman" w:eastAsia="Times New Roman" w:hAnsi="Times New Roman" w:cs="Times New Roman"/>
        </w:rPr>
        <w:t>enroll</w:t>
      </w:r>
      <w:r w:rsidRPr="00CC260B">
        <w:rPr>
          <w:rFonts w:ascii="Times New Roman" w:eastAsia="Times New Roman" w:hAnsi="Times New Roman" w:cs="Times New Roman"/>
        </w:rPr>
        <w:t xml:space="preserve"> adult patients (aged ≥18 years) with a confirmed diagnosis of diabetes mellitus (type 1 or type 2) and established peripheral diabetic neuropathy, defined by either electrodiagnostic criteria, clinical neuropathy scoring, or objective small </w:t>
      </w:r>
      <w:r w:rsidR="00CC260B" w:rsidRPr="00CC260B">
        <w:rPr>
          <w:rFonts w:ascii="Times New Roman" w:eastAsia="Times New Roman" w:hAnsi="Times New Roman" w:cs="Times New Roman"/>
        </w:rPr>
        <w:t>fiber</w:t>
      </w:r>
      <w:r w:rsidRPr="00CC260B">
        <w:rPr>
          <w:rFonts w:ascii="Times New Roman" w:eastAsia="Times New Roman" w:hAnsi="Times New Roman" w:cs="Times New Roman"/>
        </w:rPr>
        <w:t xml:space="preserve"> assessment. No restrictions were placed on diabetes duration, HbA1c level, or neuropathy severity at baseline. Regarding intervention</w:t>
      </w:r>
      <w:r>
        <w:rPr>
          <w:rFonts w:ascii="Times New Roman" w:eastAsia="Times New Roman" w:hAnsi="Times New Roman" w:cs="Times New Roman"/>
        </w:rPr>
        <w:t xml:space="preserve">, eligible studies were required to include at least one arm receiving an SGLT2 inhibitor (including but not limited to empagliflozin, dapagliflozin, canagliflozin, or ertugliflozin) at any licensed dose and for any duration of follow-up. For </w:t>
      </w:r>
      <w:proofErr w:type="gramStart"/>
      <w:r w:rsidRPr="00CC260B">
        <w:rPr>
          <w:rFonts w:ascii="Times New Roman" w:eastAsia="Times New Roman" w:hAnsi="Times New Roman" w:cs="Times New Roman"/>
        </w:rPr>
        <w:t>comparator</w:t>
      </w:r>
      <w:proofErr w:type="gramEnd"/>
      <w:r>
        <w:rPr>
          <w:rFonts w:ascii="Times New Roman" w:eastAsia="Times New Roman" w:hAnsi="Times New Roman" w:cs="Times New Roman"/>
        </w:rPr>
        <w:t xml:space="preserve">, studies were required to include a placebo group, standard care arm, or active comparator; however, single-arm studies were retained for narrative synthesis given the scarcity of evidence in this </w:t>
      </w:r>
      <w:proofErr w:type="gramStart"/>
      <w:r>
        <w:rPr>
          <w:rFonts w:ascii="Times New Roman" w:eastAsia="Times New Roman" w:hAnsi="Times New Roman" w:cs="Times New Roman"/>
        </w:rPr>
        <w:t>field, and</w:t>
      </w:r>
      <w:proofErr w:type="gramEnd"/>
      <w:r>
        <w:rPr>
          <w:rFonts w:ascii="Times New Roman" w:eastAsia="Times New Roman" w:hAnsi="Times New Roman" w:cs="Times New Roman"/>
        </w:rPr>
        <w:t xml:space="preserve"> were explicitly excluded from all pooled meta-analyses. </w:t>
      </w:r>
      <w:r w:rsidR="00CC260B">
        <w:rPr>
          <w:rFonts w:ascii="Times New Roman" w:eastAsia="Times New Roman" w:hAnsi="Times New Roman" w:cs="Times New Roman"/>
        </w:rPr>
        <w:t>Regarding</w:t>
      </w:r>
      <w:r>
        <w:rPr>
          <w:rFonts w:ascii="Times New Roman" w:eastAsia="Times New Roman" w:hAnsi="Times New Roman" w:cs="Times New Roman"/>
        </w:rPr>
        <w:t xml:space="preserve"> </w:t>
      </w:r>
      <w:r w:rsidRPr="00CC260B">
        <w:rPr>
          <w:rFonts w:ascii="Times New Roman" w:eastAsia="Times New Roman" w:hAnsi="Times New Roman" w:cs="Times New Roman"/>
        </w:rPr>
        <w:t>outcomes</w:t>
      </w:r>
      <w:r>
        <w:rPr>
          <w:rFonts w:ascii="Times New Roman" w:eastAsia="Times New Roman" w:hAnsi="Times New Roman" w:cs="Times New Roman"/>
        </w:rPr>
        <w:t xml:space="preserve">, studies were eligible if they reported at least one quantitative measure of peripheral nerve function or neuropathy severity, including but not limited to nerve conduction study parameters (sensory or motor conduction velocity, amplitude, or latency), corneal confocal microscopy metrics, neuropathy symptom or disability scores, or biomarkers of oxidative stress. With respect to </w:t>
      </w:r>
      <w:r w:rsidRPr="00CC260B">
        <w:rPr>
          <w:rFonts w:ascii="Times New Roman" w:eastAsia="Times New Roman" w:hAnsi="Times New Roman" w:cs="Times New Roman"/>
        </w:rPr>
        <w:t>study design</w:t>
      </w:r>
      <w:r>
        <w:rPr>
          <w:rFonts w:ascii="Times New Roman" w:eastAsia="Times New Roman" w:hAnsi="Times New Roman" w:cs="Times New Roman"/>
        </w:rPr>
        <w:t xml:space="preserve">,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(RCTs) and prospective observational studies were eligible for inclusion. Cross-sectional studies, case reports, case series, editorials, review articles, conference abstracts without full-text availability, and animal or in vitro studies were excluded. Studies in which SGLT2 inhibitor therapy could not be isolated as the primary intervention — for instance where it was combined with another agent in all arms without a corresponding comparator — were excluded to avoid confounding of effect estimates. </w:t>
      </w:r>
    </w:p>
    <w:p w14:paraId="37A13EA4" w14:textId="1BDC83BD" w:rsidR="00200DF4" w:rsidRPr="00CC260B" w:rsidRDefault="00CC260B" w:rsidP="00FD79F2">
      <w:pPr>
        <w:spacing w:after="240" w:line="360" w:lineRule="auto"/>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2.2 </w:t>
      </w:r>
      <w:r w:rsidR="00000000" w:rsidRPr="00CC260B">
        <w:rPr>
          <w:rFonts w:ascii="Times New Roman" w:eastAsia="Times New Roman" w:hAnsi="Times New Roman" w:cs="Times New Roman"/>
          <w:b/>
          <w:bCs/>
          <w:i/>
          <w:iCs/>
        </w:rPr>
        <w:t>Information sources and Search strategy</w:t>
      </w:r>
    </w:p>
    <w:p w14:paraId="3FECDCF0" w14:textId="77777777" w:rsidR="00200DF4" w:rsidRDefault="00000000" w:rsidP="00FD79F2">
      <w:pPr>
        <w:spacing w:after="240" w:line="360" w:lineRule="auto"/>
        <w:rPr>
          <w:rFonts w:ascii="Times New Roman" w:eastAsia="Times New Roman" w:hAnsi="Times New Roman" w:cs="Times New Roman"/>
        </w:rPr>
      </w:pPr>
      <w:proofErr w:type="spellStart"/>
      <w:r>
        <w:rPr>
          <w:rFonts w:ascii="Times New Roman" w:eastAsia="Times New Roman" w:hAnsi="Times New Roman" w:cs="Times New Roman"/>
        </w:rPr>
        <w:t>Pubmed</w:t>
      </w:r>
      <w:proofErr w:type="spellEnd"/>
      <w:r>
        <w:rPr>
          <w:rFonts w:ascii="Times New Roman" w:eastAsia="Times New Roman" w:hAnsi="Times New Roman" w:cs="Times New Roman"/>
        </w:rPr>
        <w:t>:</w:t>
      </w:r>
    </w:p>
    <w:p w14:paraId="6FE693AF" w14:textId="75B6B64F"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("Sodium-Glucose Transporter 2 Inhibitors"[Mesh]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w:t>
      </w:r>
      <w:r>
        <w:rPr>
          <w:rFonts w:ascii="Times New Roman" w:eastAsia="Times New Roman" w:hAnsi="Times New Roman" w:cs="Times New Roman"/>
        </w:rPr>
        <w:lastRenderedPageBreak/>
        <w:t xml:space="preserve">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Neuropathies"[Mesh] OR "Peripheral Nervous System Diseases"[Mesh]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7BBC97EF" w14:textId="77777777"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Web of Science:</w:t>
      </w:r>
    </w:p>
    <w:p w14:paraId="42A8C4F8" w14:textId="21217EB9"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5F992952" w14:textId="77777777"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Cochrane CENTRAL:</w:t>
      </w:r>
    </w:p>
    <w:p w14:paraId="6A1B41D8" w14:textId="1D075082"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 in All Text</w:t>
      </w:r>
    </w:p>
    <w:p w14:paraId="32B9F3BB" w14:textId="77777777"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Scopus:</w:t>
      </w:r>
    </w:p>
    <w:p w14:paraId="70D54A82" w14:textId="3CA841C6" w:rsidR="00200DF4" w:rsidRPr="00CC260B"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41985077" w14:textId="772C69C7" w:rsidR="00200DF4" w:rsidRPr="00CC260B" w:rsidRDefault="00CC260B" w:rsidP="00FD79F2">
      <w:pPr>
        <w:spacing w:after="240" w:line="360" w:lineRule="auto"/>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2.3 </w:t>
      </w:r>
      <w:r w:rsidR="00000000" w:rsidRPr="00CC260B">
        <w:rPr>
          <w:rFonts w:ascii="Times New Roman" w:eastAsia="Times New Roman" w:hAnsi="Times New Roman" w:cs="Times New Roman"/>
          <w:b/>
          <w:bCs/>
          <w:i/>
          <w:iCs/>
        </w:rPr>
        <w:t xml:space="preserve">Selection process </w:t>
      </w:r>
    </w:p>
    <w:p w14:paraId="28F24EE6" w14:textId="62CA9079" w:rsidR="00200DF4" w:rsidRPr="00CC260B"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Records were exported from </w:t>
      </w:r>
      <w:proofErr w:type="spellStart"/>
      <w:r>
        <w:rPr>
          <w:rFonts w:ascii="Times New Roman" w:eastAsia="Times New Roman" w:hAnsi="Times New Roman" w:cs="Times New Roman"/>
        </w:rPr>
        <w:t>Pubmed</w:t>
      </w:r>
      <w:proofErr w:type="spellEnd"/>
      <w:r>
        <w:rPr>
          <w:rFonts w:ascii="Times New Roman" w:eastAsia="Times New Roman" w:hAnsi="Times New Roman" w:cs="Times New Roman"/>
        </w:rPr>
        <w:t xml:space="preserve">, Web of Science and Scopus then uploaded to Rayyan for eligibility screening. Titles and abstracts meeting the above-mentioned eligibility criteria were </w:t>
      </w:r>
      <w:r>
        <w:rPr>
          <w:rFonts w:ascii="Times New Roman" w:eastAsia="Times New Roman" w:hAnsi="Times New Roman" w:cs="Times New Roman"/>
        </w:rPr>
        <w:lastRenderedPageBreak/>
        <w:t>labelled “included”. Then, the full-text articles of the eligible records were obtained for further screening.</w:t>
      </w:r>
    </w:p>
    <w:p w14:paraId="72C99F73" w14:textId="76802B19" w:rsidR="00200DF4" w:rsidRPr="00CC260B" w:rsidRDefault="00CC260B" w:rsidP="00FD79F2">
      <w:pPr>
        <w:spacing w:after="240" w:line="360" w:lineRule="auto"/>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2.4 </w:t>
      </w:r>
      <w:r w:rsidR="00000000" w:rsidRPr="00CC260B">
        <w:rPr>
          <w:rFonts w:ascii="Times New Roman" w:eastAsia="Times New Roman" w:hAnsi="Times New Roman" w:cs="Times New Roman"/>
          <w:b/>
          <w:bCs/>
          <w:i/>
          <w:iCs/>
        </w:rPr>
        <w:t>Data collection process and items</w:t>
      </w:r>
    </w:p>
    <w:p w14:paraId="0AF1B3C5" w14:textId="2E024C4E" w:rsidR="00200DF4" w:rsidRPr="00CC260B"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Two authors independently extracted the data using a standardized spreadsheet. The extracted data included study characteristics (e.g., study id, location and study design), participant characteristics (age, sex and sample size) and outcome measures.</w:t>
      </w:r>
    </w:p>
    <w:p w14:paraId="758A3314" w14:textId="36550EF1" w:rsidR="00200DF4" w:rsidRPr="00CC260B" w:rsidRDefault="00CC260B" w:rsidP="00FD79F2">
      <w:pPr>
        <w:spacing w:after="240" w:line="360" w:lineRule="auto"/>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2.5 </w:t>
      </w:r>
      <w:r w:rsidR="00000000" w:rsidRPr="00CC260B">
        <w:rPr>
          <w:rFonts w:ascii="Times New Roman" w:eastAsia="Times New Roman" w:hAnsi="Times New Roman" w:cs="Times New Roman"/>
          <w:b/>
          <w:bCs/>
          <w:i/>
          <w:iCs/>
        </w:rPr>
        <w:t>Study risk of bias assessment</w:t>
      </w:r>
    </w:p>
    <w:p w14:paraId="2A486581" w14:textId="782AF868"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Two reviewers independently assessed the methodological quality and risk of bias of all included studies. For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the Cochrane Risk of Bias 2 (</w:t>
      </w:r>
      <w:proofErr w:type="spellStart"/>
      <w:r>
        <w:rPr>
          <w:rFonts w:ascii="Times New Roman" w:eastAsia="Times New Roman" w:hAnsi="Times New Roman" w:cs="Times New Roman"/>
        </w:rPr>
        <w:t>RoB</w:t>
      </w:r>
      <w:proofErr w:type="spellEnd"/>
      <w:r>
        <w:rPr>
          <w:rFonts w:ascii="Times New Roman" w:eastAsia="Times New Roman" w:hAnsi="Times New Roman" w:cs="Times New Roman"/>
        </w:rPr>
        <w:t xml:space="preserve"> 2)</w:t>
      </w:r>
      <w:r w:rsidR="00AC58D8" w:rsidRPr="00CC260B">
        <w:rPr>
          <w:rFonts w:ascii="Times New Roman" w:eastAsia="Times New Roman" w:hAnsi="Times New Roman" w:cs="Times New Roman"/>
        </w:rPr>
        <w:fldChar w:fldCharType="begin"/>
      </w:r>
      <w:r w:rsidR="00AC58D8" w:rsidRPr="00CC260B">
        <w:rPr>
          <w:rFonts w:ascii="Times New Roman" w:eastAsia="Times New Roman" w:hAnsi="Times New Roman" w:cs="Times New Roman"/>
        </w:rPr>
        <w:instrText xml:space="preserve"> ADDIN ZOTERO_ITEM CSL_CITATION {"citationID":"GuRVQQvZ","properties":{"unsorted":false,"formattedCitation":"[3]","plainCitation":"[3]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CC260B">
        <w:rPr>
          <w:rFonts w:ascii="Times New Roman" w:eastAsia="Times New Roman" w:hAnsi="Times New Roman" w:cs="Times New Roman"/>
        </w:rPr>
        <w:fldChar w:fldCharType="separate"/>
      </w:r>
      <w:r w:rsidR="00AC58D8" w:rsidRPr="00CC260B">
        <w:rPr>
          <w:rFonts w:ascii="Times New Roman" w:eastAsia="Times New Roman" w:hAnsi="Times New Roman" w:cs="Times New Roman"/>
        </w:rPr>
        <w:t>[3]</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xml:space="preserve"> tool was applied, evaluating five pre-specified domains: bias arising from the </w:t>
      </w:r>
      <w:proofErr w:type="spellStart"/>
      <w:r>
        <w:rPr>
          <w:rFonts w:ascii="Times New Roman" w:eastAsia="Times New Roman" w:hAnsi="Times New Roman" w:cs="Times New Roman"/>
        </w:rPr>
        <w:t>randomisation</w:t>
      </w:r>
      <w:proofErr w:type="spellEnd"/>
      <w:r>
        <w:rPr>
          <w:rFonts w:ascii="Times New Roman" w:eastAsia="Times New Roman" w:hAnsi="Times New Roman" w:cs="Times New Roman"/>
        </w:rPr>
        <w:t xml:space="preserve"> process (D1); bias due to deviations from intended interventions (D2); bias due to missing outcome data (D3); bias in measurement of the outcome (D4); and bias in selection of the reported result (D5). Each domain was rated as Low Risk, Some Concerns, or High Risk using the </w:t>
      </w:r>
      <w:proofErr w:type="spellStart"/>
      <w:r>
        <w:rPr>
          <w:rFonts w:ascii="Times New Roman" w:eastAsia="Times New Roman" w:hAnsi="Times New Roman" w:cs="Times New Roman"/>
        </w:rPr>
        <w:t>signalling</w:t>
      </w:r>
      <w:proofErr w:type="spellEnd"/>
      <w:r>
        <w:rPr>
          <w:rFonts w:ascii="Times New Roman" w:eastAsia="Times New Roman" w:hAnsi="Times New Roman" w:cs="Times New Roman"/>
        </w:rPr>
        <w:t xml:space="preserve">-question algorithm. The overall risk-of-bias judgement was determined by the highest rating across domains; in accordance with </w:t>
      </w:r>
      <w:proofErr w:type="spellStart"/>
      <w:r>
        <w:rPr>
          <w:rFonts w:ascii="Times New Roman" w:eastAsia="Times New Roman" w:hAnsi="Times New Roman" w:cs="Times New Roman"/>
        </w:rPr>
        <w:t>RoB</w:t>
      </w:r>
      <w:proofErr w:type="spellEnd"/>
      <w:r>
        <w:rPr>
          <w:rFonts w:ascii="Times New Roman" w:eastAsia="Times New Roman" w:hAnsi="Times New Roman" w:cs="Times New Roman"/>
        </w:rPr>
        <w:t xml:space="preserve"> 2 guidance, the convergence of multiple Some Concerns ratings across all domains could collectively justify an overall judgement of High Risk.</w:t>
      </w:r>
      <w:r w:rsidR="00AC58D8" w:rsidRPr="00CC260B">
        <w:rPr>
          <w:rFonts w:ascii="Times New Roman" w:eastAsia="Times New Roman" w:hAnsi="Times New Roman" w:cs="Times New Roman"/>
        </w:rPr>
        <w:fldChar w:fldCharType="begin"/>
      </w:r>
      <w:r w:rsidR="00AC58D8" w:rsidRPr="00CC260B">
        <w:rPr>
          <w:rFonts w:ascii="Times New Roman" w:eastAsia="Times New Roman" w:hAnsi="Times New Roman" w:cs="Times New Roman"/>
        </w:rPr>
        <w:instrText xml:space="preserve"> ADDIN ZOTERO_ITEM CSL_CITATION {"citationID":"9adJXu1I","properties":{"unsorted":false,"formattedCitation":"[3]","plainCitation":"[3]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CC260B">
        <w:rPr>
          <w:rFonts w:ascii="Times New Roman" w:eastAsia="Times New Roman" w:hAnsi="Times New Roman" w:cs="Times New Roman"/>
        </w:rPr>
        <w:fldChar w:fldCharType="separate"/>
      </w:r>
      <w:r w:rsidR="00AC58D8" w:rsidRPr="00CC260B">
        <w:rPr>
          <w:rFonts w:ascii="Times New Roman" w:eastAsia="Times New Roman" w:hAnsi="Times New Roman" w:cs="Times New Roman"/>
        </w:rPr>
        <w:t>[3]</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xml:space="preserve"> For the two non-randomized studies [XX] (Ishibashi 20226 </w:t>
      </w:r>
      <w:r w:rsidR="00AC58D8" w:rsidRPr="00CC260B">
        <w:rPr>
          <w:rFonts w:ascii="Times New Roman" w:eastAsia="Times New Roman" w:hAnsi="Times New Roman" w:cs="Times New Roman"/>
        </w:rPr>
        <w:fldChar w:fldCharType="begin"/>
      </w:r>
      <w:r w:rsidR="00AC58D8" w:rsidRPr="00CC260B">
        <w:rPr>
          <w:rFonts w:ascii="Times New Roman" w:eastAsia="Times New Roman" w:hAnsi="Times New Roman" w:cs="Times New Roman"/>
        </w:rPr>
        <w:instrText xml:space="preserve"> ADDIN ZOTERO_ITEM CSL_CITATION {"citationID":"4BZbINPv","properties":{"unsorted":false,"formattedCitation":"[4]","plainCitation":"[4]","noteIndex":0},"citationItems":[{"id":"gKHtIfYW/TrC4Os6M","uris":["http://zotero.org/users/19709799/items/PURWFUB5"],"itemData":{"id":12,"type":"article-journal","container-title":"Frontiers in Endocrinology","DOI":"10.3389/fendo.2022.864332","ISSN":"1664-2392","journalAbbreviation":"Front. Endocrinol.","language":"en","page":"864332","source":"DOI.org (Crossref)","title":"Sodium Glucose Cotransporter-2 Inhibitor Protects Against Diabetic Neuropathy and Nephropathy in Modestly Controlled Type 2 Diabetes: Follow-Up Study","title-short":"Sodium Glucose Cotransporter-2 Inhibitor Protects Against Diabetic Neuropathy and Nephropathy in Modestly Controlled Type 2 Diabetes","volume":"13","author":[{"family":"Ishibashi","given":"Fukashi"},{"family":"Kosaka","given":"Aiko"},{"family":"Tavakoli","given":"Mitra"}],"issued":{"date-parts":[["2022",6,17]]}}}],"schema":"https://github.com/citation-style-language/schema/raw/master/csl-citation.json"} </w:instrText>
      </w:r>
      <w:r w:rsidR="00AC58D8" w:rsidRPr="00CC260B">
        <w:rPr>
          <w:rFonts w:ascii="Times New Roman" w:eastAsia="Times New Roman" w:hAnsi="Times New Roman" w:cs="Times New Roman"/>
        </w:rPr>
        <w:fldChar w:fldCharType="separate"/>
      </w:r>
      <w:r w:rsidR="00AC58D8" w:rsidRPr="00CC260B">
        <w:rPr>
          <w:rFonts w:ascii="Times New Roman" w:eastAsia="Times New Roman" w:hAnsi="Times New Roman" w:cs="Times New Roman"/>
        </w:rPr>
        <w:t>[4]</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xml:space="preserve">; </w:t>
      </w:r>
      <w:proofErr w:type="spellStart"/>
      <w:r>
        <w:rPr>
          <w:rFonts w:ascii="Times New Roman" w:eastAsia="Times New Roman" w:hAnsi="Times New Roman" w:cs="Times New Roman"/>
        </w:rPr>
        <w:t>Klabuzai</w:t>
      </w:r>
      <w:proofErr w:type="spellEnd"/>
      <w:r>
        <w:rPr>
          <w:rFonts w:ascii="Times New Roman" w:eastAsia="Times New Roman" w:hAnsi="Times New Roman" w:cs="Times New Roman"/>
        </w:rPr>
        <w:t xml:space="preserve"> 2025 </w:t>
      </w:r>
      <w:r w:rsidR="00AC58D8" w:rsidRPr="00CC260B">
        <w:rPr>
          <w:rFonts w:ascii="Times New Roman" w:eastAsia="Times New Roman" w:hAnsi="Times New Roman" w:cs="Times New Roman"/>
        </w:rPr>
        <w:fldChar w:fldCharType="begin"/>
      </w:r>
      <w:r w:rsidR="00AC58D8" w:rsidRPr="00CC260B">
        <w:rPr>
          <w:rFonts w:ascii="Times New Roman" w:eastAsia="Times New Roman" w:hAnsi="Times New Roman" w:cs="Times New Roman"/>
        </w:rPr>
        <w:instrText xml:space="preserve"> ADDIN ZOTERO_ITEM CSL_CITATION {"citationID":"mBzLHeuc","properties":{"unsorted":false,"formattedCitation":"[5]","plainCitation":"[5]","noteIndex":0},"citationItems":[{"id":"gKHtIfYW/boGOmBCL","uris":["http://zotero.org/users/19709799/items/LNHXRLVE"],"itemData":{"id":13,"type":"article-journal","container-title":"Antioxidants","DOI":"10.3390/antiox14030289","ISSN":"2076-3921","issue":"3","journalAbbreviation":"Antioxidants","language":"en","page":"289","source":"DOI.org (Crossref)","title":"The Impact of SGLT-2 Inhibitors on Hydroxyl Radical Markers and Diabetic Neuropathy: A Short-Term Clinical Study","title-short":"The Impact of SGLT-2 Inhibitors on Hydroxyl Radical Markers and Diabetic Neuropathy","volume":"14","author":[{"family":"Klabuzai","given":"Ágnes"},{"family":"Bekő","given":"Viktória"},{"family":"Sütő","given":"Zsófia"},{"family":"Horváth","given":"Marcell"},{"family":"Wágner","given":"Zoltán"},{"family":"Vágási","given":"Katalin"},{"family":"Pfeil","given":"Veronika"},{"family":"Süle","given":"Miklós"},{"family":"Grosz","given":"György"},{"family":"Wittmann","given":"István"},{"family":"Kun","given":"Szilárd"}],"issued":{"date-parts":[["2025",2,28]]}}}],"schema":"https://github.com/citation-style-language/schema/raw/master/csl-citation.json"} </w:instrText>
      </w:r>
      <w:r w:rsidR="00AC58D8" w:rsidRPr="00CC260B">
        <w:rPr>
          <w:rFonts w:ascii="Times New Roman" w:eastAsia="Times New Roman" w:hAnsi="Times New Roman" w:cs="Times New Roman"/>
        </w:rPr>
        <w:fldChar w:fldCharType="separate"/>
      </w:r>
      <w:r w:rsidR="00AC58D8" w:rsidRPr="00CC260B">
        <w:rPr>
          <w:rFonts w:ascii="Times New Roman" w:eastAsia="Times New Roman" w:hAnsi="Times New Roman" w:cs="Times New Roman"/>
        </w:rPr>
        <w:t>[5]</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the Risk Of Bias In Non-randomized Studies of Interventions (ROBINS-I) tool was applied instead.</w:t>
      </w:r>
      <w:r w:rsidR="00AC58D8" w:rsidRPr="00CC260B">
        <w:rPr>
          <w:rFonts w:ascii="Times New Roman" w:eastAsia="Times New Roman" w:hAnsi="Times New Roman" w:cs="Times New Roman"/>
        </w:rPr>
        <w:fldChar w:fldCharType="begin"/>
      </w:r>
      <w:r w:rsidR="00AC58D8" w:rsidRPr="00CC260B">
        <w:rPr>
          <w:rFonts w:ascii="Times New Roman" w:eastAsia="Times New Roman" w:hAnsi="Times New Roman" w:cs="Times New Roman"/>
        </w:rPr>
        <w:instrText xml:space="preserve"> ADDIN ZOTERO_ITEM CSL_CITATION {"citationID":"dz1RWBsN","properties":{"unsorted":false,"formattedCitation":"[6]","plainCitation":"[6]","noteIndex":0},"citationItems":[{"id":"gKHtIfYW/4F1NiLW6","uris":["http://zotero.org/users/19709799/items/4BHM8V6D"],"itemData":{"id":34,"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AC58D8" w:rsidRPr="00CC260B">
        <w:rPr>
          <w:rFonts w:ascii="Times New Roman" w:eastAsia="Times New Roman" w:hAnsi="Times New Roman" w:cs="Times New Roman"/>
        </w:rPr>
        <w:fldChar w:fldCharType="separate"/>
      </w:r>
      <w:r w:rsidR="00AC58D8" w:rsidRPr="00CC260B">
        <w:rPr>
          <w:rFonts w:ascii="Times New Roman" w:eastAsia="Times New Roman" w:hAnsi="Times New Roman" w:cs="Times New Roman"/>
        </w:rPr>
        <w:t>[6]</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xml:space="preserve"> Reviewers performed assessments independently and were blinded to one another's judgments. Disagreements were resolved through discussion and consensus; a pre-defined third-party adjudication protocol was in place for any conflicts that could not be reconciled.</w:t>
      </w:r>
    </w:p>
    <w:p w14:paraId="366AC09C" w14:textId="68FEBDCC" w:rsidR="00200DF4" w:rsidRPr="00CC260B" w:rsidRDefault="00CC260B" w:rsidP="00FD79F2">
      <w:pPr>
        <w:spacing w:after="240" w:line="360" w:lineRule="auto"/>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2.6 </w:t>
      </w:r>
      <w:r w:rsidR="00000000" w:rsidRPr="00CC260B">
        <w:rPr>
          <w:rFonts w:ascii="Times New Roman" w:eastAsia="Times New Roman" w:hAnsi="Times New Roman" w:cs="Times New Roman"/>
          <w:b/>
          <w:bCs/>
          <w:i/>
          <w:iCs/>
        </w:rPr>
        <w:t>Effect measures</w:t>
      </w:r>
    </w:p>
    <w:p w14:paraId="1E0C6C94" w14:textId="0FC43D43"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For continuous outcomes, the </w:t>
      </w:r>
      <w:r w:rsidRPr="00CC260B">
        <w:rPr>
          <w:rFonts w:ascii="Times New Roman" w:eastAsia="Times New Roman" w:hAnsi="Times New Roman" w:cs="Times New Roman"/>
        </w:rPr>
        <w:t>mean difference (MD)</w:t>
      </w:r>
      <w:r>
        <w:rPr>
          <w:rFonts w:ascii="Times New Roman" w:eastAsia="Times New Roman" w:hAnsi="Times New Roman" w:cs="Times New Roman"/>
        </w:rPr>
        <w:t xml:space="preserve"> with 95% confidence intervals (CIs) was used as the primary effect measure where studies reported outcomes in the same units, as was the case for all nerve conduction study parameters (expressed in m/s for conduction velocity, µV for sensory amplitude, mV for motor amplitude, and </w:t>
      </w:r>
      <w:proofErr w:type="spellStart"/>
      <w:r>
        <w:rPr>
          <w:rFonts w:ascii="Times New Roman" w:eastAsia="Times New Roman" w:hAnsi="Times New Roman" w:cs="Times New Roman"/>
        </w:rPr>
        <w:t>ms</w:t>
      </w:r>
      <w:proofErr w:type="spellEnd"/>
      <w:r>
        <w:rPr>
          <w:rFonts w:ascii="Times New Roman" w:eastAsia="Times New Roman" w:hAnsi="Times New Roman" w:cs="Times New Roman"/>
        </w:rPr>
        <w:t xml:space="preserve"> for latency) and oxidative stress markers. The MD was preferred over the </w:t>
      </w:r>
      <w:proofErr w:type="spellStart"/>
      <w:r>
        <w:rPr>
          <w:rFonts w:ascii="Times New Roman" w:eastAsia="Times New Roman" w:hAnsi="Times New Roman" w:cs="Times New Roman"/>
        </w:rPr>
        <w:t>standardised</w:t>
      </w:r>
      <w:proofErr w:type="spellEnd"/>
      <w:r>
        <w:rPr>
          <w:rFonts w:ascii="Times New Roman" w:eastAsia="Times New Roman" w:hAnsi="Times New Roman" w:cs="Times New Roman"/>
        </w:rPr>
        <w:t xml:space="preserve"> mean difference (SMD) in these instances because the outcomes were measured using the same instrument type (nerve conduction studies) and reported in clinically interpretable units, preserving the ability to relate findings to established reference ranges and minimal clinically important differences. Where studies reported change-from-baseline values alongside final values, change-from-baseline data were </w:t>
      </w:r>
      <w:proofErr w:type="spellStart"/>
      <w:r>
        <w:rPr>
          <w:rFonts w:ascii="Times New Roman" w:eastAsia="Times New Roman" w:hAnsi="Times New Roman" w:cs="Times New Roman"/>
        </w:rPr>
        <w:t>prioritised</w:t>
      </w:r>
      <w:proofErr w:type="spellEnd"/>
      <w:r>
        <w:rPr>
          <w:rFonts w:ascii="Times New Roman" w:eastAsia="Times New Roman" w:hAnsi="Times New Roman" w:cs="Times New Roman"/>
        </w:rPr>
        <w:t xml:space="preserve"> to account for baseline imbalances between groups, with final values used where change scores were unavailable. For El Haggar et al. (2024), which reported sural nerve conduction parameters separately for the right and left lower </w:t>
      </w:r>
      <w:r>
        <w:rPr>
          <w:rFonts w:ascii="Times New Roman" w:eastAsia="Times New Roman" w:hAnsi="Times New Roman" w:cs="Times New Roman"/>
        </w:rPr>
        <w:lastRenderedPageBreak/>
        <w:t xml:space="preserve">limbs, two separate meta-analyses were conducted — one incorporating right limb data and one incorporating left limb data — and results were reported in parallel as a pre-specified sensitivity approach, given that pooling bilateral data from the same participants would violate the assumption of independence. All effect estimates were accompanied by 95% CIs, and a two-tailed p-value of &lt;0.05 was considered statistically significant. Results are presented as forest plots for each pooled outcome. </w:t>
      </w:r>
    </w:p>
    <w:p w14:paraId="5DAE35F7" w14:textId="31BEAA7A" w:rsidR="00200DF4" w:rsidRPr="00CC260B" w:rsidRDefault="00CC260B" w:rsidP="00FD79F2">
      <w:pPr>
        <w:spacing w:after="240" w:line="360" w:lineRule="auto"/>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2.7 </w:t>
      </w:r>
      <w:r w:rsidR="00000000" w:rsidRPr="00CC260B">
        <w:rPr>
          <w:rFonts w:ascii="Times New Roman" w:eastAsia="Times New Roman" w:hAnsi="Times New Roman" w:cs="Times New Roman"/>
          <w:b/>
          <w:bCs/>
          <w:i/>
          <w:iCs/>
        </w:rPr>
        <w:t>Synthesis methods</w:t>
      </w:r>
    </w:p>
    <w:p w14:paraId="1D26C87A" w14:textId="4688D5B0"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Where two or more RCTs reported a common outcome measure in sufficient detail to permit quantitative pooling, random-effects meta-analysis was performed using the </w:t>
      </w:r>
      <w:proofErr w:type="spellStart"/>
      <w:r>
        <w:rPr>
          <w:rFonts w:ascii="Times New Roman" w:eastAsia="Times New Roman" w:hAnsi="Times New Roman" w:cs="Times New Roman"/>
        </w:rPr>
        <w:t>DerSimonian</w:t>
      </w:r>
      <w:proofErr w:type="spellEnd"/>
      <w:r>
        <w:rPr>
          <w:rFonts w:ascii="Times New Roman" w:eastAsia="Times New Roman" w:hAnsi="Times New Roman" w:cs="Times New Roman"/>
        </w:rPr>
        <w:t xml:space="preserve"> and Laird method, which was selected </w:t>
      </w:r>
      <w:r w:rsidRPr="00CC260B">
        <w:rPr>
          <w:rFonts w:ascii="Times New Roman" w:eastAsia="Times New Roman" w:hAnsi="Times New Roman" w:cs="Times New Roman"/>
        </w:rPr>
        <w:t>a priori</w:t>
      </w:r>
      <w:r>
        <w:rPr>
          <w:rFonts w:ascii="Times New Roman" w:eastAsia="Times New Roman" w:hAnsi="Times New Roman" w:cs="Times New Roman"/>
        </w:rPr>
        <w:t xml:space="preserve"> given the anticipated clinical and methodological heterogeneity across studies, including variation in SGLT2 inhibitor agent, dose, follow-up duration, background therapy, and patient population. Statistical heterogeneity was assessed using the I² statistic and Cochran's Q test; I² values of 25%, 50%, and 75% were interpreted as indicative of low, moderate, and high heterogeneity, respectively, in accordance with Cochrane guidance. Where high heterogeneity was identified (I² &gt;75%), results were interpreted with additional caution and potential sources of heterogeneity were explored narratively. Subgroup analyses or meta-regression were not performed due to the insufficient number of studies per outcome. Sensitivity analyses were conducted by excluding studies at high risk of bias and by using the alternative limb dataset for El Haggar et al. (2024), as described above. Studies that could not be pooled quantitatively — specifically the prospective cohort study and the single-arm study — were </w:t>
      </w:r>
      <w:proofErr w:type="spellStart"/>
      <w:r>
        <w:rPr>
          <w:rFonts w:ascii="Times New Roman" w:eastAsia="Times New Roman" w:hAnsi="Times New Roman" w:cs="Times New Roman"/>
        </w:rPr>
        <w:t>synthesised</w:t>
      </w:r>
      <w:proofErr w:type="spellEnd"/>
      <w:r>
        <w:rPr>
          <w:rFonts w:ascii="Times New Roman" w:eastAsia="Times New Roman" w:hAnsi="Times New Roman" w:cs="Times New Roman"/>
        </w:rPr>
        <w:t xml:space="preserve"> narratively in accordance with the Synthesis Without Meta-Analysis (</w:t>
      </w:r>
      <w:proofErr w:type="spellStart"/>
      <w:r>
        <w:rPr>
          <w:rFonts w:ascii="Times New Roman" w:eastAsia="Times New Roman" w:hAnsi="Times New Roman" w:cs="Times New Roman"/>
        </w:rPr>
        <w:t>SWiM</w:t>
      </w:r>
      <w:proofErr w:type="spellEnd"/>
      <w:r>
        <w:rPr>
          <w:rFonts w:ascii="Times New Roman" w:eastAsia="Times New Roman" w:hAnsi="Times New Roman" w:cs="Times New Roman"/>
        </w:rPr>
        <w:t xml:space="preserve">) reporting guideline. Corneal confocal microscopy outcomes were reported in one RCT and one prospective cohort study; given the incompatibility of these study designs for pooling and the inherent risk of confounding in the observational estimate, a decision was made </w:t>
      </w:r>
      <w:r w:rsidRPr="00CC260B">
        <w:rPr>
          <w:rFonts w:ascii="Times New Roman" w:eastAsia="Times New Roman" w:hAnsi="Times New Roman" w:cs="Times New Roman"/>
        </w:rPr>
        <w:t>a priori</w:t>
      </w:r>
      <w:r>
        <w:rPr>
          <w:rFonts w:ascii="Times New Roman" w:eastAsia="Times New Roman" w:hAnsi="Times New Roman" w:cs="Times New Roman"/>
        </w:rPr>
        <w:t xml:space="preserve"> to present these outcomes narratively rather than in a pooled analysis, and this is acknowledged as a limitation. All meta-analyses were conducted using [</w:t>
      </w:r>
      <w:proofErr w:type="spellStart"/>
      <w:r>
        <w:rPr>
          <w:rFonts w:ascii="Times New Roman" w:eastAsia="Times New Roman" w:hAnsi="Times New Roman" w:cs="Times New Roman"/>
        </w:rPr>
        <w:t>RevMan</w:t>
      </w:r>
      <w:proofErr w:type="spellEnd"/>
      <w:r>
        <w:rPr>
          <w:rFonts w:ascii="Times New Roman" w:eastAsia="Times New Roman" w:hAnsi="Times New Roman" w:cs="Times New Roman"/>
        </w:rPr>
        <w:t xml:space="preserve"> 5.4 / R package </w:t>
      </w:r>
      <w:r w:rsidRPr="00CC260B">
        <w:rPr>
          <w:rFonts w:ascii="Times New Roman" w:eastAsia="Times New Roman" w:hAnsi="Times New Roman" w:cs="Times New Roman"/>
        </w:rPr>
        <w:t>meta</w:t>
      </w:r>
      <w:r>
        <w:rPr>
          <w:rFonts w:ascii="Times New Roman" w:eastAsia="Times New Roman" w:hAnsi="Times New Roman" w:cs="Times New Roman"/>
        </w:rPr>
        <w:t xml:space="preserve"> — specify your software], and the results are reported in accordance with the PRISMA 2020 statement. </w:t>
      </w:r>
    </w:p>
    <w:p w14:paraId="0D556FBB" w14:textId="63336A7B" w:rsidR="00200DF4" w:rsidRPr="00ED0F7F" w:rsidRDefault="00ED0F7F" w:rsidP="00FD79F2">
      <w:pPr>
        <w:spacing w:after="240" w:line="360" w:lineRule="auto"/>
        <w:rPr>
          <w:rFonts w:ascii="Times New Roman" w:eastAsia="Times New Roman" w:hAnsi="Times New Roman" w:cs="Times New Roman"/>
          <w:b/>
          <w:bCs/>
          <w:i/>
          <w:iCs/>
        </w:rPr>
      </w:pPr>
      <w:r w:rsidRPr="00ED0F7F">
        <w:rPr>
          <w:rFonts w:ascii="Times New Roman" w:eastAsia="Times New Roman" w:hAnsi="Times New Roman" w:cs="Times New Roman"/>
          <w:b/>
          <w:bCs/>
          <w:i/>
          <w:iCs/>
        </w:rPr>
        <w:t xml:space="preserve">2.8 </w:t>
      </w:r>
      <w:r w:rsidR="00000000" w:rsidRPr="00ED0F7F">
        <w:rPr>
          <w:rFonts w:ascii="Times New Roman" w:eastAsia="Times New Roman" w:hAnsi="Times New Roman" w:cs="Times New Roman"/>
          <w:b/>
          <w:bCs/>
          <w:i/>
          <w:iCs/>
        </w:rPr>
        <w:t>Reporting bias assessment</w:t>
      </w:r>
    </w:p>
    <w:p w14:paraId="21AC1208" w14:textId="77777777" w:rsidR="00200DF4" w:rsidRDefault="00000000" w:rsidP="00FD79F2">
      <w:pPr>
        <w:spacing w:after="240" w:line="360" w:lineRule="auto"/>
        <w:rPr>
          <w:rFonts w:ascii="Times New Roman" w:eastAsia="Times New Roman" w:hAnsi="Times New Roman" w:cs="Times New Roman"/>
        </w:rPr>
      </w:pPr>
      <w:r>
        <w:rPr>
          <w:rFonts w:ascii="Times New Roman" w:eastAsia="Times New Roman" w:hAnsi="Times New Roman" w:cs="Times New Roman"/>
        </w:rPr>
        <w:t xml:space="preserve">Given the small number of studies included per outcome (fewer than ten in all cases), funnel plot asymmetry could not be reliably evaluated, as such plots lack statistical power to detect publication bias when fewer than ten studies are pooled. Accordingly, funnel plots were not generated for any outcome. Instead, reporting bias was assessed through a combination of the following approaches: (1) a search of clinical trial registries (ClinicalTrials.gov and WHO ICTRP) was conducted to identify prospectively registered trials with relevant outcomes that had not been published or had been published with incomplete outcome reporting; (2) the Egger test was not applied given insufficient </w:t>
      </w:r>
      <w:r>
        <w:rPr>
          <w:rFonts w:ascii="Times New Roman" w:eastAsia="Times New Roman" w:hAnsi="Times New Roman" w:cs="Times New Roman"/>
        </w:rPr>
        <w:lastRenderedPageBreak/>
        <w:t xml:space="preserve">study numbers; and (3) the likelihood of selective outcome reporting within included studies was assessed as part of the risk of bias evaluation using Domain 5 of the Cochrane </w:t>
      </w:r>
      <w:proofErr w:type="spellStart"/>
      <w:r>
        <w:rPr>
          <w:rFonts w:ascii="Times New Roman" w:eastAsia="Times New Roman" w:hAnsi="Times New Roman" w:cs="Times New Roman"/>
        </w:rPr>
        <w:t>RoB</w:t>
      </w:r>
      <w:proofErr w:type="spellEnd"/>
      <w:r>
        <w:rPr>
          <w:rFonts w:ascii="Times New Roman" w:eastAsia="Times New Roman" w:hAnsi="Times New Roman" w:cs="Times New Roman"/>
        </w:rPr>
        <w:t xml:space="preserve"> 2.0 tool for RCTs and the corresponding selective reporting domain of ROBINS-I for the cohort study. Overall, the possibility of publication bias cannot be excluded given the small evidence base, and this represents an important limitation of the current review.</w:t>
      </w:r>
      <w:r>
        <w:br w:type="page"/>
      </w:r>
    </w:p>
    <w:p w14:paraId="613C801D" w14:textId="77777777" w:rsidR="00200DF4" w:rsidRPr="00ED0F7F" w:rsidRDefault="00000000" w:rsidP="00AC58D8">
      <w:pPr>
        <w:pStyle w:val="Heading1"/>
        <w:spacing w:line="360" w:lineRule="auto"/>
      </w:pPr>
      <w:bookmarkStart w:id="2" w:name="_8prhtyheyl39" w:colFirst="0" w:colLast="0"/>
      <w:bookmarkEnd w:id="2"/>
      <w:r w:rsidRPr="00ED0F7F">
        <w:lastRenderedPageBreak/>
        <w:t>3. Results</w:t>
      </w:r>
    </w:p>
    <w:p w14:paraId="690BD61D" w14:textId="4E592232" w:rsidR="00200DF4" w:rsidRPr="00EF4A89" w:rsidRDefault="00ED0F7F" w:rsidP="00EF4A89">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3.1 </w:t>
      </w:r>
      <w:r w:rsidR="00000000" w:rsidRPr="00EF4A89">
        <w:rPr>
          <w:rFonts w:asciiTheme="majorBidi" w:eastAsia="Times New Roman" w:hAnsiTheme="majorBidi" w:cstheme="majorBidi"/>
          <w:b/>
          <w:bCs/>
          <w:i/>
          <w:iCs/>
        </w:rPr>
        <w:t xml:space="preserve">Study selection </w:t>
      </w:r>
    </w:p>
    <w:p w14:paraId="6187C818" w14:textId="4C81B96C" w:rsidR="00200DF4" w:rsidRPr="00EF4A89" w:rsidRDefault="00000000" w:rsidP="00EF4A89">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The database search retrieved a combined total of XXX records across PubMed, EMBASE, Cochrane CENTRAL, and Scopus, with an additional XXX records identified through manual searching of reference lists and clinical trial registries. Following automated and manual deduplication, XXX unique records were retained for title and abstract screening. Of these, XXX records were excluded at this stage as they did not meet the pre-specified eligibility criteria based on population, intervention, or study design. The full texts of XXX records were retrieved and assessed for eligibility, of which XXX were subsequently excluded. Reasons for full-text exclusion included: wrong population (n = XXX), wrong intervention or inability to isolate SGLT2 inhibitor effect (n = XXX), wrong outcome — no quantitative measure of peripheral neuropathy reported (n = XXX), wrong study design (n = XXX), and duplicate reporting of the same study cohort (n = XXX). Seven studies met all inclusion criteria and were incorporated into the systematic review, of which five were </w:t>
      </w:r>
      <w:proofErr w:type="spellStart"/>
      <w:r w:rsidRPr="00EF4A89">
        <w:rPr>
          <w:rFonts w:asciiTheme="majorBidi" w:eastAsia="Times New Roman" w:hAnsiTheme="majorBidi" w:cstheme="majorBidi"/>
        </w:rPr>
        <w:t>randomised</w:t>
      </w:r>
      <w:proofErr w:type="spellEnd"/>
      <w:r w:rsidRPr="00EF4A89">
        <w:rPr>
          <w:rFonts w:asciiTheme="majorBidi" w:eastAsia="Times New Roman" w:hAnsiTheme="majorBidi" w:cstheme="majorBidi"/>
        </w:rPr>
        <w:t xml:space="preserve"> controlled trials, one was a prospective cohort study, and one was a single-arm interventional study. The single-arm study contributed to narrative synthesis only and was excluded from all pooled meta-analyses. The study selection process is illustrated in the PRISMA 2020 flow diagram (Figure 1). </w:t>
      </w:r>
    </w:p>
    <w:p w14:paraId="31142832" w14:textId="2DA8520C" w:rsidR="00200DF4" w:rsidRPr="00EF4A89" w:rsidRDefault="00ED0F7F" w:rsidP="00EF4A89">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3.2 </w:t>
      </w:r>
      <w:r w:rsidR="00000000" w:rsidRPr="00EF4A89">
        <w:rPr>
          <w:rFonts w:asciiTheme="majorBidi" w:eastAsia="Times New Roman" w:hAnsiTheme="majorBidi" w:cstheme="majorBidi"/>
          <w:b/>
          <w:bCs/>
          <w:i/>
          <w:iCs/>
        </w:rPr>
        <w:t xml:space="preserve">Study characteristics </w:t>
      </w:r>
    </w:p>
    <w:p w14:paraId="6D56DA15" w14:textId="354451A0" w:rsidR="00200DF4" w:rsidRPr="00EF4A89" w:rsidRDefault="00000000" w:rsidP="00EF4A89">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In this section, we looked at 7 studies with a total of 4,904 patients. The number of patients in each study was very different, going from 40 to 4,401 patients. The average age of </w:t>
      </w:r>
      <w:r w:rsidR="00681DAE" w:rsidRPr="00EF4A89">
        <w:rPr>
          <w:rFonts w:asciiTheme="majorBidi" w:eastAsia="Times New Roman" w:hAnsiTheme="majorBidi" w:cstheme="majorBidi"/>
        </w:rPr>
        <w:t>patients</w:t>
      </w:r>
      <w:r w:rsidRPr="00EF4A89">
        <w:rPr>
          <w:rFonts w:asciiTheme="majorBidi" w:eastAsia="Times New Roman" w:hAnsiTheme="majorBidi" w:cstheme="majorBidi"/>
        </w:rPr>
        <w:t xml:space="preserve"> was mostly between 52 and 63 years old.</w:t>
      </w:r>
    </w:p>
    <w:p w14:paraId="37F94241" w14:textId="18FC478F" w:rsidR="00200DF4" w:rsidRPr="00EF4A89" w:rsidRDefault="00000000" w:rsidP="00EF4A89">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For the treatments, most studies used SGLT2 inhibitors. They used empagliflozin (10 mg or 25 mg), dapagliflozin (10 mg), and canagliflozin (100 mg). The control groups took a placebo or their usual diabetes medications. The follow-up time was also different, ranging from 4 weeks to 3 years.</w:t>
      </w:r>
    </w:p>
    <w:p w14:paraId="0029837A" w14:textId="21520A06" w:rsidR="00200DF4" w:rsidRPr="00EF4A89" w:rsidRDefault="00000000" w:rsidP="00EF4A89">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All the included patients had Type 2 Diabetes, and most of them had Diabetic Peripheral Neuropathy. The studies measured different outcomes like nerve function, neuropathy symptoms, and HbA1c</w:t>
      </w:r>
      <w:r w:rsidR="00681DAE">
        <w:rPr>
          <w:rFonts w:asciiTheme="majorBidi" w:eastAsia="Times New Roman" w:hAnsiTheme="majorBidi" w:cstheme="majorBidi"/>
        </w:rPr>
        <w:t>.</w:t>
      </w:r>
    </w:p>
    <w:p w14:paraId="53A58A67" w14:textId="0B038B52" w:rsidR="00200DF4" w:rsidRPr="00EF4A89" w:rsidRDefault="00ED0F7F" w:rsidP="00EF4A89">
      <w:pPr>
        <w:spacing w:after="240" w:line="360" w:lineRule="auto"/>
        <w:rPr>
          <w:rFonts w:asciiTheme="majorBidi" w:eastAsia="Times New Roman" w:hAnsiTheme="majorBidi" w:cstheme="majorBidi"/>
          <w:i/>
          <w:iCs/>
        </w:rPr>
      </w:pPr>
      <w:r w:rsidRPr="00EF4A89">
        <w:rPr>
          <w:rFonts w:asciiTheme="majorBidi" w:eastAsia="Times New Roman" w:hAnsiTheme="majorBidi" w:cstheme="majorBidi"/>
          <w:b/>
          <w:bCs/>
          <w:i/>
          <w:iCs/>
        </w:rPr>
        <w:t xml:space="preserve">3.3 </w:t>
      </w:r>
      <w:r w:rsidR="00000000" w:rsidRPr="00EF4A89">
        <w:rPr>
          <w:rFonts w:asciiTheme="majorBidi" w:eastAsia="Times New Roman" w:hAnsiTheme="majorBidi" w:cstheme="majorBidi"/>
          <w:b/>
          <w:bCs/>
          <w:i/>
          <w:iCs/>
        </w:rPr>
        <w:t>Risk of bias in studies</w:t>
      </w:r>
      <w:r w:rsidR="00000000" w:rsidRPr="00EF4A89">
        <w:rPr>
          <w:rFonts w:asciiTheme="majorBidi" w:eastAsia="Times New Roman" w:hAnsiTheme="majorBidi" w:cstheme="majorBidi"/>
          <w:i/>
          <w:iCs/>
        </w:rPr>
        <w:t xml:space="preserve"> </w:t>
      </w:r>
    </w:p>
    <w:p w14:paraId="58BB71CF" w14:textId="16912BE8" w:rsidR="00200DF4" w:rsidRPr="00EF4A89" w:rsidRDefault="00000000" w:rsidP="00EF4A89">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Risk of bias assessment using the Cochrane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a7ICtbrQ","properties":{"unsorted":false,"formattedCitation":"[3]","plainCitation":"[3]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[3]</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tool revealed that one of the five randomized controlled trials (</w:t>
      </w:r>
      <w:proofErr w:type="spellStart"/>
      <w:r w:rsidRPr="00EF4A89">
        <w:rPr>
          <w:rFonts w:asciiTheme="majorBidi" w:eastAsia="Times New Roman" w:hAnsiTheme="majorBidi" w:cstheme="majorBidi"/>
        </w:rPr>
        <w:t>Vafaeinasab</w:t>
      </w:r>
      <w:proofErr w:type="spellEnd"/>
      <w:r w:rsidRPr="00EF4A89">
        <w:rPr>
          <w:rFonts w:asciiTheme="majorBidi" w:eastAsia="Times New Roman" w:hAnsiTheme="majorBidi" w:cstheme="majorBidi"/>
        </w:rPr>
        <w:t xml:space="preserve">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{"citationID":"aNmBOu1G","properties":{"unsorted":false,"formattedCitation":"[3, 7]","plainCitation":"[3, 7]","noteIndex":0},"citationItems":[{"id":"gKHtIfYW/GkBR9chw","uris":["http://zotero.org/users/19709799/items/YJ7EL6YG"],"itemData":{"id":35,"type":"article-journal","container-title":"BMJ","DOI":"10.1136/bmj.l4898","ISSN":"0959-8138,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T"}],"issued":{"date-parts":[["2019",8,28]]}}},{"id":"gKHtIfYW/LcUzPYHW","uris":["http://zotero.org/users/19709799/items/R4ADPE66"],"itemData":{"id":9,"type":"article-journal","container-title":"Endocrinology, Diabetes &amp; Metabolism","DOI":"10.1002/edm2.70128","ISSN":"2398-9238, 2398-9238","issue":"6","journalAbbreviation":"Endocrino Diabet &amp;amp; Metabol","language":"en","page":"e70128","source":"DOI.org (Crossref)","title":"The Comparison of the Effect of Adding Empagliflozin to the Medication Regimen on Peripheral Neuropathy in Patients With Type &lt;span style=\"font-variant:small-caps;\"&gt;II&lt;/span&gt; Diabetes: A Double Blind Randomised Clinical Trial","title-short":"The Comparison of the Effect of Adding Empagliflozin to the Medication Regimen on Peripheral Neuropathy in Patients With Type &lt;span style=\"font-variant","volume":"8","author":[{"family":"Vafaeinasab","given":"Mohammadreza"},{"family":"Mirzaei Malekabad","given":"Fatemeh"},{"family":"Khatibi","given":"Amidodin"},{"family":"Ghadiri‐Anari","given":"Akram"},{"family":"Zare Bidaki","given":"Marzieh"},{"family":"Azizi","given":"Raihane"}],"issued":{"date-parts":[["2025",11]]}}}],"schema":"https://github.com/citation-style-language/schema/raw/master/csl-citation.json"}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[3, 7]</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rated at low risk of bias across all five domains, reflecting its double-blind, placebo-controlled design with confirmed allocation concealment, intention-to-treat analysis, and prospective trial registration.  Three trials — Adhikari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2r8pyCOt","properties":{"unsorted":false,"formattedCitation":"[8]","plainCitation":"[8]","noteIndex":0},"citationItems":[{"id":"gKHtIfYW/XnBIwTwA","uris":["http://zotero.org/users/19709799/items/FMCL8PHZ"],"itemData":{"id":8,"type":"article-journal","container-title":"Journal of the Peripheral Nervous System","DOI":"10.1111/jns.70011","ISSN":"1085-9489, 1529-8027","issue":"1","journalAbbreviation":"J Peripheral Nervous Sys","language":"en","page":"e70011","source":"DOI.org (Crossref)","title":"Dapagliflozin for Small Nerve Fibre Regeneration in Diabetic Peripheral Neuropathy: A Randomised Controlled Study ( &lt;span style=\"font-variant:small-caps;\"&gt;DINE&lt;/span&gt; )","title-short":"Dapagliflozin for Small Nerve Fibre Regeneration in Diabetic Peripheral Neuropathy","volume":"30","author":[{"family":"Adhikari","given":"Umanath"},{"family":"Gad","given":"Hoda"},{"family":"Chatterjee","given":"Debajyoti"},{"family":"Malhotra","given":"Chintan"},{"family":"Bhadada","given":"Sanjay Kumar"},{"family":"Malik","given":"Rayaz A."},{"family":"Rastogi","given":"Ashu"}],"issued":{"date-parts":[["2025",3]]}}}],"schema":"https://github.com/citation-style-language/schema/raw/master/csl-citation.json"}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[8]</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El-Haggar et al. (2024)</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c1o46jvr","properties":{"unsorted":false,"formattedCitation":"[9]","plainCitation":"[9]","noteIndex":0},"citationItems":[{"id":"gKHtIfYW/9okrCPHP","uris":["http://zotero.org/users/19709799/items/LZ3Q8FUZ"],"itemData":{"id":14,"type":"article-journal","container-title":"Medicina Clínica (English Edition)","DOI":"10.1016/j.medcle.2024.01.028","ISSN":"23870206","issue":"2","journalAbbreviation":"Medicina Clínica (English Edition)","language":"en","page":"53-61","source":"DOI.org (Crossref)","title":"Effect of empagliflozin in peripheral diabetic neuropathy of patients with type 2 diabetes mellitus","volume":"163","author":[{"family":"El-Haggar","given":"Sahar Mohamed"},{"family":"Hafez","given":"Yasser Mostafa"},{"family":"El Sharkawy","given":"Amira Mohamed"},{"family":"Khalifa","given":"Maha"}],"issued":{"date-parts":[["2024",7]]}}}],"schema":"https://github.com/citation-style-language/schema/raw/master/csl-citation.json"}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[9]</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and Liao et al. (2022)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0puZMh0A","properties":{"unsorted":false,"formattedCitation":"[10]","plainCitation":"[10]","noteIndex":0},"citationItems":[{"id":"gKHtIfYW/nvX3uWwC","uris":["http://zotero.org/users/19709799/items/NQ3358CH"],"itemData":{"id":11,"type":"article-journal","container-title":"Diabetes &amp; Metabolism","DOI":"10.1016/j.diabet.2022.101331","ISSN":"12623636","issue":"4","journalAbbreviation":"Diabetes &amp; Metabolism","language":"en","page":"101331","source":"DOI.org (Crossref)","title":"The impact of canagliflozin on the risk of neuropathy events: A post-hoc exploratory analysis of the CREDENCE trial","title-short":"The impact of canagliflozin on the risk of neuropathy events","volume":"48","author":[{"family":"Liao","given":"Jinlan"},{"family":"Kang","given":"Amy"},{"family":"Xia","given":"Chao"},{"family":"Young","given":"Tamara"},{"family":"Di Tanna","given":"Gian Luca"},{"family":"Arnott","given":"Clare"},{"family":"Pollock","given":"Carol"},{"family":"Krishnan","given":"Arun V."},{"family":"Agarwal","given":"Rajiv"},{"family":"Bakris","given":"George"},{"family":"Charytan","given":"David M."},{"family":"De Zeeuw","given":"Dick"},{"family":"Heerspink","given":"Hiddo J.L."},{"family":"Levin","given":"Adeera"},{"family":"Neal","given":"Bruce"},{"family":"Wheeler","given":"David C."},{"family":"Zhang","given":"Hong"},{"family":"Zinman","given":"Bernard"},{"family":"Mahaffey","given":"Kenneth W."},{"family":"Perkovic","given":"Vlado"},{"family":"Jardine","given":"Meg J"},{"family":"Smyth","given":"Brendan"}],"issued":{"date-parts":[["2022",7]]}}}],"schema":"https://github.com/citation-style-language/schema/raw/master/csl-citation.json"}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[10]</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 were rated as raising some concerns </w:t>
      </w:r>
      <w:r w:rsidRPr="00EF4A89">
        <w:rPr>
          <w:rFonts w:asciiTheme="majorBidi" w:eastAsia="Times New Roman" w:hAnsiTheme="majorBidi" w:cstheme="majorBidi"/>
        </w:rPr>
        <w:lastRenderedPageBreak/>
        <w:t>overall, primarily due to inadequately reported allocation concealment (D1), absence of explicit intention-to-treat confirmation or incomplete blinding of care providers and outcome assessors (D2), and the inability to fully verify alignment between pre-specified and reported outcomes (D5); notably, the Liao et al. post-hoc analysis of the CREDENCE trial additionally raised concerns in D4 given its reliance on post-hoc MedDRA adverse-event coding rather than a prospectively validated neuropathy instrument. Mehta et al. (2021)</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Z8v9dUJD","properties":{"unsorted":false,"formattedCitation":"[12]","plainCitation":"[12]","noteIndex":0},"citationItems":[{"id":"gKHtIfYW/YeNjcDV3","uris":["http://zotero.org/users/19709799/items/AALKKIVG"],"itemData":{"id":10,"type":"article-journal","container-title":"Cureus","DOI":"10.7759/cureus.20208","ISSN":"2168-8184","language":"en","source":"DOI.org (Crossref)","title":"Effectiveness of Empagliflozin With Vitamin D Supplementation in Peripheral Neuropathy in Type 2 Diabetic Patients","URL":"https://www.cureus.com/articles/78182-effectiveness-of-empagliflozin-with-vitamin-d-supplementation-in-peripheral-neuropathy-in-type-2-diabetic-patients","author":[{"family":"Mehta","given":"Sanjana"},{"family":"Nain","given":"Parminder"},{"family":"Agrawal","given":"Bimal K"},{"family":"Singh","given":"Rajinder P"},{"family":"Kaur","given":"Jaspreet"},{"family":"Maity","given":"Sabyasachi"},{"family":"Bhattarcharjee","given":"Aniruddha"},{"family":"Peela","given":"Jagannadha"},{"family":"Nauhria","given":"Shreya"},{"family":"Nauhria","given":"Samal"}],"accessed":{"date-parts":[["2026",2,23]]},"issued":{"date-parts":[["2021",12,6]]}}}],"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[12]</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the only trial judged to be at high risk of bias overall, a judgement driven by the convergence of some concerns across all five domains — including an open-label design, unreported allocation concealment, undescribed missing-data handling, unblinded assessment of subjective pain outcomes, and the absence of trial registration — which collectively undermined confidence in the trial's findings in accordance with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 guidance.  The two non-randomized studies (Ishibashi 2022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WB2nAKu5","properties":{"unsorted":false,"formattedCitation":"[4]","plainCitation":"[4]","noteIndex":0},"citationItems":[{"id":"gKHtIfYW/TrC4Os6M","uris":["http://zotero.org/users/19709799/items/PURWFUB5"],"itemData":{"id":12,"type":"article-journal","container-title":"Frontiers in Endocrinology","DOI":"10.3389/fendo.2022.864332","ISSN":"1664-2392","journalAbbreviation":"Front. Endocrinol.","language":"en","page":"864332","source":"DOI.org (Crossref)","title":"Sodium Glucose Cotransporter-2 Inhibitor Protects Against Diabetic Neuropathy and Nephropathy in Modestly Controlled Type 2 Diabetes: Follow-Up Study","title-short":"Sodium Glucose Cotransporter-2 Inhibitor Protects Against Diabetic Neuropathy and Nephropathy in Modestly Controlled Type 2 Diabetes","volume":"13","author":[{"family":"Ishibashi","given":"Fukashi"},{"family":"Kosaka","given":"Aiko"},{"family":"Tavakoli","given":"Mitra"}],"issued":{"date-parts":[["2022",6,17]]}}}],"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[4]</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and </w:t>
      </w:r>
      <w:proofErr w:type="spellStart"/>
      <w:r w:rsidRPr="00EF4A89">
        <w:rPr>
          <w:rFonts w:asciiTheme="majorBidi" w:eastAsia="Times New Roman" w:hAnsiTheme="majorBidi" w:cstheme="majorBidi"/>
        </w:rPr>
        <w:t>Klabuzai</w:t>
      </w:r>
      <w:proofErr w:type="spellEnd"/>
      <w:r w:rsidRPr="00EF4A89">
        <w:rPr>
          <w:rFonts w:asciiTheme="majorBidi" w:eastAsia="Times New Roman" w:hAnsiTheme="majorBidi" w:cstheme="majorBidi"/>
        </w:rPr>
        <w:t xml:space="preserve"> 2025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y8T910XH","properties":{"unsorted":false,"formattedCitation":"[5]","plainCitation":"[5]","noteIndex":0},"citationItems":[{"id":"gKHtIfYW/boGOmBCL","uris":["http://zotero.org/users/19709799/items/LNHXRLVE"],"itemData":{"id":13,"type":"article-journal","container-title":"Antioxidants","DOI":"10.3390/antiox14030289","ISSN":"2076-3921","issue":"3","journalAbbreviation":"Antioxidants","language":"en","page":"289","source":"DOI.org (Crossref)","title":"The Impact of SGLT-2 Inhibitors on Hydroxyl Radical Markers and Diabetic Neuropathy: A Short-Term Clinical Study","title-short":"The Impact of SGLT-2 Inhibitors on Hydroxyl Radical Markers and Diabetic Neuropathy","volume":"14","author":[{"family":"Klabuzai","given":"Ágnes"},{"family":"Bekő","given":"Viktória"},{"family":"Sütő","given":"Zsófia"},{"family":"Horváth","given":"Marcell"},{"family":"Wágner","given":"Zoltán"},{"family":"Vágási","given":"Katalin"},{"family":"Pfeil","given":"Veronika"},{"family":"Süle","given":"Miklós"},{"family":"Grosz","given":"György"},{"family":"Wittmann","given":"István"},{"family":"Kun","given":"Szilárd"}],"issued":{"date-parts":[["2025",2,28]]}}}],"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[5]</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were assessed using the ROBINS-I tool, with the results reported separately </w:t>
      </w:r>
      <w:r w:rsidR="00AC58D8" w:rsidRPr="00EF4A89">
        <w:rPr>
          <w:rFonts w:asciiTheme="majorBidi" w:eastAsia="Times New Roman" w:hAnsiTheme="majorBidi" w:cstheme="majorBidi"/>
        </w:rPr>
        <w:fldChar w:fldCharType="begin"/>
      </w:r>
      <w:r w:rsidR="00AC58D8" w:rsidRPr="00EF4A89">
        <w:rPr>
          <w:rFonts w:asciiTheme="majorBidi" w:eastAsia="Times New Roman" w:hAnsiTheme="majorBidi" w:cstheme="majorBidi"/>
        </w:rPr>
        <w:instrText xml:space="preserve"> ADDIN ZOTERO_ITEM CSL_CITATION {"citationID":"jB4e6pZJ","properties":{"unsorted":false,"formattedCitation":"[6]","plainCitation":"[6]","noteIndex":0},"citationItems":[{"id":"gKHtIfYW/4F1NiLW6","uris":["http://zotero.org/users/19709799/items/4BHM8V6D"],"itemData":{"id":34,"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AC58D8" w:rsidRPr="00EF4A89">
        <w:rPr>
          <w:rFonts w:asciiTheme="majorBidi" w:eastAsia="Times New Roman" w:hAnsiTheme="majorBidi" w:cstheme="majorBidi"/>
        </w:rPr>
        <w:fldChar w:fldCharType="separate"/>
      </w:r>
      <w:r w:rsidR="00AC58D8" w:rsidRPr="00EF4A89">
        <w:rPr>
          <w:rFonts w:asciiTheme="majorBidi" w:eastAsia="Times New Roman" w:hAnsiTheme="majorBidi" w:cstheme="majorBidi"/>
        </w:rPr>
        <w:t>[6]</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w:t>
      </w:r>
    </w:p>
    <w:p w14:paraId="2A09FD6C" w14:textId="60C6B576" w:rsidR="00200DF4" w:rsidRPr="00EF4A89" w:rsidRDefault="00ED0F7F" w:rsidP="00EF4A89">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3.4 </w:t>
      </w:r>
      <w:r w:rsidR="00000000" w:rsidRPr="00EF4A89">
        <w:rPr>
          <w:rFonts w:asciiTheme="majorBidi" w:eastAsia="Times New Roman" w:hAnsiTheme="majorBidi" w:cstheme="majorBidi"/>
          <w:b/>
          <w:bCs/>
          <w:i/>
          <w:iCs/>
        </w:rPr>
        <w:t>Results of individual studies</w:t>
      </w:r>
    </w:p>
    <w:p w14:paraId="5C4BEF4D" w14:textId="41064505" w:rsidR="00200DF4" w:rsidRPr="00EF4A89" w:rsidRDefault="00000000" w:rsidP="00EF4A89">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Our systematic review included four RCTs that examined the effect of SGLT2i drugs on diabetic peripheral neuropathy, each using different outcome measures. Adhikari et al. </w:t>
      </w:r>
      <w:r w:rsidR="00AC58D8" w:rsidRPr="00EF4A89">
        <w:rPr>
          <w:rFonts w:asciiTheme="majorBidi" w:hAnsiTheme="majorBidi" w:cstheme="majorBidi"/>
        </w:rPr>
        <w:fldChar w:fldCharType="begin"/>
      </w:r>
      <w:r w:rsidR="00AC58D8" w:rsidRPr="00EF4A89">
        <w:rPr>
          <w:rFonts w:asciiTheme="majorBidi" w:hAnsiTheme="majorBidi" w:cstheme="majorBidi"/>
        </w:rPr>
        <w:instrText xml:space="preserve"> ADDIN ZOTERO_ITEM CSL_CITATION {"citationID":"zPT0XKfi","properties":{"unsorted":false,"formattedCitation":"[8]","plainCitation":"[8]","noteIndex":0},"citationItems":[{"id":"gKHtIfYW/XnBIwTwA","uris":["http://zotero.org/users/19709799/items/FMCL8PHZ"],"itemData":{"id":8,"type":"article-journal","container-title":"Journal of the Peripheral Nervous System","DOI":"10.1111/jns.70011","ISSN":"1085-9489, 1529-8027","issue":"1","journalAbbreviation":"J Peripheral Nervous Sys","language":"en","page":"e70011","source":"DOI.org (Crossref)","title":"Dapagliflozin for Small Nerve Fibre Regeneration in Diabetic Peripheral Neuropathy: A Randomised Controlled Study ( &lt;span style=\"font-variant:small-caps;\"&gt;DINE&lt;/span&gt; )","title-short":"Dapagliflozin for Small Nerve Fibre Regeneration in Diabetic Peripheral Neuropathy","volume":"30","author":[{"family":"Adhikari","given":"Umanath"},{"family":"Gad","given":"Hoda"},{"family":"Chatterjee","given":"Debajyoti"},{"family":"Malhotra","given":"Chintan"},{"family":"Bhadada","given":"Sanjay Kumar"},{"family":"Malik","given":"Rayaz A."},{"family":"Rastogi","given":"Ashu"}],"issued":{"date-parts":[["2025",3]]}}}],"schema":"https://github.com/citation-style-language/schema/raw/master/csl-citation.json"} </w:instrText>
      </w:r>
      <w:r w:rsidR="00AC58D8" w:rsidRPr="00EF4A89">
        <w:rPr>
          <w:rFonts w:asciiTheme="majorBidi" w:hAnsiTheme="majorBidi" w:cstheme="majorBidi"/>
        </w:rPr>
        <w:fldChar w:fldCharType="separate"/>
      </w:r>
      <w:r w:rsidR="00AC58D8" w:rsidRPr="00EF4A89">
        <w:rPr>
          <w:rFonts w:asciiTheme="majorBidi" w:hAnsiTheme="majorBidi" w:cstheme="majorBidi"/>
        </w:rPr>
        <w:t>[8]</w:t>
      </w:r>
      <w:r w:rsidR="00AC58D8" w:rsidRPr="00EF4A89">
        <w:rPr>
          <w:rFonts w:asciiTheme="majorBidi" w:hAnsiTheme="majorBidi" w:cstheme="majorBidi"/>
        </w:rPr>
        <w:fldChar w:fldCharType="end"/>
      </w:r>
      <w:r w:rsidRPr="00EF4A89">
        <w:rPr>
          <w:rFonts w:asciiTheme="majorBidi" w:eastAsia="Times New Roman" w:hAnsiTheme="majorBidi" w:cstheme="majorBidi"/>
        </w:rPr>
        <w:t xml:space="preserve"> is one of the RCTs that compared two groups, one received an add-on of 10 mg dapagliflozin once daily to their existing diabetic drugs and the other group continued their oral diabetic drug standard of care. After a follow up of 6 months, there was no significant difference in oxidative stress markers between the two groups, there was worsening of total MNSI scores in both groups and no change in VPT in either group. The study also measured intraepidermal nerve fiber density with skin biopsies, which showed significant increases in both groups with no significant differences between both groups. However, when it came to corneal outcomes, there was a significant increase in CNFD, CNBD and CNFL in the SGLT2i group and no changes in the corneal outcomes in the group on standard diabetic care. The difference between both groups was statistically significant. El-Haggar et al. </w:t>
      </w:r>
      <w:r w:rsidR="00AC58D8" w:rsidRPr="00EF4A89">
        <w:rPr>
          <w:rFonts w:asciiTheme="majorBidi" w:hAnsiTheme="majorBidi" w:cstheme="majorBidi"/>
        </w:rPr>
        <w:fldChar w:fldCharType="begin"/>
      </w:r>
      <w:r w:rsidR="00AC58D8" w:rsidRPr="00EF4A89">
        <w:rPr>
          <w:rFonts w:asciiTheme="majorBidi" w:hAnsiTheme="majorBidi" w:cstheme="majorBidi"/>
        </w:rPr>
        <w:instrText xml:space="preserve"> ADDIN ZOTERO_ITEM CSL_CITATION {"citationID":"tS4ZRBYW","properties":{"formattedCitation":"[13]","plainCitation":"[13]","noteIndex":0},"citationItems":[{"id":105,"uris":["http://zotero.org/groups/6437514/items/HATKGKHB"],"itemData":{"id":105,"type":"article-journal","container-title":"Medicina Clínica","DOI":"10.1016/j.medcli.2024.01.027","ISSN":"00257753","issue":"2","journalAbbreviation":"Medicina Clínica","language":"en","page":"53-61","source":"DOI.org (Crossref)","title":"Effect of empagliflozin in peripheral diabetic neuropathy of patients with type 2 diabetes mellitus","volume":"163","author":[{"family":"El-Haggar","given":"Sahar Mohamed"},{"family":"Hafez","given":"Yasser Mostafa"},{"family":"El Sharkawy","given":"Amira Mohamed"},{"family":"Khalifa","given":"Maha"}],"issued":{"date-parts":[["2024",7]]}}}],"schema":"https://github.com/citation-style-language/schema/raw/master/csl-citation.json"} </w:instrText>
      </w:r>
      <w:r w:rsidR="00AC58D8" w:rsidRPr="00EF4A89">
        <w:rPr>
          <w:rFonts w:asciiTheme="majorBidi" w:hAnsiTheme="majorBidi" w:cstheme="majorBidi"/>
        </w:rPr>
        <w:fldChar w:fldCharType="separate"/>
      </w:r>
      <w:r w:rsidR="00AC58D8" w:rsidRPr="00EF4A89">
        <w:rPr>
          <w:rFonts w:asciiTheme="majorBidi" w:hAnsiTheme="majorBidi" w:cstheme="majorBidi"/>
        </w:rPr>
        <w:t>[13]</w:t>
      </w:r>
      <w:r w:rsidR="00AC58D8" w:rsidRPr="00EF4A89">
        <w:rPr>
          <w:rFonts w:asciiTheme="majorBidi" w:hAnsiTheme="majorBidi" w:cstheme="majorBidi"/>
        </w:rPr>
        <w:fldChar w:fldCharType="end"/>
      </w:r>
      <w:r w:rsidRPr="00EF4A89">
        <w:rPr>
          <w:rFonts w:asciiTheme="majorBidi" w:eastAsia="Times New Roman" w:hAnsiTheme="majorBidi" w:cstheme="majorBidi"/>
        </w:rPr>
        <w:t xml:space="preserve"> is another RCT in our review. They found that empagliflozin resulted in significant improvements in most aspects of the nerve conduction study. They also found significant improvements in MDA and NSE. This study also measured brief pain inventory short-form item score and diabetic neuropathy symptom score. The group taking empagliflozin showed a significant decrease in BPI-SF score compared to the control group, whereas DNS score did not show a significant difference between both groups. The RCT by </w:t>
      </w:r>
      <w:proofErr w:type="spellStart"/>
      <w:r w:rsidRPr="00EF4A89">
        <w:rPr>
          <w:rFonts w:asciiTheme="majorBidi" w:eastAsia="Times New Roman" w:hAnsiTheme="majorBidi" w:cstheme="majorBidi"/>
        </w:rPr>
        <w:t>Vafaeinasab</w:t>
      </w:r>
      <w:proofErr w:type="spellEnd"/>
      <w:r w:rsidRPr="00EF4A89">
        <w:rPr>
          <w:rFonts w:asciiTheme="majorBidi" w:eastAsia="Times New Roman" w:hAnsiTheme="majorBidi" w:cstheme="majorBidi"/>
        </w:rPr>
        <w:t xml:space="preserve"> et al. </w:t>
      </w:r>
      <w:r w:rsidR="00AC58D8" w:rsidRPr="00EF4A89">
        <w:rPr>
          <w:rFonts w:asciiTheme="majorBidi" w:hAnsiTheme="majorBidi" w:cstheme="majorBidi"/>
        </w:rPr>
        <w:fldChar w:fldCharType="begin"/>
      </w:r>
      <w:r w:rsidR="00AC58D8" w:rsidRPr="00EF4A89">
        <w:rPr>
          <w:rFonts w:asciiTheme="majorBidi" w:hAnsiTheme="majorBidi" w:cstheme="majorBidi"/>
        </w:rPr>
        <w:instrText xml:space="preserve"> ADDIN ZOTERO_ITEM CSL_CITATION {"citationID":"OxlsFP0A","properties":{"formattedCitation":"[14]","plainCitation":"[14]","noteIndex":0},"citationItems":[{"id":106,"uris":["http://zotero.org/groups/6437514/items/4IEWANWQ"],"itemData":{"id":106,"type":"article-journal","abstract":"ABSTRACT\n            \n              Introduction\n              Diabetes is the common metabolic disorder. Empagliflozin is a new medication that acts as a sodium‐glucose cotransporter 2 (SGLT2) inhibitor. It promotes increased glucose excretion through urine, which helps improve blood sugar control, enhances glucose metabolism, and reduces glucotoxicity and insulin resistance. This study aimed to investigate and compare the effects of adding empagliflozin to a medication regimen on peripheral neuropathy in diabetes.\n            \n            \n              Materials and Methods\n              This study involved 50 patients with diabetic neuropathy, confirmed by the Michigan Neuropathy Screening Instrument, who were randomly assigned to two groups. The control group continued their previous medication regimen with a placebo, while the treatment group added 10 mg of empagliflozin daily to their existing regimen. At the start of the study, fasting blood glucose, haemoglobin A1c, serum creatinine levels and electrophysiological findings (including amplitude, latency and nerve conduction velocity) were assessed for all patients. These parameters were re‐evaluated at the end of the 20‐week intervention, and the results were analysed using statistical software.\n            \n            \n              Results\n              At the end of the study, there was a significant reduction in both haemoglobin A1c and fasting blood glucose levels in the treatment group. Serum creatinine levels also significantly decreased. eGFR (estimated glomerular filtration rate) increased in the treatment group. In the Michigan Neuropathy Screening Instrument, the oral test score improved in the treatment group, but no significant difference was observed in the clinical examination scores. Additionally, electrophysiological testing showed a significant improvement in nerve conduction velocity in the treatment group. Latency also decreased in the treatment group, but no significant difference was observed in amplitude between the two groups.\n            \n            \n              Conclusion\n              Empagliflozin reduces blood glucose levels and improves kidney filtration function. It also enhances clinical symptoms and nerve conduction velocity in patients with diabetic neuropathy.","container-title":"Endocrinology, Diabetes &amp; Metabolism","DOI":"10.1002/edm2.70128","ISSN":"2398-9238, 2398-9238","issue":"6","journalAbbreviation":"Endocrino Diabet &amp;amp; Metabol","language":"en","page":"e70128","source":"DOI.org (Crossref)","title":"The Comparison of the Effect of Adding Empagliflozin to the Medication Regimen on Peripheral Neuropathy in Patients With Type &lt;span style=\"font-variant:small-caps;\"&gt;II&lt;/span&gt; Diabetes: A Double Blind Randomised Clinical Trial","title-short":"The Comparison of the Effect of Adding Empagliflozin to the Medication Regimen on Peripheral Neuropathy in Patients With Type &lt;span style=\"font-variant","volume":"8","author":[{"family":"Vafaeinasab","given":"Mohammadreza"},{"family":"Mirzaei Malekabad","given":"Fatemeh"},{"family":"Khatibi","given":"Amidodin"},{"family":"Ghadiri‐Anari","given":"Akram"},{"family":"Zare Bidaki","given":"Marzieh"},{"family":"Azizi","given":"Raihane"}],"issued":{"date-parts":[["2025",11]]}}}],"schema":"https://github.com/citation-style-language/schema/raw/master/csl-citation.json"} </w:instrText>
      </w:r>
      <w:r w:rsidR="00AC58D8" w:rsidRPr="00EF4A89">
        <w:rPr>
          <w:rFonts w:asciiTheme="majorBidi" w:hAnsiTheme="majorBidi" w:cstheme="majorBidi"/>
        </w:rPr>
        <w:fldChar w:fldCharType="separate"/>
      </w:r>
      <w:r w:rsidR="00AC58D8" w:rsidRPr="00EF4A89">
        <w:rPr>
          <w:rFonts w:asciiTheme="majorBidi" w:hAnsiTheme="majorBidi" w:cstheme="majorBidi"/>
        </w:rPr>
        <w:t>[14]</w:t>
      </w:r>
      <w:r w:rsidR="00AC58D8" w:rsidRPr="00EF4A89">
        <w:rPr>
          <w:rFonts w:asciiTheme="majorBidi" w:hAnsiTheme="majorBidi" w:cstheme="majorBidi"/>
        </w:rPr>
        <w:fldChar w:fldCharType="end"/>
      </w:r>
      <w:r w:rsidRPr="00EF4A89">
        <w:rPr>
          <w:rFonts w:asciiTheme="majorBidi" w:eastAsia="Times New Roman" w:hAnsiTheme="majorBidi" w:cstheme="majorBidi"/>
        </w:rPr>
        <w:t xml:space="preserve"> compared a group taking 10 mg of empagliflozin in addition to their existing regimen with a group taking a placebo in addition to their existing regimen. In this study the MNSI oral test score showed significant improvement in the group taking empagliflozin compared to the placebo, however the clinical examination scores showed no significant differences. In nerve conduction studies, both nerve conduction velocity and latency showed significant improvement in </w:t>
      </w:r>
      <w:r w:rsidRPr="00EF4A89">
        <w:rPr>
          <w:rFonts w:asciiTheme="majorBidi" w:eastAsia="Times New Roman" w:hAnsiTheme="majorBidi" w:cstheme="majorBidi"/>
        </w:rPr>
        <w:lastRenderedPageBreak/>
        <w:t xml:space="preserve">the group taking empagliflozin, on the other hand there was insignificant difference between the two groups when it came to observed nerve amplitude. </w:t>
      </w:r>
    </w:p>
    <w:p w14:paraId="6828395B" w14:textId="474FACA9" w:rsidR="00200DF4" w:rsidRPr="00EF4A89" w:rsidRDefault="00000000" w:rsidP="00EF4A89">
      <w:pPr>
        <w:pBdr>
          <w:top w:val="nil"/>
          <w:left w:val="nil"/>
          <w:bottom w:val="nil"/>
          <w:right w:val="nil"/>
          <w:between w:val="nil"/>
        </w:pBd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One RCT, Mehta et al. </w:t>
      </w:r>
      <w:r w:rsidR="00AC58D8" w:rsidRPr="00EF4A89">
        <w:rPr>
          <w:rFonts w:asciiTheme="majorBidi" w:hAnsiTheme="majorBidi" w:cstheme="majorBidi"/>
        </w:rPr>
        <w:fldChar w:fldCharType="begin"/>
      </w:r>
      <w:r w:rsidR="00AC58D8" w:rsidRPr="00EF4A89">
        <w:rPr>
          <w:rFonts w:asciiTheme="majorBidi" w:hAnsiTheme="majorBidi" w:cstheme="majorBidi"/>
        </w:rPr>
        <w:instrText xml:space="preserve"> ADDIN ZOTERO_ITEM CSL_CITATION {"citationID":"2zjqSrwJ","properties":{"formattedCitation":"[15]","plainCitation":"[15]","noteIndex":0},"citationItems":[{"id":112,"uris":["http://zotero.org/groups/6437514/items/R3QLHP2N"],"itemData":{"id":112,"type":"article-journal","container-title":"Cureus","DOI":"10.7759/cureus.20208","ISSN":"2168-8184","language":"en","source":"DOI.org (Crossref)","title":"Effectiveness of Empagliflozin With Vitamin D Supplementation in Peripheral Neuropathy in Type 2 Diabetic Patients","URL":"https://www.cureus.com/articles/78182-effectiveness-of-empagliflozin-with-vitamin-d-supplementation-in-peripheral-neuropathy-in-type-2-diabetic-patients","author":[{"family":"Mehta","given":"Sanjana"},{"family":"Nain","given":"Parminder"},{"family":"Agrawal","given":"Bimal K"},{"family":"Singh","given":"Rajinder P"},{"family":"Kaur","given":"Jaspreet"},{"family":"Maity","given":"Sabyasachi"},{"family":"Bhattarcharjee","given":"Aniruddha"},{"family":"Peela","given":"Jagannadha"},{"family":"Nauhria","given":"Shreya"},{"family":"Nauhria","given":"Samal"}],"accessed":{"date-parts":[["2026",2,22]]},"issued":{"date-parts":[["2021",12,6]]}}}],"schema":"https://github.com/citation-style-language/schema/raw/master/csl-citation.json"} </w:instrText>
      </w:r>
      <w:r w:rsidR="00AC58D8" w:rsidRPr="00EF4A89">
        <w:rPr>
          <w:rFonts w:asciiTheme="majorBidi" w:hAnsiTheme="majorBidi" w:cstheme="majorBidi"/>
        </w:rPr>
        <w:fldChar w:fldCharType="separate"/>
      </w:r>
      <w:r w:rsidR="00AC58D8" w:rsidRPr="00EF4A89">
        <w:rPr>
          <w:rFonts w:asciiTheme="majorBidi" w:hAnsiTheme="majorBidi" w:cstheme="majorBidi"/>
        </w:rPr>
        <w:t>[15]</w:t>
      </w:r>
      <w:r w:rsidR="00AC58D8" w:rsidRPr="00EF4A89">
        <w:rPr>
          <w:rFonts w:asciiTheme="majorBidi" w:hAnsiTheme="majorBidi" w:cstheme="majorBidi"/>
        </w:rPr>
        <w:fldChar w:fldCharType="end"/>
      </w:r>
      <w:r w:rsidRPr="00EF4A89">
        <w:rPr>
          <w:rFonts w:asciiTheme="majorBidi" w:eastAsia="Times New Roman" w:hAnsiTheme="majorBidi" w:cstheme="majorBidi"/>
        </w:rPr>
        <w:t xml:space="preserve">, was excluded from the meta-analysis but included in the qualitative systematic review as it investigated unique endpoints not reported in other studies, specifically the </w:t>
      </w:r>
      <w:proofErr w:type="spellStart"/>
      <w:r w:rsidRPr="00EF4A89">
        <w:rPr>
          <w:rFonts w:asciiTheme="majorBidi" w:eastAsia="Times New Roman" w:hAnsiTheme="majorBidi" w:cstheme="majorBidi"/>
        </w:rPr>
        <w:t>Douleur</w:t>
      </w:r>
      <w:proofErr w:type="spellEnd"/>
      <w:r w:rsidRPr="00EF4A89">
        <w:rPr>
          <w:rFonts w:asciiTheme="majorBidi" w:eastAsia="Times New Roman" w:hAnsiTheme="majorBidi" w:cstheme="majorBidi"/>
        </w:rPr>
        <w:t xml:space="preserve"> </w:t>
      </w:r>
      <w:proofErr w:type="spellStart"/>
      <w:r w:rsidRPr="00EF4A89">
        <w:rPr>
          <w:rFonts w:asciiTheme="majorBidi" w:eastAsia="Times New Roman" w:hAnsiTheme="majorBidi" w:cstheme="majorBidi"/>
        </w:rPr>
        <w:t>neuropathique</w:t>
      </w:r>
      <w:proofErr w:type="spellEnd"/>
      <w:r w:rsidRPr="00EF4A89">
        <w:rPr>
          <w:rFonts w:asciiTheme="majorBidi" w:eastAsia="Times New Roman" w:hAnsiTheme="majorBidi" w:cstheme="majorBidi"/>
        </w:rPr>
        <w:t xml:space="preserve"> 4 questions (DN-4) score, the Neuropathic Pain Symptom Inventory (NPSI), and the Ipswich Touch the Toes Test (ITTT).</w:t>
      </w:r>
    </w:p>
    <w:p w14:paraId="6A2D56D6" w14:textId="77777777" w:rsidR="00200DF4" w:rsidRPr="00EF4A89" w:rsidRDefault="00000000" w:rsidP="00EF4A89">
      <w:pPr>
        <w:pBdr>
          <w:top w:val="nil"/>
          <w:left w:val="nil"/>
          <w:bottom w:val="nil"/>
          <w:right w:val="nil"/>
          <w:between w:val="nil"/>
        </w:pBd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The study compared three arms: empagliflozin monotherapy, combined empagliflozin and Vitamin D, and </w:t>
      </w:r>
      <w:proofErr w:type="gramStart"/>
      <w:r w:rsidRPr="00EF4A89">
        <w:rPr>
          <w:rFonts w:asciiTheme="majorBidi" w:eastAsia="Times New Roman" w:hAnsiTheme="majorBidi" w:cstheme="majorBidi"/>
        </w:rPr>
        <w:t>a placebo</w:t>
      </w:r>
      <w:proofErr w:type="gramEnd"/>
      <w:r w:rsidRPr="00EF4A89">
        <w:rPr>
          <w:rFonts w:asciiTheme="majorBidi" w:eastAsia="Times New Roman" w:hAnsiTheme="majorBidi" w:cstheme="majorBidi"/>
        </w:rPr>
        <w:t xml:space="preserve">. While both the monotherapy and placebo arms showed no significant change, a significant improvement in neuropathic pain scores and sensory perception was observed exclusively in the combination group (empagliflozin + Vitamin D). However, these findings must be interpreted with caution; the study utilized an open-label design, which introduces a high risk of performance and detection bias, potentially overstating the clinical benefits, especially since these outcomes are patient-reported outcomes. </w:t>
      </w:r>
    </w:p>
    <w:p w14:paraId="68693677" w14:textId="40270FED" w:rsidR="00200DF4" w:rsidRPr="00EF4A89" w:rsidRDefault="00000000" w:rsidP="00EF4A89">
      <w:pPr>
        <w:pBdr>
          <w:top w:val="nil"/>
          <w:left w:val="nil"/>
          <w:bottom w:val="nil"/>
          <w:right w:val="nil"/>
          <w:between w:val="nil"/>
        </w:pBd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Another study included in our review is a prospective cohort study by Ishibashi et al. </w:t>
      </w:r>
      <w:r w:rsidR="00AC58D8" w:rsidRPr="00EF4A89">
        <w:rPr>
          <w:rFonts w:asciiTheme="majorBidi" w:hAnsiTheme="majorBidi" w:cstheme="majorBidi"/>
        </w:rPr>
        <w:fldChar w:fldCharType="begin"/>
      </w:r>
      <w:r w:rsidR="00AC58D8" w:rsidRPr="00EF4A89">
        <w:rPr>
          <w:rFonts w:asciiTheme="majorBidi" w:hAnsiTheme="majorBidi" w:cstheme="majorBidi"/>
        </w:rPr>
        <w:instrText xml:space="preserve"> ADDIN ZOTERO_ITEM CSL_CITATION {"citationID":"tGQODTTs","properties":{"formattedCitation":"[16]","plainCitation":"[16]","noteIndex":0},"citationItems":[{"id":108,"uris":["http://zotero.org/groups/6437514/items/MHNR4PT3"],"itemData":{"id":108,"type":"article-journal","abstract":"Aims\n              \n                This three-year follow-up study aimed to elucidate whether sodium-glucose cotransporter-2 inhibitors (SGLT2is) have any protection against diabetic neuropathy and nephropathy in patients with type 2 diabetes\n                via\n                reducing variability in glycemia and extraglycemic factors or their averages.\n              \n            \n            \n              Methods\n              Two type 2 diabetic cohorts of 40 and 73 patients treated with or without SGLT2i along with 60 control subjects were recruited. Two diabetic cohorts matched for HbA1c levels and oral hypoglycemic agents other than SGLT2is underwent glycemic control with or without SGLT2is more than two years. The urinary albumin to creatinine ratio (ACR), estimated glomerular filtration rate (eGFR) every 3 months and neuropathy outcome measures and mean Z-score of 8 neurophysiological tests were determined at the baseline and endpoint. Glycemic variability, evaluated by the coefficient of variation of monthly measured HbA1c levels and casual postprandial plasma glucose (CPPG), and coefficient of variation and average of extraglycemic parameters in diabetic cohorts were determined.\n            \n            \n              Results\n              The glycemic variability and variability of some extraglycemic factors in SGLT2i cohort were smaller than those in non-SGLT2i cohort. However, only smaller coefficient of variation of HbA1c improved some neuropathy outcome measures, and ameliorated eGFR decline. SGLT2i improved the Z-score of neurophysiological tests. The optimized changes in the blood pressure, HDL-cholesterol and uric acid by SGLT2i led to neurological and renal protection. SGLT2i decreased the prevalence of nephropathy significantly and the prevalence of neuropathy insignificantly.\n            \n            \n              Conclusion\n              Over 3 years period, SGLT2i significantly improved some neuropathy outcome measures, mean Z-score of 8 neurophysiological tests, and attenuated nephropathy in modestly controlled type 2 diabetes by reducing glycemic variability and mean nonglycemic factors of diabetic microvascular complication.","container-title":"Frontiers in Endocrinology","DOI":"10.3389/fendo.2022.864332","ISSN":"1664-2392","journalAbbreviation":"Front. Endocrinol.","page":"864332","source":"DOI.org (Crossref)","title":"Sodium Glucose Cotransporter-2 Inhibitor Protects Against Diabetic Neuropathy and Nephropathy in Modestly Controlled Type 2 Diabetes: Follow-Up Study","title-short":"Sodium Glucose Cotransporter-2 Inhibitor Protects Against Diabetic Neuropathy and Nephropathy in Modestly Controlled Type 2 Diabetes","volume":"13","author":[{"family":"Ishibashi","given":"Fukashi"},{"family":"Kosaka","given":"Aiko"},{"family":"Tavakoli","given":"Mitra"}],"issued":{"date-parts":[["2022",6,17]]}}}],"schema":"https://github.com/citation-style-language/schema/raw/master/csl-citation.json"} </w:instrText>
      </w:r>
      <w:r w:rsidR="00AC58D8" w:rsidRPr="00EF4A89">
        <w:rPr>
          <w:rFonts w:asciiTheme="majorBidi" w:hAnsiTheme="majorBidi" w:cstheme="majorBidi"/>
        </w:rPr>
        <w:fldChar w:fldCharType="separate"/>
      </w:r>
      <w:r w:rsidR="00AC58D8" w:rsidRPr="00EF4A89">
        <w:rPr>
          <w:rFonts w:asciiTheme="majorBidi" w:hAnsiTheme="majorBidi" w:cstheme="majorBidi"/>
        </w:rPr>
        <w:t>[16]</w:t>
      </w:r>
      <w:r w:rsidR="00AC58D8" w:rsidRPr="00EF4A89">
        <w:rPr>
          <w:rFonts w:asciiTheme="majorBidi" w:hAnsiTheme="majorBidi" w:cstheme="majorBidi"/>
        </w:rPr>
        <w:fldChar w:fldCharType="end"/>
      </w:r>
      <w:r w:rsidRPr="00EF4A89">
        <w:rPr>
          <w:rFonts w:asciiTheme="majorBidi" w:eastAsia="Times New Roman" w:hAnsiTheme="majorBidi" w:cstheme="majorBidi"/>
        </w:rPr>
        <w:t xml:space="preserve">, while it is not an RCT, it has valuable insights into the topic. The study calculated the Z-score for neurophysiological tests including nerve conduction studies which showed significant improvement in the cohort taking SGLT2i along with their standard drug regimen, after a follow-up of three years which is the longest follow-up period among the studies included in our systematic review. Corneal nerve fiber measures were also reported. And other neuropathic outcome measures. And prevalence of neuropathy. Furthermore, another study we included is a post-hoc analysis by Liao et al. </w:t>
      </w:r>
      <w:r w:rsidR="00AC58D8" w:rsidRPr="00EF4A89">
        <w:rPr>
          <w:rFonts w:asciiTheme="majorBidi" w:hAnsiTheme="majorBidi" w:cstheme="majorBidi"/>
        </w:rPr>
        <w:fldChar w:fldCharType="begin"/>
      </w:r>
      <w:r w:rsidR="00AC58D8" w:rsidRPr="00EF4A89">
        <w:rPr>
          <w:rFonts w:asciiTheme="majorBidi" w:hAnsiTheme="majorBidi" w:cstheme="majorBidi"/>
        </w:rPr>
        <w:instrText xml:space="preserve"> ADDIN ZOTERO_ITEM CSL_CITATION {"citationID":"7ITxoQuK","properties":{"formattedCitation":"[17]","plainCitation":"[17]","noteIndex":0},"citationItems":[{"id":114,"uris":["http://zotero.org/groups/6437514/items/ZUPKA3YZ"],"itemData":{"id":114,"type":"article-journal","container-title":"Diabetes &amp; Metabolism","DOI":"10.1016/j.diabet.2022.101331","ISSN":"12623636","issue":"4","journalAbbreviation":"Diabetes &amp; Metabolism","language":"en","page":"101331","source":"DOI.org (Crossref)","title":"The impact of canagliflozin on the risk of neuropathy events: A post-hoc exploratory analysis of the CREDENCE trial","title-short":"The impact of canagliflozin on the risk of neuropathy events","volume":"48","author":[{"family":"Liao","given":"Jinlan"},{"family":"Kang","given":"Amy"},{"family":"Xia","given":"Chao"},{"family":"Young","given":"Tamara"},{"family":"Di Tanna","given":"Gian Luca"},{"family":"Arnott","given":"Clare"},{"family":"Pollock","given":"Carol"},{"family":"Krishnan","given":"Arun V."},{"family":"Agarwal","given":"Rajiv"},{"family":"Bakris","given":"George"},{"family":"Charytan","given":"David M."},{"family":"De Zeeuw","given":"Dick"},{"family":"Heerspink","given":"Hiddo J.L."},{"family":"Levin","given":"Adeera"},{"family":"Neal","given":"Bruce"},{"family":"Wheeler","given":"David C."},{"family":"Zhang","given":"Hong"},{"family":"Zinman","given":"Bernard"},{"family":"Mahaffey","given":"Kenneth W."},{"family":"Perkovic","given":"Vlado"},{"family":"Jardine","given":"Meg J"},{"family":"Smyth","given":"Brendan"}],"issued":{"date-parts":[["2022",7]]}}}],"schema":"https://github.com/citation-style-language/schema/raw/master/csl-citation.json"} </w:instrText>
      </w:r>
      <w:r w:rsidR="00AC58D8" w:rsidRPr="00EF4A89">
        <w:rPr>
          <w:rFonts w:asciiTheme="majorBidi" w:hAnsiTheme="majorBidi" w:cstheme="majorBidi"/>
        </w:rPr>
        <w:fldChar w:fldCharType="separate"/>
      </w:r>
      <w:r w:rsidR="00AC58D8" w:rsidRPr="00EF4A89">
        <w:rPr>
          <w:rFonts w:asciiTheme="majorBidi" w:hAnsiTheme="majorBidi" w:cstheme="majorBidi"/>
        </w:rPr>
        <w:t>[17]</w:t>
      </w:r>
      <w:r w:rsidR="00AC58D8" w:rsidRPr="00EF4A89">
        <w:rPr>
          <w:rFonts w:asciiTheme="majorBidi" w:hAnsiTheme="majorBidi" w:cstheme="majorBidi"/>
        </w:rPr>
        <w:fldChar w:fldCharType="end"/>
      </w:r>
      <w:r w:rsidRPr="00EF4A89">
        <w:rPr>
          <w:rFonts w:asciiTheme="majorBidi" w:eastAsia="Times New Roman" w:hAnsiTheme="majorBidi" w:cstheme="majorBidi"/>
        </w:rPr>
        <w:t xml:space="preserve"> of the CREDENCE trial. The CREDENCE trial was originally designed to assess the effect of SLGT2 inhibitors on renal outcomes in patients with diabetic kidney disease. The primary endpoint for the post-hoc </w:t>
      </w:r>
      <w:proofErr w:type="gramStart"/>
      <w:r w:rsidRPr="00EF4A89">
        <w:rPr>
          <w:rFonts w:asciiTheme="majorBidi" w:eastAsia="Times New Roman" w:hAnsiTheme="majorBidi" w:cstheme="majorBidi"/>
        </w:rPr>
        <w:t>analysis</w:t>
      </w:r>
      <w:proofErr w:type="gramEnd"/>
      <w:r w:rsidRPr="00EF4A89">
        <w:rPr>
          <w:rFonts w:asciiTheme="majorBidi" w:eastAsia="Times New Roman" w:hAnsiTheme="majorBidi" w:cstheme="majorBidi"/>
        </w:rPr>
        <w:t xml:space="preserve"> however, was the first occurrence of an adverse event related to neuropathy in all trial participants. The conclusion of the analysis was that there was no observed effect of SGLT2i inhibitors (specifically canagliflozin) on neuropathy events. </w:t>
      </w:r>
    </w:p>
    <w:p w14:paraId="275B748F" w14:textId="77777777" w:rsidR="00200DF4" w:rsidRPr="00EF4A89" w:rsidRDefault="00000000" w:rsidP="00EF4A89">
      <w:pPr>
        <w:pBdr>
          <w:top w:val="nil"/>
          <w:left w:val="nil"/>
          <w:bottom w:val="nil"/>
          <w:right w:val="nil"/>
          <w:between w:val="nil"/>
        </w:pBdr>
        <w:spacing w:after="240" w:line="360" w:lineRule="auto"/>
        <w:rPr>
          <w:rFonts w:asciiTheme="majorBidi" w:eastAsia="Times New Roman" w:hAnsiTheme="majorBidi" w:cstheme="majorBidi"/>
        </w:rPr>
      </w:pPr>
      <w:r w:rsidRPr="00EF4A89">
        <w:rPr>
          <w:rFonts w:asciiTheme="majorBidi" w:eastAsia="Times New Roman" w:hAnsiTheme="majorBidi" w:cstheme="majorBidi"/>
          <w:b/>
          <w:bCs/>
        </w:rPr>
        <w:t xml:space="preserve">(mention in discussion) </w:t>
      </w:r>
      <w:r w:rsidRPr="00EF4A89">
        <w:rPr>
          <w:rFonts w:asciiTheme="majorBidi" w:eastAsia="Times New Roman" w:hAnsiTheme="majorBidi" w:cstheme="majorBidi"/>
        </w:rPr>
        <w:t>the clear benefit for nephropathy, refer to CREDENCE trial again</w:t>
      </w:r>
    </w:p>
    <w:p w14:paraId="01CC5664" w14:textId="422C5ACA" w:rsidR="00200DF4" w:rsidRPr="00EF4A89" w:rsidRDefault="00000000" w:rsidP="00EF4A89">
      <w:pPr>
        <w:pBdr>
          <w:top w:val="nil"/>
          <w:left w:val="nil"/>
          <w:bottom w:val="nil"/>
          <w:right w:val="nil"/>
          <w:between w:val="nil"/>
        </w:pBd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The last study included in our systematic review is a single arm clinical study, hence not included in our meta-analysis, by </w:t>
      </w:r>
      <w:proofErr w:type="spellStart"/>
      <w:r w:rsidRPr="00EF4A89">
        <w:rPr>
          <w:rFonts w:asciiTheme="majorBidi" w:eastAsia="Times New Roman" w:hAnsiTheme="majorBidi" w:cstheme="majorBidi"/>
        </w:rPr>
        <w:t>Klabuzai</w:t>
      </w:r>
      <w:proofErr w:type="spellEnd"/>
      <w:r w:rsidRPr="00EF4A89">
        <w:rPr>
          <w:rFonts w:asciiTheme="majorBidi" w:eastAsia="Times New Roman" w:hAnsiTheme="majorBidi" w:cstheme="majorBidi"/>
        </w:rPr>
        <w:t xml:space="preserve"> et al. </w:t>
      </w:r>
      <w:r w:rsidR="00AC58D8" w:rsidRPr="00EF4A89">
        <w:rPr>
          <w:rFonts w:asciiTheme="majorBidi" w:hAnsiTheme="majorBidi" w:cstheme="majorBidi"/>
        </w:rPr>
        <w:fldChar w:fldCharType="begin"/>
      </w:r>
      <w:r w:rsidR="00AC58D8" w:rsidRPr="00EF4A89">
        <w:rPr>
          <w:rFonts w:asciiTheme="majorBidi" w:hAnsiTheme="majorBidi" w:cstheme="majorBidi"/>
        </w:rPr>
        <w:instrText xml:space="preserve"> ADDIN ZOTERO_ITEM CSL_CITATION {"citationID":"pIdV9cEn","properties":{"formattedCitation":"[18]","plainCitation":"[18]","noteIndex":0},"citationItems":[{"id":110,"uris":["http://zotero.org/groups/6437514/items/34VT32ZN"],"itemData":{"id":110,"type":"article-journal","abstract":"Beyond their metabolic effect, sodium–glucose cotransporter-2 (SGLT-2) inhibitors reduce the risk of heart failure and have cardiovascular and nephroprotective effects, yet their exact mechanism of action remains unclear. This prospective study included 40 patients with type 2 diabetes whose physician initiated SGLT-2 inhibitor therapy. Prior to and 4 weeks after the initiation of SGLT-2 inhibitors, in addition to routine clinical and laboratory measurements, hydroxyl free radical and neuropathic evaluations were performed. Body weight, body mass index (BMI), fasting glucose, fructosamine, and albuminuria decreased significantly, whereas red blood cell (RBC) count, hemoglobin, hematocrit, mean corpuscular volume (MCV), and platelet count increased significantly. Urinary o-tyrosine/p-tyrosine and (m-tyrosine+o-tyrosine)/p-tyrosine ratios were significantly reduced, suggesting diminished hydroxyl free radical production. Patients with neuropathy, identified by abnormal baseline current perception threshold (CPT) values, showed significant improvements. Significant correlations between RBCs, platelet parameters, albuminuria, and hydroxyl free radical markers disappeared after SGLT-2 treatment and changes in hydroxyl free radical markers correlated positively with CPT changes. Our results suggest that short-term SGLT-2 inhibition recalibrates metabolic, hematologic, renal, and neuropathic endpoints simultaneously, presumably through attenuating abnormal ortho- and meta-tyrosine incorporation into signaling proteins. Further studies are required to confirm long-term durability and examine whether additional strategies, such as supplementation of the physiological p-tyrosine, could amplify these benefits.","container-title":"Antioxidants","DOI":"10.3390/antiox14030289","ISSN":"2076-3921","issue":"3","journalAbbreviation":"Antioxidants","language":"en","page":"289","source":"DOI.org (Crossref)","title":"The Impact of SGLT-2 Inhibitors on Hydroxyl Radical Markers and Diabetic Neuropathy: A Short-Term Clinical Study","title-short":"The Impact of SGLT-2 Inhibitors on Hydroxyl Radical Markers and Diabetic Neuropathy","volume":"14","author":[{"family":"Klabuzai","given":"Ágnes"},{"family":"Bekő","given":"Viktória"},{"family":"Sütő","given":"Zsófia"},{"family":"Horváth","given":"Marcell"},{"family":"Wágner","given":"Zoltán"},{"family":"Vágási","given":"Katalin"},{"family":"Pfeil","given":"Veronika"},{"family":"Süle","given":"Miklós"},{"family":"Grosz","given":"György"},{"family":"Wittmann","given":"István"},{"family":"Kun","given":"Szilárd"}],"issued":{"date-parts":[["2025",2,28]]}}}],"schema":"https://github.com/citation-style-language/schema/raw/master/csl-citation.json"} </w:instrText>
      </w:r>
      <w:r w:rsidR="00AC58D8" w:rsidRPr="00EF4A89">
        <w:rPr>
          <w:rFonts w:asciiTheme="majorBidi" w:hAnsiTheme="majorBidi" w:cstheme="majorBidi"/>
        </w:rPr>
        <w:fldChar w:fldCharType="separate"/>
      </w:r>
      <w:r w:rsidR="00AC58D8" w:rsidRPr="00EF4A89">
        <w:rPr>
          <w:rFonts w:asciiTheme="majorBidi" w:hAnsiTheme="majorBidi" w:cstheme="majorBidi"/>
        </w:rPr>
        <w:t>[18]</w:t>
      </w:r>
      <w:r w:rsidR="00AC58D8" w:rsidRPr="00EF4A89">
        <w:rPr>
          <w:rFonts w:asciiTheme="majorBidi" w:hAnsiTheme="majorBidi" w:cstheme="majorBidi"/>
        </w:rPr>
        <w:fldChar w:fldCharType="end"/>
      </w:r>
      <w:r w:rsidRPr="00EF4A89">
        <w:rPr>
          <w:rFonts w:asciiTheme="majorBidi" w:eastAsia="Times New Roman" w:hAnsiTheme="majorBidi" w:cstheme="majorBidi"/>
        </w:rPr>
        <w:t xml:space="preserve">, but worth mentioning in the qualitative review since it examined peripheral diabetic neuropathy in relation to SGLT2 inhibitor administration.  </w:t>
      </w:r>
    </w:p>
    <w:p w14:paraId="7E3BD3DA" w14:textId="732E8700" w:rsidR="00200DF4" w:rsidRPr="00EF4A89" w:rsidRDefault="00ED0F7F" w:rsidP="00EF4A89">
      <w:pPr>
        <w:spacing w:after="240" w:line="360" w:lineRule="auto"/>
        <w:rPr>
          <w:rFonts w:asciiTheme="majorBidi" w:eastAsia="Times New Roman" w:hAnsiTheme="majorBidi" w:cstheme="majorBidi"/>
          <w:i/>
          <w:iCs/>
        </w:rPr>
      </w:pPr>
      <w:r w:rsidRPr="00EF4A89">
        <w:rPr>
          <w:rFonts w:asciiTheme="majorBidi" w:eastAsia="Times New Roman" w:hAnsiTheme="majorBidi" w:cstheme="majorBidi"/>
          <w:i/>
          <w:iCs/>
        </w:rPr>
        <w:t xml:space="preserve">3.5 </w:t>
      </w:r>
      <w:r w:rsidR="00000000" w:rsidRPr="00EF4A89">
        <w:rPr>
          <w:rFonts w:asciiTheme="majorBidi" w:eastAsia="Times New Roman" w:hAnsiTheme="majorBidi" w:cstheme="majorBidi"/>
          <w:i/>
          <w:iCs/>
        </w:rPr>
        <w:t xml:space="preserve">Results of syntheses </w:t>
      </w:r>
    </w:p>
    <w:p w14:paraId="77E038B2" w14:textId="1B009732" w:rsidR="00200DF4" w:rsidRPr="00EF4A89" w:rsidRDefault="00EF4A89" w:rsidP="00EF4A89">
      <w:pPr>
        <w:spacing w:after="240" w:line="360" w:lineRule="auto"/>
        <w:rPr>
          <w:rFonts w:asciiTheme="majorBidi" w:eastAsia="Times New Roman" w:hAnsiTheme="majorBidi" w:cstheme="majorBidi"/>
          <w:i/>
          <w:iCs/>
        </w:rPr>
      </w:pPr>
      <w:r>
        <w:rPr>
          <w:rFonts w:asciiTheme="majorBidi" w:eastAsia="Times New Roman" w:hAnsiTheme="majorBidi" w:cstheme="majorBidi"/>
          <w:i/>
          <w:iCs/>
        </w:rPr>
        <w:t xml:space="preserve">3.6 </w:t>
      </w:r>
      <w:r w:rsidR="00000000" w:rsidRPr="00EF4A89">
        <w:rPr>
          <w:rFonts w:asciiTheme="majorBidi" w:eastAsia="Times New Roman" w:hAnsiTheme="majorBidi" w:cstheme="majorBidi"/>
          <w:i/>
          <w:iCs/>
        </w:rPr>
        <w:t>Reporting biases</w:t>
      </w:r>
      <w:r w:rsidR="00000000" w:rsidRPr="00EF4A89">
        <w:rPr>
          <w:rFonts w:asciiTheme="majorBidi" w:hAnsiTheme="majorBidi" w:cstheme="majorBidi"/>
        </w:rPr>
        <w:br w:type="page"/>
      </w:r>
    </w:p>
    <w:p w14:paraId="4C80AA99" w14:textId="73F90ED6" w:rsidR="00200DF4" w:rsidRDefault="00000000" w:rsidP="00ED0F7F">
      <w:pPr>
        <w:pStyle w:val="Heading1"/>
        <w:spacing w:line="360" w:lineRule="auto"/>
      </w:pPr>
      <w:bookmarkStart w:id="3" w:name="_ruix7xeovzkf" w:colFirst="0" w:colLast="0"/>
      <w:bookmarkEnd w:id="3"/>
      <w:r w:rsidRPr="00ED0F7F">
        <w:lastRenderedPageBreak/>
        <w:t>4. Discussion</w:t>
      </w:r>
    </w:p>
    <w:p w14:paraId="2DD42763" w14:textId="1214D7BF"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4.1 Summary of Main Findings</w:t>
      </w:r>
    </w:p>
    <w:p w14:paraId="4380FA4E" w14:textId="21CAEC76"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 xml:space="preserve">This systematic review and meta-analysis examined the effects of SGLT2 inhibitors on peripheral diabetic neuropathy across seven studies. The pooled analysis demonstrated a statistically significant improvement in sural nerve sensory conduction velocity and amplitude in patients receiving SGLT2 inhibitors compared to controls, suggesting a potential neuroprotective or </w:t>
      </w:r>
      <w:proofErr w:type="spellStart"/>
      <w:r w:rsidRPr="00783857">
        <w:rPr>
          <w:rFonts w:asciiTheme="majorBidi" w:eastAsia="Times New Roman" w:hAnsiTheme="majorBidi" w:cstheme="majorBidi"/>
        </w:rPr>
        <w:t>neuroregenerative</w:t>
      </w:r>
      <w:proofErr w:type="spellEnd"/>
      <w:r w:rsidRPr="00783857">
        <w:rPr>
          <w:rFonts w:asciiTheme="majorBidi" w:eastAsia="Times New Roman" w:hAnsiTheme="majorBidi" w:cstheme="majorBidi"/>
        </w:rPr>
        <w:t xml:space="preserve"> effect on sensory </w:t>
      </w:r>
      <w:proofErr w:type="spellStart"/>
      <w:r w:rsidRPr="00783857">
        <w:rPr>
          <w:rFonts w:asciiTheme="majorBidi" w:eastAsia="Times New Roman" w:hAnsiTheme="majorBidi" w:cstheme="majorBidi"/>
        </w:rPr>
        <w:t>fibres</w:t>
      </w:r>
      <w:proofErr w:type="spellEnd"/>
      <w:r w:rsidRPr="00783857">
        <w:rPr>
          <w:rFonts w:asciiTheme="majorBidi" w:eastAsia="Times New Roman" w:hAnsiTheme="majorBidi" w:cstheme="majorBidi"/>
        </w:rPr>
        <w:t xml:space="preserve">. Peroneal nerve motor latency was also significantly reduced in the SGLT2i group, though no significant difference was observed in peroneal nerve motor velocity or amplitude, likely reflecting insufficient statistical power given the small number of included studies. No significant </w:t>
      </w:r>
      <w:proofErr w:type="gramStart"/>
      <w:r w:rsidRPr="00783857">
        <w:rPr>
          <w:rFonts w:asciiTheme="majorBidi" w:eastAsia="Times New Roman" w:hAnsiTheme="majorBidi" w:cstheme="majorBidi"/>
        </w:rPr>
        <w:t>between-group difference</w:t>
      </w:r>
      <w:proofErr w:type="gramEnd"/>
      <w:r w:rsidRPr="00783857">
        <w:rPr>
          <w:rFonts w:asciiTheme="majorBidi" w:eastAsia="Times New Roman" w:hAnsiTheme="majorBidi" w:cstheme="majorBidi"/>
        </w:rPr>
        <w:t xml:space="preserve"> was identified in the oxidative stress marker MDA. Corneal confocal microscopy outcomes were reported in only two studies of differing design and are discussed narratively.</w:t>
      </w:r>
    </w:p>
    <w:p w14:paraId="54E5CC50" w14:textId="00DE350D"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4.2 Interpretation of Primary Outcome (Sural Nerve Conduction Velocity)</w:t>
      </w:r>
    </w:p>
    <w:p w14:paraId="0EDC06FC"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 xml:space="preserve">The significant improvement in sural nerve sensory conduction velocity is the most clinically meaningful finding of this review. Sural SNCV is the most sensitive and reproducible electrodiagnostic parameter for detecting and monitoring PDN, and its improvement suggests that SGLT2 inhibition may </w:t>
      </w:r>
      <w:proofErr w:type="spellStart"/>
      <w:r w:rsidRPr="00783857">
        <w:rPr>
          <w:rFonts w:asciiTheme="majorBidi" w:eastAsia="Times New Roman" w:hAnsiTheme="majorBidi" w:cstheme="majorBidi"/>
        </w:rPr>
        <w:t>favourably</w:t>
      </w:r>
      <w:proofErr w:type="spellEnd"/>
      <w:r w:rsidRPr="00783857">
        <w:rPr>
          <w:rFonts w:asciiTheme="majorBidi" w:eastAsia="Times New Roman" w:hAnsiTheme="majorBidi" w:cstheme="majorBidi"/>
        </w:rPr>
        <w:t xml:space="preserve"> modify peripheral nerve function beyond </w:t>
      </w:r>
      <w:proofErr w:type="spellStart"/>
      <w:r w:rsidRPr="00783857">
        <w:rPr>
          <w:rFonts w:asciiTheme="majorBidi" w:eastAsia="Times New Roman" w:hAnsiTheme="majorBidi" w:cstheme="majorBidi"/>
        </w:rPr>
        <w:t>glycaemic</w:t>
      </w:r>
      <w:proofErr w:type="spellEnd"/>
      <w:r w:rsidRPr="00783857">
        <w:rPr>
          <w:rFonts w:asciiTheme="majorBidi" w:eastAsia="Times New Roman" w:hAnsiTheme="majorBidi" w:cstheme="majorBidi"/>
        </w:rPr>
        <w:t xml:space="preserve"> control alone. Several mechanisms may account for this finding...</w:t>
      </w:r>
    </w:p>
    <w:p w14:paraId="11EAA9F2" w14:textId="67A5E074"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 xml:space="preserve">(Here you </w:t>
      </w:r>
      <w:proofErr w:type="gramStart"/>
      <w:r w:rsidRPr="00783857">
        <w:rPr>
          <w:rFonts w:asciiTheme="majorBidi" w:eastAsia="Times New Roman" w:hAnsiTheme="majorBidi" w:cstheme="majorBidi"/>
        </w:rPr>
        <w:t>discuss:</w:t>
      </w:r>
      <w:proofErr w:type="gramEnd"/>
      <w:r w:rsidRPr="00783857">
        <w:rPr>
          <w:rFonts w:asciiTheme="majorBidi" w:eastAsia="Times New Roman" w:hAnsiTheme="majorBidi" w:cstheme="majorBidi"/>
        </w:rPr>
        <w:t xml:space="preserve"> improved </w:t>
      </w:r>
      <w:proofErr w:type="spellStart"/>
      <w:r w:rsidRPr="00783857">
        <w:rPr>
          <w:rFonts w:asciiTheme="majorBidi" w:eastAsia="Times New Roman" w:hAnsiTheme="majorBidi" w:cstheme="majorBidi"/>
        </w:rPr>
        <w:t>endoneurial</w:t>
      </w:r>
      <w:proofErr w:type="spellEnd"/>
      <w:r w:rsidRPr="00783857">
        <w:rPr>
          <w:rFonts w:asciiTheme="majorBidi" w:eastAsia="Times New Roman" w:hAnsiTheme="majorBidi" w:cstheme="majorBidi"/>
        </w:rPr>
        <w:t xml:space="preserve"> blood flow, reduction in oxidative stress, AMPK activation, ketone body </w:t>
      </w:r>
      <w:proofErr w:type="spellStart"/>
      <w:r w:rsidRPr="00783857">
        <w:rPr>
          <w:rFonts w:asciiTheme="majorBidi" w:eastAsia="Times New Roman" w:hAnsiTheme="majorBidi" w:cstheme="majorBidi"/>
        </w:rPr>
        <w:t>utilisation</w:t>
      </w:r>
      <w:proofErr w:type="spellEnd"/>
      <w:r w:rsidRPr="00783857">
        <w:rPr>
          <w:rFonts w:asciiTheme="majorBidi" w:eastAsia="Times New Roman" w:hAnsiTheme="majorBidi" w:cstheme="majorBidi"/>
        </w:rPr>
        <w:t xml:space="preserve"> by neural tissue, weight loss effects on nerve compression, and Na-H exchanger inhibition effects on neuronal metabolism)</w:t>
      </w:r>
    </w:p>
    <w:p w14:paraId="2962052E" w14:textId="61A0ACD7"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4.3 Sural Nerve Amplitude and Axonal Implications</w:t>
      </w:r>
    </w:p>
    <w:p w14:paraId="74687A11" w14:textId="6C138C38"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The concurrent improvement in sural nerve sensory amplitude is of particular significance, as amplitude reflects the density of functioning axons rather than conduction speed alone. A meaningful increase in amplitude suggests not merely improved myelin function but possible axonal preservation or early regeneration — an outcome that has historically been difficult to achieve with existing treatments for PDN...</w:t>
      </w:r>
    </w:p>
    <w:p w14:paraId="4B2D51CC" w14:textId="44F7318F"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4.4 Motor Nerve Findings (Peroneal)</w:t>
      </w:r>
    </w:p>
    <w:p w14:paraId="57010B06" w14:textId="5A352678"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 xml:space="preserve">Peroneal nerve motor latency was significantly reduced in the SGLT2i group, consistent with improved motor conduction through the common peroneal nerve — a nerve frequently affected in </w:t>
      </w:r>
      <w:r w:rsidRPr="00783857">
        <w:rPr>
          <w:rFonts w:asciiTheme="majorBidi" w:eastAsia="Times New Roman" w:hAnsiTheme="majorBidi" w:cstheme="majorBidi"/>
        </w:rPr>
        <w:lastRenderedPageBreak/>
        <w:t>length-dependent diabetic neuropathy. However, no significant differences were identified in peroneal nerve motor velocity or amplitude. These null findings should be interpreted with considerable caution: only two studies contributed to these analyses, rendering them substantially underpowered to detect a clinically meaningful effect. The absence of statistical significance here does not constitute evidence of no effect.</w:t>
      </w:r>
    </w:p>
    <w:p w14:paraId="46CCEE56" w14:textId="4411BC89"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4.5 Corneal Confocal Microscopy Outcomes</w:t>
      </w:r>
    </w:p>
    <w:p w14:paraId="3BCC4A84" w14:textId="777A9FAB"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 xml:space="preserve">Corneal confocal microscopy is an emerging non-invasive tool for quantifying small </w:t>
      </w:r>
      <w:proofErr w:type="spellStart"/>
      <w:r w:rsidRPr="00783857">
        <w:rPr>
          <w:rFonts w:asciiTheme="majorBidi" w:eastAsia="Times New Roman" w:hAnsiTheme="majorBidi" w:cstheme="majorBidi"/>
        </w:rPr>
        <w:t>fibre</w:t>
      </w:r>
      <w:proofErr w:type="spellEnd"/>
      <w:r w:rsidRPr="00783857">
        <w:rPr>
          <w:rFonts w:asciiTheme="majorBidi" w:eastAsia="Times New Roman" w:hAnsiTheme="majorBidi" w:cstheme="majorBidi"/>
        </w:rPr>
        <w:t xml:space="preserve"> neuropathy through measurement of corneal nerve </w:t>
      </w:r>
      <w:proofErr w:type="spellStart"/>
      <w:r w:rsidRPr="00783857">
        <w:rPr>
          <w:rFonts w:asciiTheme="majorBidi" w:eastAsia="Times New Roman" w:hAnsiTheme="majorBidi" w:cstheme="majorBidi"/>
        </w:rPr>
        <w:t>fibre</w:t>
      </w:r>
      <w:proofErr w:type="spellEnd"/>
      <w:r w:rsidRPr="00783857">
        <w:rPr>
          <w:rFonts w:asciiTheme="majorBidi" w:eastAsia="Times New Roman" w:hAnsiTheme="majorBidi" w:cstheme="majorBidi"/>
        </w:rPr>
        <w:t xml:space="preserve"> density (CNFD), length (CNFL), and branch density (CNBD). Two studies — one RCT and one prospective cohort — reported these outcomes. Given the heterogeneity in study design and the small number of studies, pooled analysis of CCM outcomes was not considered to provide robust evidence, and these are presented narratively. Neither study demonstrated a statistically significant change in CCM parameters attributable to SGLT2 inhibition, though the prospective cohort design of [study name] introduces confounding that limits causal inference. Larger RCTs with CCM as a pre-specified outcome are needed before conclusions can be drawn.</w:t>
      </w:r>
    </w:p>
    <w:p w14:paraId="47619209" w14:textId="364C6366"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4.6 Oxidative Stress (MDA)</w:t>
      </w:r>
    </w:p>
    <w:p w14:paraId="0AD2A823" w14:textId="2B8E18B2"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Malondialdehyde was used as a marker of lipid peroxidation and oxidative stress in two RCTs. The meta-analysis did not demonstrate a significant between-group difference. While preclinical evidence supports a role for SGLT2 inhibitors in reducing oxidative stress through NLRP3 inflammasome suppression and mitochondrial protection, this was not reflected in the clinical MDA data in the current review. This may reflect the small number of studies, heterogeneity in MDA measurement methodology, or a genuinely modest effect on systemic oxidative stress markers at the doses studied.</w:t>
      </w:r>
    </w:p>
    <w:p w14:paraId="4E88ECED" w14:textId="77777777"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4.7 Limitations</w:t>
      </w:r>
    </w:p>
    <w:p w14:paraId="75F6325C"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Key points to include:</w:t>
      </w:r>
    </w:p>
    <w:p w14:paraId="00F6F3B4"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Small number of studies overall; very small number per outcome</w:t>
      </w:r>
    </w:p>
    <w:p w14:paraId="1CEFF2AC"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Heterogeneity in SGLT2i agents used (empagliflozin, dapagliflozin, etc</w:t>
      </w:r>
      <w:proofErr w:type="gramStart"/>
      <w:r w:rsidRPr="00783857">
        <w:rPr>
          <w:rFonts w:asciiTheme="majorBidi" w:eastAsia="Times New Roman" w:hAnsiTheme="majorBidi" w:cstheme="majorBidi"/>
        </w:rPr>
        <w:t>.) —</w:t>
      </w:r>
      <w:proofErr w:type="gramEnd"/>
      <w:r w:rsidRPr="00783857">
        <w:rPr>
          <w:rFonts w:asciiTheme="majorBidi" w:eastAsia="Times New Roman" w:hAnsiTheme="majorBidi" w:cstheme="majorBidi"/>
        </w:rPr>
        <w:t xml:space="preserve"> class effect assumed but not proven</w:t>
      </w:r>
    </w:p>
    <w:p w14:paraId="3C3D5F64"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Variability in PDN severity at baseline across studies</w:t>
      </w:r>
    </w:p>
    <w:p w14:paraId="1981596F"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Short follow-up durations — NCS changes may require longer observation</w:t>
      </w:r>
    </w:p>
    <w:p w14:paraId="1250A7E2"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The bilateral data issue in El Haggar 2024 and how you handled it</w:t>
      </w:r>
    </w:p>
    <w:p w14:paraId="3B453130" w14:textId="77777777"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lastRenderedPageBreak/>
        <w:t>The single-arm study contributing only narrative evidence</w:t>
      </w:r>
    </w:p>
    <w:p w14:paraId="198781B3" w14:textId="055639F0" w:rsidR="00200DF4" w:rsidRPr="00783857" w:rsidRDefault="00000000" w:rsidP="0087250D">
      <w:pPr>
        <w:spacing w:after="240" w:line="360" w:lineRule="auto"/>
        <w:rPr>
          <w:rFonts w:asciiTheme="majorBidi" w:eastAsia="Times New Roman" w:hAnsiTheme="majorBidi" w:cstheme="majorBidi"/>
        </w:rPr>
      </w:pPr>
      <w:r w:rsidRPr="00783857">
        <w:rPr>
          <w:rFonts w:asciiTheme="majorBidi" w:eastAsia="Times New Roman" w:hAnsiTheme="majorBidi" w:cstheme="majorBidi"/>
        </w:rPr>
        <w:t xml:space="preserve">Inability to separate SGLT2i effects from concurrent </w:t>
      </w:r>
      <w:proofErr w:type="spellStart"/>
      <w:r w:rsidRPr="00783857">
        <w:rPr>
          <w:rFonts w:asciiTheme="majorBidi" w:eastAsia="Times New Roman" w:hAnsiTheme="majorBidi" w:cstheme="majorBidi"/>
        </w:rPr>
        <w:t>glycaemic</w:t>
      </w:r>
      <w:proofErr w:type="spellEnd"/>
      <w:r w:rsidRPr="00783857">
        <w:rPr>
          <w:rFonts w:asciiTheme="majorBidi" w:eastAsia="Times New Roman" w:hAnsiTheme="majorBidi" w:cstheme="majorBidi"/>
        </w:rPr>
        <w:t xml:space="preserve"> improvement</w:t>
      </w:r>
    </w:p>
    <w:p w14:paraId="2C3A6F71" w14:textId="2CE86604" w:rsidR="00200DF4" w:rsidRPr="0087250D" w:rsidRDefault="00000000" w:rsidP="0087250D">
      <w:pPr>
        <w:spacing w:after="240" w:line="360" w:lineRule="auto"/>
        <w:rPr>
          <w:rFonts w:asciiTheme="majorBidi" w:eastAsia="Times New Roman" w:hAnsiTheme="majorBidi" w:cstheme="majorBidi"/>
          <w:b/>
          <w:bCs/>
          <w:i/>
          <w:iCs/>
        </w:rPr>
      </w:pPr>
      <w:r w:rsidRPr="0087250D">
        <w:rPr>
          <w:rFonts w:asciiTheme="majorBidi" w:eastAsia="Times New Roman" w:hAnsiTheme="majorBidi" w:cstheme="majorBidi"/>
          <w:b/>
          <w:bCs/>
          <w:i/>
          <w:iCs/>
        </w:rPr>
        <w:t>4.8 Clinical Implications and Future Research</w:t>
      </w:r>
    </w:p>
    <w:p w14:paraId="58D20051" w14:textId="77777777" w:rsidR="00200DF4" w:rsidRDefault="00000000" w:rsidP="0087250D">
      <w:pPr>
        <w:spacing w:after="240" w:line="360" w:lineRule="auto"/>
        <w:rPr>
          <w:rFonts w:ascii="Times New Roman" w:eastAsia="Times New Roman" w:hAnsi="Times New Roman" w:cs="Times New Roman"/>
        </w:rPr>
      </w:pPr>
      <w:r w:rsidRPr="00783857">
        <w:rPr>
          <w:rFonts w:asciiTheme="majorBidi" w:eastAsia="Gungsuh" w:hAnsiTheme="majorBidi" w:cstheme="majorBidi"/>
        </w:rPr>
        <w:t xml:space="preserve">If confirmed in larger trials, the neuroprotective effects suggested by improved sural nerve parameters would represent a significant advancement in PDN management, a condition with very limited disease-modifying options. Future trials should pre-specify NCS parameters as primary outcomes, include CCM as a </w:t>
      </w:r>
      <w:proofErr w:type="spellStart"/>
      <w:r w:rsidRPr="00783857">
        <w:rPr>
          <w:rFonts w:asciiTheme="majorBidi" w:eastAsia="Gungsuh" w:hAnsiTheme="majorBidi" w:cstheme="majorBidi"/>
        </w:rPr>
        <w:t>standardised</w:t>
      </w:r>
      <w:proofErr w:type="spellEnd"/>
      <w:r w:rsidRPr="00783857">
        <w:rPr>
          <w:rFonts w:asciiTheme="majorBidi" w:eastAsia="Gungsuh" w:hAnsiTheme="majorBidi" w:cstheme="majorBidi"/>
        </w:rPr>
        <w:t xml:space="preserve"> secondary measure, use longer follow-up periods (≥12 months), and stratify by neuropathy severity at baseline...</w:t>
      </w:r>
      <w:r>
        <w:br w:type="page"/>
      </w:r>
    </w:p>
    <w:p w14:paraId="0B62FB18" w14:textId="77777777" w:rsidR="00200DF4" w:rsidRDefault="00000000" w:rsidP="00AC58D8">
      <w:pPr>
        <w:spacing w:after="120" w:line="360" w:lineRule="auto"/>
        <w:rPr>
          <w:rFonts w:ascii="Times New Roman" w:eastAsia="Times New Roman" w:hAnsi="Times New Roman" w:cs="Times New Roman"/>
        </w:rPr>
      </w:pPr>
      <w:r>
        <w:rPr>
          <w:rFonts w:ascii="Times New Roman" w:eastAsia="Times New Roman" w:hAnsi="Times New Roman" w:cs="Times New Roman"/>
        </w:rPr>
        <w:lastRenderedPageBreak/>
        <w:t>Disclosures: The authors have no conflict of interest to disclose.</w:t>
      </w:r>
    </w:p>
    <w:p w14:paraId="6F478F1F" w14:textId="77777777" w:rsidR="00200DF4" w:rsidRDefault="00200DF4" w:rsidP="00AC58D8">
      <w:pPr>
        <w:spacing w:after="120" w:line="360" w:lineRule="auto"/>
        <w:rPr>
          <w:rFonts w:ascii="Times New Roman" w:eastAsia="Times New Roman" w:hAnsi="Times New Roman" w:cs="Times New Roman"/>
        </w:rPr>
      </w:pPr>
    </w:p>
    <w:p w14:paraId="274A9C70" w14:textId="77777777" w:rsidR="00200DF4" w:rsidRDefault="00000000" w:rsidP="00AC58D8">
      <w:pPr>
        <w:spacing w:after="120" w:line="360" w:lineRule="auto"/>
        <w:rPr>
          <w:rFonts w:ascii="Times New Roman" w:eastAsia="Times New Roman" w:hAnsi="Times New Roman" w:cs="Times New Roman"/>
        </w:rPr>
      </w:pPr>
      <w:r>
        <w:rPr>
          <w:rFonts w:ascii="Times New Roman" w:eastAsia="Times New Roman" w:hAnsi="Times New Roman" w:cs="Times New Roman"/>
        </w:rPr>
        <w:t>Acknowledgments:</w:t>
      </w:r>
    </w:p>
    <w:p w14:paraId="7460380C" w14:textId="77777777" w:rsidR="00200DF4" w:rsidRDefault="00200DF4" w:rsidP="00AC58D8">
      <w:pPr>
        <w:spacing w:after="120" w:line="360" w:lineRule="auto"/>
        <w:rPr>
          <w:rFonts w:ascii="Times New Roman" w:eastAsia="Times New Roman" w:hAnsi="Times New Roman" w:cs="Times New Roman"/>
        </w:rPr>
      </w:pPr>
    </w:p>
    <w:p w14:paraId="2A530984" w14:textId="77777777" w:rsidR="00200DF4" w:rsidRDefault="00000000" w:rsidP="00AC58D8">
      <w:pPr>
        <w:spacing w:after="120" w:line="360" w:lineRule="auto"/>
        <w:rPr>
          <w:rFonts w:ascii="Times New Roman" w:eastAsia="Times New Roman" w:hAnsi="Times New Roman" w:cs="Times New Roman"/>
        </w:rPr>
      </w:pPr>
      <w:r>
        <w:rPr>
          <w:rFonts w:ascii="Times New Roman" w:eastAsia="Times New Roman" w:hAnsi="Times New Roman" w:cs="Times New Roman"/>
        </w:rPr>
        <w:t xml:space="preserve">Availability of data: Data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available </w:t>
      </w:r>
      <w:proofErr w:type="gramStart"/>
      <w:r>
        <w:rPr>
          <w:rFonts w:ascii="Times New Roman" w:eastAsia="Times New Roman" w:hAnsi="Times New Roman" w:cs="Times New Roman"/>
        </w:rPr>
        <w:t>upon</w:t>
      </w:r>
      <w:proofErr w:type="gramEnd"/>
      <w:r>
        <w:rPr>
          <w:rFonts w:ascii="Times New Roman" w:eastAsia="Times New Roman" w:hAnsi="Times New Roman" w:cs="Times New Roman"/>
        </w:rPr>
        <w:t xml:space="preserve"> reasonable request from corresponding author.</w:t>
      </w:r>
    </w:p>
    <w:p w14:paraId="4EA0C8D2" w14:textId="77777777" w:rsidR="00200DF4" w:rsidRDefault="00200DF4" w:rsidP="00AC58D8">
      <w:pPr>
        <w:spacing w:after="120" w:line="360" w:lineRule="auto"/>
        <w:rPr>
          <w:rFonts w:ascii="Times New Roman" w:eastAsia="Times New Roman" w:hAnsi="Times New Roman" w:cs="Times New Roman"/>
        </w:rPr>
      </w:pPr>
    </w:p>
    <w:p w14:paraId="0944FF27" w14:textId="77777777" w:rsidR="00200DF4" w:rsidRDefault="00000000" w:rsidP="00AC58D8">
      <w:pPr>
        <w:spacing w:after="120" w:line="360" w:lineRule="auto"/>
        <w:rPr>
          <w:rFonts w:ascii="Times New Roman" w:eastAsia="Times New Roman" w:hAnsi="Times New Roman" w:cs="Times New Roman"/>
        </w:rPr>
      </w:pPr>
      <w:r>
        <w:rPr>
          <w:rFonts w:ascii="Times New Roman" w:eastAsia="Times New Roman" w:hAnsi="Times New Roman" w:cs="Times New Roman"/>
        </w:rPr>
        <w:t>Funding source: None to declare</w:t>
      </w:r>
    </w:p>
    <w:p w14:paraId="36FD2CFF" w14:textId="77777777" w:rsidR="00200DF4" w:rsidRDefault="00000000" w:rsidP="00AC58D8">
      <w:pPr>
        <w:spacing w:after="120" w:line="360" w:lineRule="auto"/>
        <w:rPr>
          <w:rFonts w:ascii="Times New Roman" w:eastAsia="Times New Roman" w:hAnsi="Times New Roman" w:cs="Times New Roman"/>
        </w:rPr>
      </w:pPr>
      <w:r>
        <w:br w:type="page"/>
      </w:r>
    </w:p>
    <w:p w14:paraId="29B40476" w14:textId="77777777" w:rsidR="00200DF4" w:rsidRDefault="00000000" w:rsidP="00AC58D8">
      <w:pPr>
        <w:pStyle w:val="Heading1"/>
        <w:spacing w:line="360" w:lineRule="auto"/>
        <w:rPr>
          <w:rFonts w:ascii="Times New Roman" w:eastAsia="Times New Roman" w:hAnsi="Times New Roman" w:cs="Times New Roman"/>
          <w:sz w:val="22"/>
          <w:szCs w:val="22"/>
        </w:rPr>
      </w:pPr>
      <w:bookmarkStart w:id="4" w:name="_6d595nyjjl68" w:colFirst="0" w:colLast="0"/>
      <w:bookmarkEnd w:id="4"/>
      <w:r>
        <w:rPr>
          <w:rFonts w:ascii="Times New Roman" w:eastAsia="Times New Roman" w:hAnsi="Times New Roman" w:cs="Times New Roman"/>
          <w:sz w:val="22"/>
          <w:szCs w:val="22"/>
        </w:rPr>
        <w:lastRenderedPageBreak/>
        <w:t>5. References</w:t>
      </w:r>
    </w:p>
    <w:p w14:paraId="05035806" w14:textId="77777777" w:rsidR="00AC58D8" w:rsidRPr="00AC58D8" w:rsidRDefault="00AC58D8" w:rsidP="00AC58D8">
      <w:pPr>
        <w:pStyle w:val="Bibliography"/>
        <w:spacing w:after="120" w:line="360" w:lineRule="auto"/>
      </w:pPr>
      <w:r>
        <w:fldChar w:fldCharType="begin"/>
      </w:r>
      <w:r>
        <w:instrText xml:space="preserve"> ADDIN ZOTERO_BIBL {"uncited":[],"omitted":[],"custom":[]} CSL_BIBLIOGRAPHY </w:instrText>
      </w:r>
      <w:r>
        <w:fldChar w:fldCharType="separate"/>
      </w:r>
      <w:r w:rsidRPr="00AC58D8">
        <w:t>[1</w:t>
      </w:r>
      <w:proofErr w:type="gramStart"/>
      <w:r w:rsidRPr="00AC58D8">
        <w:t xml:space="preserve">] </w:t>
      </w:r>
      <w:r w:rsidRPr="00AC58D8">
        <w:tab/>
        <w:t>Higgins</w:t>
      </w:r>
      <w:proofErr w:type="gramEnd"/>
      <w:r w:rsidRPr="00AC58D8">
        <w:t xml:space="preserve"> JPT, Thomas J, Chandler J, et al. </w:t>
      </w:r>
      <w:r w:rsidRPr="00AC58D8">
        <w:rPr>
          <w:i/>
          <w:iCs/>
        </w:rPr>
        <w:t>Cochrane Handbook for Systematic Reviews of Interventions</w:t>
      </w:r>
      <w:r w:rsidRPr="00AC58D8">
        <w:t>. Version 6.5 (updated August 2024). Cochrane, www.cochrane.org/handbook (2024).</w:t>
      </w:r>
    </w:p>
    <w:p w14:paraId="6C54873D" w14:textId="77777777" w:rsidR="00AC58D8" w:rsidRPr="00AC58D8" w:rsidRDefault="00AC58D8" w:rsidP="00AC58D8">
      <w:pPr>
        <w:pStyle w:val="Bibliography"/>
        <w:spacing w:after="120" w:line="360" w:lineRule="auto"/>
      </w:pPr>
      <w:r w:rsidRPr="00AC58D8">
        <w:t>[2</w:t>
      </w:r>
      <w:proofErr w:type="gramStart"/>
      <w:r w:rsidRPr="00AC58D8">
        <w:t xml:space="preserve">] </w:t>
      </w:r>
      <w:r w:rsidRPr="00AC58D8">
        <w:tab/>
        <w:t>Page</w:t>
      </w:r>
      <w:proofErr w:type="gramEnd"/>
      <w:r w:rsidRPr="00AC58D8">
        <w:t xml:space="preserve"> MJ, McKenzie JE, Bossuyt PM, et al. The PRISMA 2020 statement: an updated guideline for reporting systematic reviews. </w:t>
      </w:r>
      <w:r w:rsidRPr="00AC58D8">
        <w:rPr>
          <w:i/>
          <w:iCs/>
        </w:rPr>
        <w:t>BMJ</w:t>
      </w:r>
      <w:r w:rsidRPr="00AC58D8">
        <w:t xml:space="preserve"> 2021; n71.</w:t>
      </w:r>
    </w:p>
    <w:p w14:paraId="01D51DAF" w14:textId="77777777" w:rsidR="00AC58D8" w:rsidRPr="00AC58D8" w:rsidRDefault="00AC58D8" w:rsidP="00AC58D8">
      <w:pPr>
        <w:pStyle w:val="Bibliography"/>
        <w:spacing w:after="120" w:line="360" w:lineRule="auto"/>
      </w:pPr>
      <w:r w:rsidRPr="00AC58D8">
        <w:t xml:space="preserve">[3] </w:t>
      </w:r>
      <w:r w:rsidRPr="00AC58D8">
        <w:tab/>
        <w:t xml:space="preserve">Sterne JAC, Savović J, Page MJ, et al. </w:t>
      </w:r>
      <w:proofErr w:type="spellStart"/>
      <w:r w:rsidRPr="00AC58D8">
        <w:t>RoB</w:t>
      </w:r>
      <w:proofErr w:type="spellEnd"/>
      <w:r w:rsidRPr="00AC58D8">
        <w:t xml:space="preserve"> 2: a revised tool for assessing risk of bias in </w:t>
      </w:r>
      <w:proofErr w:type="spellStart"/>
      <w:r w:rsidRPr="00AC58D8">
        <w:t>randomised</w:t>
      </w:r>
      <w:proofErr w:type="spellEnd"/>
      <w:r w:rsidRPr="00AC58D8">
        <w:t xml:space="preserve"> trials. </w:t>
      </w:r>
      <w:r w:rsidRPr="00AC58D8">
        <w:rPr>
          <w:i/>
          <w:iCs/>
        </w:rPr>
        <w:t>BMJ</w:t>
      </w:r>
      <w:r w:rsidRPr="00AC58D8">
        <w:t xml:space="preserve"> 2019; l4898.</w:t>
      </w:r>
    </w:p>
    <w:p w14:paraId="67E0730D" w14:textId="77777777" w:rsidR="00AC58D8" w:rsidRPr="00AC58D8" w:rsidRDefault="00AC58D8" w:rsidP="00AC58D8">
      <w:pPr>
        <w:pStyle w:val="Bibliography"/>
        <w:spacing w:after="120" w:line="360" w:lineRule="auto"/>
      </w:pPr>
      <w:r w:rsidRPr="00AC58D8">
        <w:t xml:space="preserve">[4] </w:t>
      </w:r>
      <w:r w:rsidRPr="00AC58D8">
        <w:tab/>
        <w:t xml:space="preserve">Ishibashi F, Kosaka A, Tavakoli M. Sodium Glucose Cotransporter-2 Inhibitor Protects Against Diabetic Neuropathy and Nephropathy in Modestly Controlled Type 2 Diabetes: Follow-Up Study. </w:t>
      </w:r>
      <w:r w:rsidRPr="00AC58D8">
        <w:rPr>
          <w:i/>
          <w:iCs/>
        </w:rPr>
        <w:t>Front Endocrinol</w:t>
      </w:r>
      <w:r w:rsidRPr="00AC58D8">
        <w:t xml:space="preserve"> 2022; 13: 864332.</w:t>
      </w:r>
    </w:p>
    <w:p w14:paraId="28AAA792" w14:textId="77777777" w:rsidR="00AC58D8" w:rsidRPr="00AC58D8" w:rsidRDefault="00AC58D8" w:rsidP="00AC58D8">
      <w:pPr>
        <w:pStyle w:val="Bibliography"/>
        <w:spacing w:after="120" w:line="360" w:lineRule="auto"/>
      </w:pPr>
      <w:r w:rsidRPr="00AC58D8">
        <w:t xml:space="preserve">[5] </w:t>
      </w:r>
      <w:r w:rsidRPr="00AC58D8">
        <w:tab/>
      </w:r>
      <w:proofErr w:type="spellStart"/>
      <w:r w:rsidRPr="00AC58D8">
        <w:t>Klabuzai</w:t>
      </w:r>
      <w:proofErr w:type="spellEnd"/>
      <w:r w:rsidRPr="00AC58D8">
        <w:t xml:space="preserve"> Á, Bekő V, Sütő Z, et al. The Impact of SGLT-2 Inhibitors on Hydroxyl Radical Markers and Diabetic Neuropathy: A Short-Term Clinical Study. </w:t>
      </w:r>
      <w:r w:rsidRPr="00AC58D8">
        <w:rPr>
          <w:i/>
          <w:iCs/>
        </w:rPr>
        <w:t>Antioxidants</w:t>
      </w:r>
      <w:r w:rsidRPr="00AC58D8">
        <w:t xml:space="preserve"> 2025; 14: 289.</w:t>
      </w:r>
    </w:p>
    <w:p w14:paraId="35EB6175" w14:textId="77777777" w:rsidR="00AC58D8" w:rsidRPr="00AC58D8" w:rsidRDefault="00AC58D8" w:rsidP="00AC58D8">
      <w:pPr>
        <w:pStyle w:val="Bibliography"/>
        <w:spacing w:after="120" w:line="360" w:lineRule="auto"/>
      </w:pPr>
      <w:r w:rsidRPr="00AC58D8">
        <w:t xml:space="preserve">[6] </w:t>
      </w:r>
      <w:r w:rsidRPr="00AC58D8">
        <w:tab/>
        <w:t>Sterne JA, Hernán MA, Reeves BC, et al. ROBINS-I: a tool for assessing risk of bias in non-</w:t>
      </w:r>
      <w:proofErr w:type="spellStart"/>
      <w:r w:rsidRPr="00AC58D8">
        <w:t>randomised</w:t>
      </w:r>
      <w:proofErr w:type="spellEnd"/>
      <w:r w:rsidRPr="00AC58D8">
        <w:t xml:space="preserve"> studies of interventions. </w:t>
      </w:r>
      <w:r w:rsidRPr="00AC58D8">
        <w:rPr>
          <w:i/>
          <w:iCs/>
        </w:rPr>
        <w:t>BMJ</w:t>
      </w:r>
      <w:r w:rsidRPr="00AC58D8">
        <w:t xml:space="preserve"> 2016; i4919.</w:t>
      </w:r>
    </w:p>
    <w:p w14:paraId="2206A20B" w14:textId="77777777" w:rsidR="00AC58D8" w:rsidRPr="00AC58D8" w:rsidRDefault="00AC58D8" w:rsidP="00AC58D8">
      <w:pPr>
        <w:pStyle w:val="Bibliography"/>
        <w:spacing w:after="120" w:line="360" w:lineRule="auto"/>
      </w:pPr>
      <w:r w:rsidRPr="00AC58D8">
        <w:t>[7</w:t>
      </w:r>
      <w:proofErr w:type="gramStart"/>
      <w:r w:rsidRPr="00AC58D8">
        <w:t xml:space="preserve">] </w:t>
      </w:r>
      <w:r w:rsidRPr="00AC58D8">
        <w:tab/>
      </w:r>
      <w:proofErr w:type="spellStart"/>
      <w:r w:rsidRPr="00AC58D8">
        <w:t>Vafaeinasab</w:t>
      </w:r>
      <w:proofErr w:type="spellEnd"/>
      <w:proofErr w:type="gramEnd"/>
      <w:r w:rsidRPr="00AC58D8">
        <w:t xml:space="preserve"> M, Mirzaei </w:t>
      </w:r>
      <w:proofErr w:type="spellStart"/>
      <w:r w:rsidRPr="00AC58D8">
        <w:t>Malekabad</w:t>
      </w:r>
      <w:proofErr w:type="spellEnd"/>
      <w:r w:rsidRPr="00AC58D8">
        <w:t xml:space="preserve"> F, Khatibi A, et al. The Comparison of the Effect of Adding Empagliflozin to the Medication Regimen on Peripheral Neuropathy in Patients </w:t>
      </w:r>
      <w:proofErr w:type="gramStart"/>
      <w:r w:rsidRPr="00AC58D8">
        <w:t>With</w:t>
      </w:r>
      <w:proofErr w:type="gramEnd"/>
      <w:r w:rsidRPr="00AC58D8">
        <w:t xml:space="preserve"> Type </w:t>
      </w:r>
      <w:r w:rsidRPr="00AC58D8">
        <w:rPr>
          <w:smallCaps/>
        </w:rPr>
        <w:t>II</w:t>
      </w:r>
      <w:r w:rsidRPr="00AC58D8">
        <w:t xml:space="preserve"> Diabetes: A Double Blind </w:t>
      </w:r>
      <w:proofErr w:type="spellStart"/>
      <w:r w:rsidRPr="00AC58D8">
        <w:t>Randomised</w:t>
      </w:r>
      <w:proofErr w:type="spellEnd"/>
      <w:r w:rsidRPr="00AC58D8">
        <w:t xml:space="preserve"> Clinical Trial. </w:t>
      </w:r>
      <w:r w:rsidRPr="00AC58D8">
        <w:rPr>
          <w:i/>
          <w:iCs/>
        </w:rPr>
        <w:t xml:space="preserve">Endocrinol Diabetes </w:t>
      </w:r>
      <w:proofErr w:type="spellStart"/>
      <w:r w:rsidRPr="00AC58D8">
        <w:rPr>
          <w:i/>
          <w:iCs/>
        </w:rPr>
        <w:t>Metab</w:t>
      </w:r>
      <w:proofErr w:type="spellEnd"/>
      <w:r w:rsidRPr="00AC58D8">
        <w:t xml:space="preserve"> 2025; 8: e70128.</w:t>
      </w:r>
    </w:p>
    <w:p w14:paraId="73833FFB" w14:textId="77777777" w:rsidR="00AC58D8" w:rsidRPr="00AC58D8" w:rsidRDefault="00AC58D8" w:rsidP="00AC58D8">
      <w:pPr>
        <w:pStyle w:val="Bibliography"/>
        <w:spacing w:after="120" w:line="360" w:lineRule="auto"/>
      </w:pPr>
      <w:r w:rsidRPr="00AC58D8">
        <w:t>[8</w:t>
      </w:r>
      <w:proofErr w:type="gramStart"/>
      <w:r w:rsidRPr="00AC58D8">
        <w:t xml:space="preserve">] </w:t>
      </w:r>
      <w:r w:rsidRPr="00AC58D8">
        <w:tab/>
        <w:t>Adhikari</w:t>
      </w:r>
      <w:proofErr w:type="gramEnd"/>
      <w:r w:rsidRPr="00AC58D8">
        <w:t xml:space="preserve"> U, Gad H, Chatterjee D, et al. Dapagliflozin for Small Nerve </w:t>
      </w:r>
      <w:proofErr w:type="spellStart"/>
      <w:r w:rsidRPr="00AC58D8">
        <w:t>Fibre</w:t>
      </w:r>
      <w:proofErr w:type="spellEnd"/>
      <w:r w:rsidRPr="00AC58D8">
        <w:t xml:space="preserve"> Regeneration in Diabetic Peripheral Neuropathy: A </w:t>
      </w:r>
      <w:proofErr w:type="spellStart"/>
      <w:r w:rsidRPr="00AC58D8">
        <w:t>Randomised</w:t>
      </w:r>
      <w:proofErr w:type="spellEnd"/>
      <w:r w:rsidRPr="00AC58D8">
        <w:t xml:space="preserve"> Controlled Study </w:t>
      </w:r>
      <w:proofErr w:type="gramStart"/>
      <w:r w:rsidRPr="00AC58D8">
        <w:t xml:space="preserve">( </w:t>
      </w:r>
      <w:r w:rsidRPr="00AC58D8">
        <w:rPr>
          <w:smallCaps/>
        </w:rPr>
        <w:t>DINE</w:t>
      </w:r>
      <w:proofErr w:type="gramEnd"/>
      <w:r w:rsidRPr="00AC58D8">
        <w:t xml:space="preserve"> ). </w:t>
      </w:r>
      <w:r w:rsidRPr="00AC58D8">
        <w:rPr>
          <w:i/>
          <w:iCs/>
        </w:rPr>
        <w:t xml:space="preserve">J </w:t>
      </w:r>
      <w:proofErr w:type="spellStart"/>
      <w:r w:rsidRPr="00AC58D8">
        <w:rPr>
          <w:i/>
          <w:iCs/>
        </w:rPr>
        <w:t>Peripher</w:t>
      </w:r>
      <w:proofErr w:type="spellEnd"/>
      <w:r w:rsidRPr="00AC58D8">
        <w:rPr>
          <w:i/>
          <w:iCs/>
        </w:rPr>
        <w:t xml:space="preserve"> </w:t>
      </w:r>
      <w:proofErr w:type="spellStart"/>
      <w:r w:rsidRPr="00AC58D8">
        <w:rPr>
          <w:i/>
          <w:iCs/>
        </w:rPr>
        <w:t>Nerv</w:t>
      </w:r>
      <w:proofErr w:type="spellEnd"/>
      <w:r w:rsidRPr="00AC58D8">
        <w:rPr>
          <w:i/>
          <w:iCs/>
        </w:rPr>
        <w:t xml:space="preserve"> Syst</w:t>
      </w:r>
      <w:r w:rsidRPr="00AC58D8">
        <w:t xml:space="preserve"> 2025; 30: e70011.</w:t>
      </w:r>
    </w:p>
    <w:p w14:paraId="0D3A8509" w14:textId="77777777" w:rsidR="00AC58D8" w:rsidRPr="00AC58D8" w:rsidRDefault="00AC58D8" w:rsidP="00AC58D8">
      <w:pPr>
        <w:pStyle w:val="Bibliography"/>
        <w:spacing w:after="120" w:line="360" w:lineRule="auto"/>
      </w:pPr>
      <w:r w:rsidRPr="00AC58D8">
        <w:t>[9</w:t>
      </w:r>
      <w:proofErr w:type="gramStart"/>
      <w:r w:rsidRPr="00AC58D8">
        <w:t xml:space="preserve">] </w:t>
      </w:r>
      <w:r w:rsidRPr="00AC58D8">
        <w:tab/>
        <w:t>El</w:t>
      </w:r>
      <w:proofErr w:type="gramEnd"/>
      <w:r w:rsidRPr="00AC58D8">
        <w:t xml:space="preserve">-Haggar SM, Hafez YM, El </w:t>
      </w:r>
      <w:proofErr w:type="spellStart"/>
      <w:r w:rsidRPr="00AC58D8">
        <w:t>Sharkawy</w:t>
      </w:r>
      <w:proofErr w:type="spellEnd"/>
      <w:r w:rsidRPr="00AC58D8">
        <w:t xml:space="preserve"> AM, et al. Effect of empagliflozin in peripheral diabetic neuropathy of patients with type 2 diabetes mellitus. </w:t>
      </w:r>
      <w:r w:rsidRPr="00AC58D8">
        <w:rPr>
          <w:i/>
          <w:iCs/>
        </w:rPr>
        <w:t>Med Clínica Engl Ed</w:t>
      </w:r>
      <w:r w:rsidRPr="00AC58D8">
        <w:t xml:space="preserve"> 2024; 163: 53–61.</w:t>
      </w:r>
    </w:p>
    <w:p w14:paraId="190E5FB2" w14:textId="77777777" w:rsidR="00AC58D8" w:rsidRPr="00AC58D8" w:rsidRDefault="00AC58D8" w:rsidP="00AC58D8">
      <w:pPr>
        <w:pStyle w:val="Bibliography"/>
        <w:spacing w:after="120" w:line="360" w:lineRule="auto"/>
      </w:pPr>
      <w:r w:rsidRPr="00AC58D8">
        <w:t>[10</w:t>
      </w:r>
      <w:proofErr w:type="gramStart"/>
      <w:r w:rsidRPr="00AC58D8">
        <w:t xml:space="preserve">] </w:t>
      </w:r>
      <w:r w:rsidRPr="00AC58D8">
        <w:tab/>
        <w:t>Liao</w:t>
      </w:r>
      <w:proofErr w:type="gramEnd"/>
      <w:r w:rsidRPr="00AC58D8">
        <w:t xml:space="preserve"> J, Kang A, Xia C, et al. The impact of canagliflozin on the risk of neuropathy events: A post-hoc exploratory analysis of the CREDENCE trial. </w:t>
      </w:r>
      <w:r w:rsidRPr="00AC58D8">
        <w:rPr>
          <w:i/>
          <w:iCs/>
        </w:rPr>
        <w:t xml:space="preserve">Diabetes </w:t>
      </w:r>
      <w:proofErr w:type="spellStart"/>
      <w:r w:rsidRPr="00AC58D8">
        <w:rPr>
          <w:i/>
          <w:iCs/>
        </w:rPr>
        <w:t>Metab</w:t>
      </w:r>
      <w:proofErr w:type="spellEnd"/>
      <w:r w:rsidRPr="00AC58D8">
        <w:t xml:space="preserve"> 2022; 48: 101331.</w:t>
      </w:r>
    </w:p>
    <w:p w14:paraId="5779F6B2" w14:textId="77777777" w:rsidR="00AC58D8" w:rsidRPr="00AC58D8" w:rsidRDefault="00AC58D8" w:rsidP="00AC58D8">
      <w:pPr>
        <w:pStyle w:val="Bibliography"/>
        <w:spacing w:after="120" w:line="360" w:lineRule="auto"/>
      </w:pPr>
      <w:r w:rsidRPr="00AC58D8">
        <w:t>[11</w:t>
      </w:r>
      <w:proofErr w:type="gramStart"/>
      <w:r w:rsidRPr="00AC58D8">
        <w:t xml:space="preserve">] </w:t>
      </w:r>
      <w:r w:rsidRPr="00AC58D8">
        <w:tab/>
        <w:t>Gogia</w:t>
      </w:r>
      <w:proofErr w:type="gramEnd"/>
      <w:r w:rsidRPr="00AC58D8">
        <w:t xml:space="preserve"> A, Kakar A, Gangwani A. Canagliflozin and renal outcomes in type 2 diabetes and nephropathy. </w:t>
      </w:r>
      <w:r w:rsidRPr="00AC58D8">
        <w:rPr>
          <w:i/>
          <w:iCs/>
        </w:rPr>
        <w:t xml:space="preserve">Curr Med Res </w:t>
      </w:r>
      <w:proofErr w:type="spellStart"/>
      <w:r w:rsidRPr="00AC58D8">
        <w:rPr>
          <w:i/>
          <w:iCs/>
        </w:rPr>
        <w:t>Pract</w:t>
      </w:r>
      <w:proofErr w:type="spellEnd"/>
      <w:r w:rsidRPr="00AC58D8">
        <w:t xml:space="preserve"> 2019; 9: 164.</w:t>
      </w:r>
    </w:p>
    <w:p w14:paraId="7CF9EBFE" w14:textId="77777777" w:rsidR="00AC58D8" w:rsidRPr="00AC58D8" w:rsidRDefault="00AC58D8" w:rsidP="00AC58D8">
      <w:pPr>
        <w:pStyle w:val="Bibliography"/>
        <w:spacing w:after="120" w:line="360" w:lineRule="auto"/>
      </w:pPr>
      <w:r w:rsidRPr="00AC58D8">
        <w:lastRenderedPageBreak/>
        <w:t>[12</w:t>
      </w:r>
      <w:proofErr w:type="gramStart"/>
      <w:r w:rsidRPr="00AC58D8">
        <w:t xml:space="preserve">] </w:t>
      </w:r>
      <w:r w:rsidRPr="00AC58D8">
        <w:tab/>
        <w:t>Mehta</w:t>
      </w:r>
      <w:proofErr w:type="gramEnd"/>
      <w:r w:rsidRPr="00AC58D8">
        <w:t xml:space="preserve"> S, Nain P, Agrawal BK, et al. Effectiveness of Empagliflozin </w:t>
      </w:r>
      <w:proofErr w:type="gramStart"/>
      <w:r w:rsidRPr="00AC58D8">
        <w:t>With</w:t>
      </w:r>
      <w:proofErr w:type="gramEnd"/>
      <w:r w:rsidRPr="00AC58D8">
        <w:t xml:space="preserve"> Vitamin D Supplementation in Peripheral Neuropathy in Type 2 Diabetic Patients. </w:t>
      </w:r>
      <w:r w:rsidRPr="00AC58D8">
        <w:rPr>
          <w:i/>
          <w:iCs/>
        </w:rPr>
        <w:t>Cureus</w:t>
      </w:r>
      <w:r w:rsidRPr="00AC58D8">
        <w:t xml:space="preserve">. </w:t>
      </w:r>
      <w:proofErr w:type="spellStart"/>
      <w:r w:rsidRPr="00AC58D8">
        <w:t>Epub</w:t>
      </w:r>
      <w:proofErr w:type="spellEnd"/>
      <w:r w:rsidRPr="00AC58D8">
        <w:t xml:space="preserve"> ahead of print 6 December 2021. DOI: 10.7759/cureus.20208.</w:t>
      </w:r>
    </w:p>
    <w:p w14:paraId="1ADF6D9B" w14:textId="77777777" w:rsidR="00AC58D8" w:rsidRPr="00AC58D8" w:rsidRDefault="00AC58D8" w:rsidP="00AC58D8">
      <w:pPr>
        <w:pStyle w:val="Bibliography"/>
        <w:spacing w:after="120" w:line="360" w:lineRule="auto"/>
      </w:pPr>
      <w:r w:rsidRPr="00AC58D8">
        <w:t>[13</w:t>
      </w:r>
      <w:proofErr w:type="gramStart"/>
      <w:r w:rsidRPr="00AC58D8">
        <w:t xml:space="preserve">] </w:t>
      </w:r>
      <w:r w:rsidRPr="00AC58D8">
        <w:tab/>
        <w:t>El</w:t>
      </w:r>
      <w:proofErr w:type="gramEnd"/>
      <w:r w:rsidRPr="00AC58D8">
        <w:t xml:space="preserve">-Haggar SM, Hafez YM, El </w:t>
      </w:r>
      <w:proofErr w:type="spellStart"/>
      <w:r w:rsidRPr="00AC58D8">
        <w:t>Sharkawy</w:t>
      </w:r>
      <w:proofErr w:type="spellEnd"/>
      <w:r w:rsidRPr="00AC58D8">
        <w:t xml:space="preserve"> AM, et al. Effect of empagliflozin in peripheral diabetic neuropathy of patients with type 2 diabetes mellitus. </w:t>
      </w:r>
      <w:r w:rsidRPr="00AC58D8">
        <w:rPr>
          <w:i/>
          <w:iCs/>
        </w:rPr>
        <w:t>Med Clínica</w:t>
      </w:r>
      <w:r w:rsidRPr="00AC58D8">
        <w:t xml:space="preserve"> 2024; 163: 53–61.</w:t>
      </w:r>
    </w:p>
    <w:p w14:paraId="087C9061" w14:textId="77777777" w:rsidR="00AC58D8" w:rsidRPr="00AC58D8" w:rsidRDefault="00AC58D8" w:rsidP="00AC58D8">
      <w:pPr>
        <w:pStyle w:val="Bibliography"/>
        <w:spacing w:after="120" w:line="360" w:lineRule="auto"/>
      </w:pPr>
      <w:r w:rsidRPr="00AC58D8">
        <w:t>[14</w:t>
      </w:r>
      <w:proofErr w:type="gramStart"/>
      <w:r w:rsidRPr="00AC58D8">
        <w:t xml:space="preserve">] </w:t>
      </w:r>
      <w:r w:rsidRPr="00AC58D8">
        <w:tab/>
      </w:r>
      <w:proofErr w:type="spellStart"/>
      <w:r w:rsidRPr="00AC58D8">
        <w:t>Vafaeinasab</w:t>
      </w:r>
      <w:proofErr w:type="spellEnd"/>
      <w:proofErr w:type="gramEnd"/>
      <w:r w:rsidRPr="00AC58D8">
        <w:t xml:space="preserve"> M, Mirzaei </w:t>
      </w:r>
      <w:proofErr w:type="spellStart"/>
      <w:r w:rsidRPr="00AC58D8">
        <w:t>Malekabad</w:t>
      </w:r>
      <w:proofErr w:type="spellEnd"/>
      <w:r w:rsidRPr="00AC58D8">
        <w:t xml:space="preserve"> F, Khatibi A, et al. The Comparison of the Effect of Adding Empagliflozin to the Medication Regimen on Peripheral Neuropathy in Patients </w:t>
      </w:r>
      <w:proofErr w:type="gramStart"/>
      <w:r w:rsidRPr="00AC58D8">
        <w:t>With</w:t>
      </w:r>
      <w:proofErr w:type="gramEnd"/>
      <w:r w:rsidRPr="00AC58D8">
        <w:t xml:space="preserve"> Type </w:t>
      </w:r>
      <w:r w:rsidRPr="00AC58D8">
        <w:rPr>
          <w:smallCaps/>
        </w:rPr>
        <w:t>II</w:t>
      </w:r>
      <w:r w:rsidRPr="00AC58D8">
        <w:t xml:space="preserve"> Diabetes: A Double Blind </w:t>
      </w:r>
      <w:proofErr w:type="spellStart"/>
      <w:r w:rsidRPr="00AC58D8">
        <w:t>Randomised</w:t>
      </w:r>
      <w:proofErr w:type="spellEnd"/>
      <w:r w:rsidRPr="00AC58D8">
        <w:t xml:space="preserve"> Clinical Trial. </w:t>
      </w:r>
      <w:r w:rsidRPr="00AC58D8">
        <w:rPr>
          <w:i/>
          <w:iCs/>
        </w:rPr>
        <w:t xml:space="preserve">Endocrinol Diabetes </w:t>
      </w:r>
      <w:proofErr w:type="spellStart"/>
      <w:r w:rsidRPr="00AC58D8">
        <w:rPr>
          <w:i/>
          <w:iCs/>
        </w:rPr>
        <w:t>Metab</w:t>
      </w:r>
      <w:proofErr w:type="spellEnd"/>
      <w:r w:rsidRPr="00AC58D8">
        <w:t xml:space="preserve"> 2025; 8: e70128.</w:t>
      </w:r>
    </w:p>
    <w:p w14:paraId="2DBB8E24" w14:textId="77777777" w:rsidR="00AC58D8" w:rsidRPr="00AC58D8" w:rsidRDefault="00AC58D8" w:rsidP="00AC58D8">
      <w:pPr>
        <w:pStyle w:val="Bibliography"/>
        <w:spacing w:after="120" w:line="360" w:lineRule="auto"/>
      </w:pPr>
      <w:r w:rsidRPr="00AC58D8">
        <w:t>[15</w:t>
      </w:r>
      <w:proofErr w:type="gramStart"/>
      <w:r w:rsidRPr="00AC58D8">
        <w:t xml:space="preserve">] </w:t>
      </w:r>
      <w:r w:rsidRPr="00AC58D8">
        <w:tab/>
        <w:t>Mehta</w:t>
      </w:r>
      <w:proofErr w:type="gramEnd"/>
      <w:r w:rsidRPr="00AC58D8">
        <w:t xml:space="preserve"> S, Nain P, Agrawal BK, et al. Effectiveness of Empagliflozin </w:t>
      </w:r>
      <w:proofErr w:type="gramStart"/>
      <w:r w:rsidRPr="00AC58D8">
        <w:t>With</w:t>
      </w:r>
      <w:proofErr w:type="gramEnd"/>
      <w:r w:rsidRPr="00AC58D8">
        <w:t xml:space="preserve"> Vitamin D Supplementation in Peripheral Neuropathy in Type 2 Diabetic Patients. </w:t>
      </w:r>
      <w:r w:rsidRPr="00AC58D8">
        <w:rPr>
          <w:i/>
          <w:iCs/>
        </w:rPr>
        <w:t>Cureus</w:t>
      </w:r>
      <w:r w:rsidRPr="00AC58D8">
        <w:t xml:space="preserve">. </w:t>
      </w:r>
      <w:proofErr w:type="spellStart"/>
      <w:r w:rsidRPr="00AC58D8">
        <w:t>Epub</w:t>
      </w:r>
      <w:proofErr w:type="spellEnd"/>
      <w:r w:rsidRPr="00AC58D8">
        <w:t xml:space="preserve"> ahead of print 6 December 2021. DOI: 10.7759/cureus.20208.</w:t>
      </w:r>
    </w:p>
    <w:p w14:paraId="0F48B7B3" w14:textId="77777777" w:rsidR="00AC58D8" w:rsidRPr="00AC58D8" w:rsidRDefault="00AC58D8" w:rsidP="00AC58D8">
      <w:pPr>
        <w:pStyle w:val="Bibliography"/>
        <w:spacing w:after="120" w:line="360" w:lineRule="auto"/>
      </w:pPr>
      <w:r w:rsidRPr="00AC58D8">
        <w:t xml:space="preserve">[16] </w:t>
      </w:r>
      <w:r w:rsidRPr="00AC58D8">
        <w:tab/>
        <w:t xml:space="preserve">Ishibashi F, Kosaka A, Tavakoli M. Sodium Glucose Cotransporter-2 Inhibitor Protects Against Diabetic Neuropathy and Nephropathy in Modestly Controlled Type 2 Diabetes: Follow-Up Study. </w:t>
      </w:r>
      <w:r w:rsidRPr="00AC58D8">
        <w:rPr>
          <w:i/>
          <w:iCs/>
        </w:rPr>
        <w:t>Front Endocrinol</w:t>
      </w:r>
      <w:r w:rsidRPr="00AC58D8">
        <w:t xml:space="preserve"> 2022; 13: 864332.</w:t>
      </w:r>
    </w:p>
    <w:p w14:paraId="73BBFF7A" w14:textId="77777777" w:rsidR="00AC58D8" w:rsidRPr="00AC58D8" w:rsidRDefault="00AC58D8" w:rsidP="00AC58D8">
      <w:pPr>
        <w:pStyle w:val="Bibliography"/>
        <w:spacing w:after="120" w:line="360" w:lineRule="auto"/>
      </w:pPr>
      <w:r w:rsidRPr="00AC58D8">
        <w:t>[17</w:t>
      </w:r>
      <w:proofErr w:type="gramStart"/>
      <w:r w:rsidRPr="00AC58D8">
        <w:t xml:space="preserve">] </w:t>
      </w:r>
      <w:r w:rsidRPr="00AC58D8">
        <w:tab/>
        <w:t>Liao</w:t>
      </w:r>
      <w:proofErr w:type="gramEnd"/>
      <w:r w:rsidRPr="00AC58D8">
        <w:t xml:space="preserve"> J, Kang A, Xia C, et al. The impact of canagliflozin on the risk of neuropathy events: A post-hoc exploratory analysis of the CREDENCE trial. </w:t>
      </w:r>
      <w:r w:rsidRPr="00AC58D8">
        <w:rPr>
          <w:i/>
          <w:iCs/>
        </w:rPr>
        <w:t xml:space="preserve">Diabetes </w:t>
      </w:r>
      <w:proofErr w:type="spellStart"/>
      <w:r w:rsidRPr="00AC58D8">
        <w:rPr>
          <w:i/>
          <w:iCs/>
        </w:rPr>
        <w:t>Metab</w:t>
      </w:r>
      <w:proofErr w:type="spellEnd"/>
      <w:r w:rsidRPr="00AC58D8">
        <w:t xml:space="preserve"> 2022; 48: 101331.</w:t>
      </w:r>
    </w:p>
    <w:p w14:paraId="0E44E708" w14:textId="77777777" w:rsidR="00AC58D8" w:rsidRPr="00AC58D8" w:rsidRDefault="00AC58D8" w:rsidP="00AC58D8">
      <w:pPr>
        <w:pStyle w:val="Bibliography"/>
        <w:spacing w:after="120" w:line="360" w:lineRule="auto"/>
      </w:pPr>
      <w:r w:rsidRPr="00AC58D8">
        <w:t xml:space="preserve">[18] </w:t>
      </w:r>
      <w:r w:rsidRPr="00AC58D8">
        <w:tab/>
      </w:r>
      <w:proofErr w:type="spellStart"/>
      <w:r w:rsidRPr="00AC58D8">
        <w:t>Klabuzai</w:t>
      </w:r>
      <w:proofErr w:type="spellEnd"/>
      <w:r w:rsidRPr="00AC58D8">
        <w:t xml:space="preserve"> Á, Bekő V, Sütő Z, et al. The Impact of SGLT-2 Inhibitors on Hydroxyl Radical Markers and Diabetic Neuropathy: A Short-Term Clinical Study. </w:t>
      </w:r>
      <w:r w:rsidRPr="00AC58D8">
        <w:rPr>
          <w:i/>
          <w:iCs/>
        </w:rPr>
        <w:t>Antioxidants</w:t>
      </w:r>
      <w:r w:rsidRPr="00AC58D8">
        <w:t xml:space="preserve"> 2025; 14: 289.</w:t>
      </w:r>
    </w:p>
    <w:p w14:paraId="14634F90" w14:textId="2BC62A22" w:rsidR="00200DF4" w:rsidRPr="009A4123" w:rsidRDefault="00AC58D8" w:rsidP="009A4123">
      <w:pPr>
        <w:spacing w:after="120" w:line="360" w:lineRule="auto"/>
        <w:ind w:left="504"/>
      </w:pPr>
      <w:r>
        <w:fldChar w:fldCharType="end"/>
      </w:r>
    </w:p>
    <w:p w14:paraId="40EFF6E4" w14:textId="77777777" w:rsidR="00200DF4" w:rsidRDefault="00000000" w:rsidP="00AC58D8">
      <w:pPr>
        <w:spacing w:after="120" w:line="360" w:lineRule="auto"/>
        <w:rPr>
          <w:rFonts w:ascii="Times New Roman" w:eastAsia="Times New Roman" w:hAnsi="Times New Roman" w:cs="Times New Roman"/>
        </w:rPr>
      </w:pPr>
      <w:r>
        <w:br w:type="page"/>
      </w:r>
    </w:p>
    <w:p w14:paraId="50DF6FC7" w14:textId="77777777" w:rsidR="00200DF4" w:rsidRDefault="00000000" w:rsidP="00AC58D8">
      <w:pPr>
        <w:pStyle w:val="Heading1"/>
        <w:spacing w:line="360" w:lineRule="auto"/>
        <w:rPr>
          <w:rFonts w:ascii="Times New Roman" w:eastAsia="Times New Roman" w:hAnsi="Times New Roman" w:cs="Times New Roman"/>
          <w:sz w:val="22"/>
          <w:szCs w:val="22"/>
        </w:rPr>
      </w:pPr>
      <w:bookmarkStart w:id="5" w:name="_e54f6rcfsjny" w:colFirst="0" w:colLast="0"/>
      <w:bookmarkEnd w:id="5"/>
      <w:r>
        <w:rPr>
          <w:rFonts w:ascii="Times New Roman" w:eastAsia="Times New Roman" w:hAnsi="Times New Roman" w:cs="Times New Roman"/>
          <w:sz w:val="22"/>
          <w:szCs w:val="22"/>
        </w:rPr>
        <w:lastRenderedPageBreak/>
        <w:t xml:space="preserve">Figures </w:t>
      </w:r>
    </w:p>
    <w:p w14:paraId="26D0152A" w14:textId="77777777" w:rsidR="00200DF4" w:rsidRDefault="00200DF4" w:rsidP="00AC58D8">
      <w:pPr>
        <w:spacing w:after="120" w:line="360" w:lineRule="auto"/>
      </w:pPr>
    </w:p>
    <w:p w14:paraId="17C8A701" w14:textId="77777777" w:rsidR="00200DF4" w:rsidRDefault="00200DF4" w:rsidP="00AC58D8">
      <w:pPr>
        <w:spacing w:after="120" w:line="360" w:lineRule="auto"/>
        <w:sectPr w:rsidR="00200DF4" w:rsidSect="00AC58D8">
          <w:headerReference w:type="default" r:id="rId6"/>
          <w:pgSz w:w="11906" w:h="16838" w:code="9"/>
          <w:pgMar w:top="1440" w:right="1440" w:bottom="1440" w:left="1440" w:header="720" w:footer="720" w:gutter="0"/>
          <w:pgNumType w:start="1"/>
          <w:cols w:space="720"/>
          <w:docGrid w:linePitch="299"/>
        </w:sectPr>
      </w:pPr>
    </w:p>
    <w:p w14:paraId="07BB946E" w14:textId="77777777" w:rsidR="00200DF4" w:rsidRDefault="00000000" w:rsidP="00AC58D8">
      <w:pPr>
        <w:pStyle w:val="Heading1"/>
        <w:spacing w:line="360" w:lineRule="auto"/>
        <w:rPr>
          <w:sz w:val="20"/>
          <w:szCs w:val="20"/>
        </w:rPr>
      </w:pPr>
      <w:bookmarkStart w:id="6" w:name="_wxxcre7injtm" w:colFirst="0" w:colLast="0"/>
      <w:bookmarkEnd w:id="6"/>
      <w:r>
        <w:rPr>
          <w:rFonts w:ascii="Times New Roman" w:eastAsia="Times New Roman" w:hAnsi="Times New Roman" w:cs="Times New Roman"/>
          <w:sz w:val="22"/>
          <w:szCs w:val="22"/>
        </w:rPr>
        <w:lastRenderedPageBreak/>
        <w:t>Table 1: Baseline characteristics</w:t>
      </w:r>
    </w:p>
    <w:tbl>
      <w:tblPr>
        <w:tblStyle w:val="a"/>
        <w:tblW w:w="15975" w:type="dxa"/>
        <w:tblInd w:w="-9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90"/>
        <w:gridCol w:w="900"/>
        <w:gridCol w:w="810"/>
        <w:gridCol w:w="1260"/>
        <w:gridCol w:w="1170"/>
        <w:gridCol w:w="1170"/>
        <w:gridCol w:w="785"/>
        <w:gridCol w:w="1105"/>
        <w:gridCol w:w="720"/>
        <w:gridCol w:w="1080"/>
        <w:gridCol w:w="565"/>
        <w:gridCol w:w="960"/>
        <w:gridCol w:w="640"/>
        <w:gridCol w:w="980"/>
        <w:gridCol w:w="600"/>
        <w:gridCol w:w="860"/>
        <w:gridCol w:w="680"/>
        <w:gridCol w:w="700"/>
      </w:tblGrid>
      <w:tr w:rsidR="009A4123" w:rsidRPr="00B63860" w14:paraId="28822016" w14:textId="77777777" w:rsidTr="00CC260B">
        <w:trPr>
          <w:trHeight w:val="180"/>
        </w:trPr>
        <w:tc>
          <w:tcPr>
            <w:tcW w:w="990" w:type="dxa"/>
            <w:vMerge w:val="restart"/>
            <w:shd w:val="clear" w:color="auto" w:fill="F2F2F2"/>
            <w:tcMar>
              <w:top w:w="0" w:type="dxa"/>
              <w:left w:w="0" w:type="dxa"/>
              <w:bottom w:w="0" w:type="dxa"/>
              <w:right w:w="0" w:type="dxa"/>
            </w:tcMar>
          </w:tcPr>
          <w:p w14:paraId="4239E2E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Study ID</w:t>
            </w:r>
          </w:p>
        </w:tc>
        <w:tc>
          <w:tcPr>
            <w:tcW w:w="900" w:type="dxa"/>
            <w:vMerge w:val="restart"/>
            <w:shd w:val="clear" w:color="auto" w:fill="F2F2F2"/>
            <w:tcMar>
              <w:top w:w="0" w:type="dxa"/>
              <w:left w:w="0" w:type="dxa"/>
              <w:bottom w:w="0" w:type="dxa"/>
              <w:right w:w="0" w:type="dxa"/>
            </w:tcMar>
          </w:tcPr>
          <w:p w14:paraId="41C19DF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Study Region</w:t>
            </w:r>
          </w:p>
        </w:tc>
        <w:tc>
          <w:tcPr>
            <w:tcW w:w="810" w:type="dxa"/>
            <w:vMerge w:val="restart"/>
            <w:shd w:val="clear" w:color="auto" w:fill="F2F2F2"/>
            <w:tcMar>
              <w:top w:w="0" w:type="dxa"/>
              <w:left w:w="0" w:type="dxa"/>
              <w:bottom w:w="0" w:type="dxa"/>
              <w:right w:w="0" w:type="dxa"/>
            </w:tcMar>
          </w:tcPr>
          <w:p w14:paraId="3BD4F5F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Study Design</w:t>
            </w:r>
          </w:p>
        </w:tc>
        <w:tc>
          <w:tcPr>
            <w:tcW w:w="1260" w:type="dxa"/>
            <w:vMerge w:val="restart"/>
            <w:shd w:val="clear" w:color="auto" w:fill="F2F2F2"/>
            <w:tcMar>
              <w:top w:w="0" w:type="dxa"/>
              <w:left w:w="0" w:type="dxa"/>
              <w:bottom w:w="0" w:type="dxa"/>
              <w:right w:w="0" w:type="dxa"/>
            </w:tcMar>
          </w:tcPr>
          <w:p w14:paraId="6FBC309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Intervention</w:t>
            </w:r>
          </w:p>
        </w:tc>
        <w:tc>
          <w:tcPr>
            <w:tcW w:w="1170" w:type="dxa"/>
            <w:vMerge w:val="restart"/>
            <w:shd w:val="clear" w:color="auto" w:fill="F2F2F2"/>
            <w:tcMar>
              <w:top w:w="0" w:type="dxa"/>
              <w:left w:w="0" w:type="dxa"/>
              <w:bottom w:w="0" w:type="dxa"/>
              <w:right w:w="0" w:type="dxa"/>
            </w:tcMar>
          </w:tcPr>
          <w:p w14:paraId="21A0D18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Control</w:t>
            </w:r>
          </w:p>
        </w:tc>
        <w:tc>
          <w:tcPr>
            <w:tcW w:w="1955" w:type="dxa"/>
            <w:gridSpan w:val="2"/>
            <w:shd w:val="clear" w:color="auto" w:fill="F2F2F2"/>
            <w:tcMar>
              <w:top w:w="0" w:type="dxa"/>
              <w:left w:w="0" w:type="dxa"/>
              <w:bottom w:w="0" w:type="dxa"/>
              <w:right w:w="0" w:type="dxa"/>
            </w:tcMar>
          </w:tcPr>
          <w:p w14:paraId="3192ABD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Sample Size (N)</w:t>
            </w:r>
          </w:p>
        </w:tc>
        <w:tc>
          <w:tcPr>
            <w:tcW w:w="1825" w:type="dxa"/>
            <w:gridSpan w:val="2"/>
            <w:shd w:val="clear" w:color="auto" w:fill="F2F2F2"/>
            <w:tcMar>
              <w:top w:w="0" w:type="dxa"/>
              <w:left w:w="0" w:type="dxa"/>
              <w:bottom w:w="0" w:type="dxa"/>
              <w:right w:w="0" w:type="dxa"/>
            </w:tcMar>
          </w:tcPr>
          <w:p w14:paraId="62D8213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Age (Years)</w:t>
            </w:r>
          </w:p>
        </w:tc>
        <w:tc>
          <w:tcPr>
            <w:tcW w:w="1645" w:type="dxa"/>
            <w:gridSpan w:val="2"/>
            <w:shd w:val="clear" w:color="auto" w:fill="F2F2F2"/>
            <w:tcMar>
              <w:top w:w="0" w:type="dxa"/>
              <w:left w:w="0" w:type="dxa"/>
              <w:bottom w:w="0" w:type="dxa"/>
              <w:right w:w="0" w:type="dxa"/>
            </w:tcMar>
          </w:tcPr>
          <w:p w14:paraId="188006D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Gender (</w:t>
            </w:r>
            <w:proofErr w:type="gramStart"/>
            <w:r w:rsidRPr="00B63860">
              <w:rPr>
                <w:rFonts w:asciiTheme="majorBidi" w:eastAsia="Lexend" w:hAnsiTheme="majorBidi" w:cstheme="majorBidi"/>
                <w:sz w:val="20"/>
                <w:szCs w:val="20"/>
              </w:rPr>
              <w:t>M:F</w:t>
            </w:r>
            <w:proofErr w:type="gramEnd"/>
            <w:r w:rsidRPr="00B63860">
              <w:rPr>
                <w:rFonts w:asciiTheme="majorBidi" w:eastAsia="Lexend" w:hAnsiTheme="majorBidi" w:cstheme="majorBidi"/>
                <w:sz w:val="20"/>
                <w:szCs w:val="20"/>
              </w:rPr>
              <w:t>)</w:t>
            </w:r>
          </w:p>
        </w:tc>
        <w:tc>
          <w:tcPr>
            <w:tcW w:w="1600" w:type="dxa"/>
            <w:gridSpan w:val="2"/>
            <w:shd w:val="clear" w:color="auto" w:fill="F2F2F2"/>
            <w:tcMar>
              <w:top w:w="0" w:type="dxa"/>
              <w:left w:w="0" w:type="dxa"/>
              <w:bottom w:w="0" w:type="dxa"/>
              <w:right w:w="0" w:type="dxa"/>
            </w:tcMar>
          </w:tcPr>
          <w:p w14:paraId="02932C3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BMI (kg/m²)</w:t>
            </w:r>
          </w:p>
        </w:tc>
        <w:tc>
          <w:tcPr>
            <w:tcW w:w="1580" w:type="dxa"/>
            <w:gridSpan w:val="2"/>
            <w:shd w:val="clear" w:color="auto" w:fill="F2F2F2"/>
            <w:tcMar>
              <w:top w:w="0" w:type="dxa"/>
              <w:left w:w="0" w:type="dxa"/>
              <w:bottom w:w="0" w:type="dxa"/>
              <w:right w:w="0" w:type="dxa"/>
            </w:tcMar>
          </w:tcPr>
          <w:p w14:paraId="6314FA9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HbA1c (%)</w:t>
            </w:r>
          </w:p>
        </w:tc>
        <w:tc>
          <w:tcPr>
            <w:tcW w:w="1540" w:type="dxa"/>
            <w:gridSpan w:val="2"/>
            <w:shd w:val="clear" w:color="auto" w:fill="F2F2F2"/>
            <w:tcMar>
              <w:top w:w="0" w:type="dxa"/>
              <w:left w:w="0" w:type="dxa"/>
              <w:bottom w:w="0" w:type="dxa"/>
              <w:right w:w="0" w:type="dxa"/>
            </w:tcMar>
          </w:tcPr>
          <w:p w14:paraId="16123D0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Duration of Diabetes</w:t>
            </w:r>
          </w:p>
        </w:tc>
        <w:tc>
          <w:tcPr>
            <w:tcW w:w="700" w:type="dxa"/>
            <w:shd w:val="clear" w:color="auto" w:fill="F2F2F2"/>
            <w:tcMar>
              <w:top w:w="0" w:type="dxa"/>
              <w:left w:w="0" w:type="dxa"/>
              <w:bottom w:w="0" w:type="dxa"/>
              <w:right w:w="0" w:type="dxa"/>
            </w:tcMar>
          </w:tcPr>
          <w:p w14:paraId="54BB178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Follow up</w:t>
            </w:r>
          </w:p>
        </w:tc>
      </w:tr>
      <w:tr w:rsidR="009A4123" w:rsidRPr="00B63860" w14:paraId="56EB43AB" w14:textId="77777777" w:rsidTr="00CC260B">
        <w:tc>
          <w:tcPr>
            <w:tcW w:w="990" w:type="dxa"/>
            <w:vMerge/>
            <w:shd w:val="clear" w:color="auto" w:fill="F2F2F2"/>
            <w:tcMar>
              <w:top w:w="0" w:type="dxa"/>
              <w:left w:w="0" w:type="dxa"/>
              <w:bottom w:w="0" w:type="dxa"/>
              <w:right w:w="0" w:type="dxa"/>
            </w:tcMar>
          </w:tcPr>
          <w:p w14:paraId="2315AC82"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900" w:type="dxa"/>
            <w:vMerge/>
            <w:shd w:val="clear" w:color="auto" w:fill="F2F2F2"/>
            <w:tcMar>
              <w:top w:w="0" w:type="dxa"/>
              <w:left w:w="0" w:type="dxa"/>
              <w:bottom w:w="0" w:type="dxa"/>
              <w:right w:w="0" w:type="dxa"/>
            </w:tcMar>
          </w:tcPr>
          <w:p w14:paraId="1187B9C4"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810" w:type="dxa"/>
            <w:vMerge/>
            <w:shd w:val="clear" w:color="auto" w:fill="F2F2F2"/>
            <w:tcMar>
              <w:top w:w="0" w:type="dxa"/>
              <w:left w:w="0" w:type="dxa"/>
              <w:bottom w:w="0" w:type="dxa"/>
              <w:right w:w="0" w:type="dxa"/>
            </w:tcMar>
          </w:tcPr>
          <w:p w14:paraId="1EEE5312"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1260" w:type="dxa"/>
            <w:vMerge/>
            <w:shd w:val="clear" w:color="auto" w:fill="F2F2F2"/>
            <w:tcMar>
              <w:top w:w="0" w:type="dxa"/>
              <w:left w:w="0" w:type="dxa"/>
              <w:bottom w:w="0" w:type="dxa"/>
              <w:right w:w="0" w:type="dxa"/>
            </w:tcMar>
          </w:tcPr>
          <w:p w14:paraId="647729DF"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1170" w:type="dxa"/>
            <w:vMerge/>
            <w:shd w:val="clear" w:color="auto" w:fill="F2F2F2"/>
            <w:tcMar>
              <w:top w:w="0" w:type="dxa"/>
              <w:left w:w="0" w:type="dxa"/>
              <w:bottom w:w="0" w:type="dxa"/>
              <w:right w:w="0" w:type="dxa"/>
            </w:tcMar>
          </w:tcPr>
          <w:p w14:paraId="4A8E30D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1170" w:type="dxa"/>
            <w:shd w:val="clear" w:color="auto" w:fill="F2F2F2"/>
            <w:tcMar>
              <w:top w:w="0" w:type="dxa"/>
              <w:left w:w="0" w:type="dxa"/>
              <w:bottom w:w="0" w:type="dxa"/>
              <w:right w:w="0" w:type="dxa"/>
            </w:tcMar>
          </w:tcPr>
          <w:p w14:paraId="4BF3B5D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Intervention</w:t>
            </w:r>
          </w:p>
        </w:tc>
        <w:tc>
          <w:tcPr>
            <w:tcW w:w="785" w:type="dxa"/>
            <w:shd w:val="clear" w:color="auto" w:fill="F2F2F2"/>
            <w:tcMar>
              <w:top w:w="0" w:type="dxa"/>
              <w:left w:w="0" w:type="dxa"/>
              <w:bottom w:w="0" w:type="dxa"/>
              <w:right w:w="0" w:type="dxa"/>
            </w:tcMar>
          </w:tcPr>
          <w:p w14:paraId="5F93D2D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Control</w:t>
            </w:r>
          </w:p>
        </w:tc>
        <w:tc>
          <w:tcPr>
            <w:tcW w:w="1105" w:type="dxa"/>
            <w:shd w:val="clear" w:color="auto" w:fill="F2F2F2"/>
            <w:tcMar>
              <w:top w:w="0" w:type="dxa"/>
              <w:left w:w="0" w:type="dxa"/>
              <w:bottom w:w="0" w:type="dxa"/>
              <w:right w:w="0" w:type="dxa"/>
            </w:tcMar>
          </w:tcPr>
          <w:p w14:paraId="450D7FB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Intervention</w:t>
            </w:r>
          </w:p>
        </w:tc>
        <w:tc>
          <w:tcPr>
            <w:tcW w:w="720" w:type="dxa"/>
            <w:shd w:val="clear" w:color="auto" w:fill="F2F2F2"/>
            <w:tcMar>
              <w:top w:w="0" w:type="dxa"/>
              <w:left w:w="0" w:type="dxa"/>
              <w:bottom w:w="0" w:type="dxa"/>
              <w:right w:w="0" w:type="dxa"/>
            </w:tcMar>
          </w:tcPr>
          <w:p w14:paraId="31E96CF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Control</w:t>
            </w:r>
          </w:p>
        </w:tc>
        <w:tc>
          <w:tcPr>
            <w:tcW w:w="1080" w:type="dxa"/>
            <w:shd w:val="clear" w:color="auto" w:fill="F2F2F2"/>
            <w:tcMar>
              <w:top w:w="0" w:type="dxa"/>
              <w:left w:w="0" w:type="dxa"/>
              <w:bottom w:w="0" w:type="dxa"/>
              <w:right w:w="0" w:type="dxa"/>
            </w:tcMar>
          </w:tcPr>
          <w:p w14:paraId="63071A1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Intervention</w:t>
            </w:r>
          </w:p>
        </w:tc>
        <w:tc>
          <w:tcPr>
            <w:tcW w:w="560" w:type="dxa"/>
            <w:shd w:val="clear" w:color="auto" w:fill="F2F2F2"/>
            <w:tcMar>
              <w:top w:w="0" w:type="dxa"/>
              <w:left w:w="0" w:type="dxa"/>
              <w:bottom w:w="0" w:type="dxa"/>
              <w:right w:w="0" w:type="dxa"/>
            </w:tcMar>
          </w:tcPr>
          <w:p w14:paraId="22820CE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Control</w:t>
            </w:r>
          </w:p>
        </w:tc>
        <w:tc>
          <w:tcPr>
            <w:tcW w:w="960" w:type="dxa"/>
            <w:shd w:val="clear" w:color="auto" w:fill="F2F2F2"/>
            <w:tcMar>
              <w:top w:w="0" w:type="dxa"/>
              <w:left w:w="0" w:type="dxa"/>
              <w:bottom w:w="0" w:type="dxa"/>
              <w:right w:w="0" w:type="dxa"/>
            </w:tcMar>
          </w:tcPr>
          <w:p w14:paraId="7235B42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Intervention</w:t>
            </w:r>
          </w:p>
        </w:tc>
        <w:tc>
          <w:tcPr>
            <w:tcW w:w="640" w:type="dxa"/>
            <w:shd w:val="clear" w:color="auto" w:fill="F2F2F2"/>
            <w:tcMar>
              <w:top w:w="0" w:type="dxa"/>
              <w:left w:w="0" w:type="dxa"/>
              <w:bottom w:w="0" w:type="dxa"/>
              <w:right w:w="0" w:type="dxa"/>
            </w:tcMar>
          </w:tcPr>
          <w:p w14:paraId="114C81B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Control</w:t>
            </w:r>
          </w:p>
        </w:tc>
        <w:tc>
          <w:tcPr>
            <w:tcW w:w="980" w:type="dxa"/>
            <w:shd w:val="clear" w:color="auto" w:fill="F2F2F2"/>
            <w:tcMar>
              <w:top w:w="0" w:type="dxa"/>
              <w:left w:w="0" w:type="dxa"/>
              <w:bottom w:w="0" w:type="dxa"/>
              <w:right w:w="0" w:type="dxa"/>
            </w:tcMar>
          </w:tcPr>
          <w:p w14:paraId="3F197C5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Intervention</w:t>
            </w:r>
          </w:p>
        </w:tc>
        <w:tc>
          <w:tcPr>
            <w:tcW w:w="600" w:type="dxa"/>
            <w:shd w:val="clear" w:color="auto" w:fill="F2F2F2"/>
            <w:tcMar>
              <w:top w:w="0" w:type="dxa"/>
              <w:left w:w="0" w:type="dxa"/>
              <w:bottom w:w="0" w:type="dxa"/>
              <w:right w:w="0" w:type="dxa"/>
            </w:tcMar>
          </w:tcPr>
          <w:p w14:paraId="4FC3B8D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Control</w:t>
            </w:r>
          </w:p>
        </w:tc>
        <w:tc>
          <w:tcPr>
            <w:tcW w:w="860" w:type="dxa"/>
            <w:shd w:val="clear" w:color="auto" w:fill="F2F2F2"/>
            <w:tcMar>
              <w:top w:w="0" w:type="dxa"/>
              <w:left w:w="0" w:type="dxa"/>
              <w:bottom w:w="0" w:type="dxa"/>
              <w:right w:w="0" w:type="dxa"/>
            </w:tcMar>
          </w:tcPr>
          <w:p w14:paraId="46B7950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Intervention</w:t>
            </w:r>
          </w:p>
        </w:tc>
        <w:tc>
          <w:tcPr>
            <w:tcW w:w="680" w:type="dxa"/>
            <w:shd w:val="clear" w:color="auto" w:fill="F2F2F2"/>
            <w:tcMar>
              <w:top w:w="0" w:type="dxa"/>
              <w:left w:w="0" w:type="dxa"/>
              <w:bottom w:w="0" w:type="dxa"/>
              <w:right w:w="0" w:type="dxa"/>
            </w:tcMar>
          </w:tcPr>
          <w:p w14:paraId="0BDC5CD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Control</w:t>
            </w:r>
          </w:p>
        </w:tc>
        <w:tc>
          <w:tcPr>
            <w:tcW w:w="700" w:type="dxa"/>
            <w:vMerge w:val="restart"/>
            <w:shd w:val="clear" w:color="auto" w:fill="F2F2F2"/>
            <w:tcMar>
              <w:top w:w="0" w:type="dxa"/>
              <w:left w:w="0" w:type="dxa"/>
              <w:bottom w:w="0" w:type="dxa"/>
              <w:right w:w="0" w:type="dxa"/>
            </w:tcMar>
          </w:tcPr>
          <w:p w14:paraId="1FE2B29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r>
      <w:tr w:rsidR="009A4123" w:rsidRPr="00B63860" w14:paraId="7437342D" w14:textId="77777777" w:rsidTr="00CC260B">
        <w:tc>
          <w:tcPr>
            <w:tcW w:w="990" w:type="dxa"/>
            <w:vMerge/>
            <w:shd w:val="clear" w:color="auto" w:fill="F2F2F2"/>
            <w:tcMar>
              <w:top w:w="0" w:type="dxa"/>
              <w:left w:w="0" w:type="dxa"/>
              <w:bottom w:w="0" w:type="dxa"/>
              <w:right w:w="0" w:type="dxa"/>
            </w:tcMar>
          </w:tcPr>
          <w:p w14:paraId="1A8FE305"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900" w:type="dxa"/>
            <w:vMerge/>
            <w:shd w:val="clear" w:color="auto" w:fill="F2F2F2"/>
            <w:tcMar>
              <w:top w:w="0" w:type="dxa"/>
              <w:left w:w="0" w:type="dxa"/>
              <w:bottom w:w="0" w:type="dxa"/>
              <w:right w:w="0" w:type="dxa"/>
            </w:tcMar>
          </w:tcPr>
          <w:p w14:paraId="1D04FFE0"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810" w:type="dxa"/>
            <w:vMerge/>
            <w:shd w:val="clear" w:color="auto" w:fill="F2F2F2"/>
            <w:tcMar>
              <w:top w:w="0" w:type="dxa"/>
              <w:left w:w="0" w:type="dxa"/>
              <w:bottom w:w="0" w:type="dxa"/>
              <w:right w:w="0" w:type="dxa"/>
            </w:tcMar>
          </w:tcPr>
          <w:p w14:paraId="63D8EBAC"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1260" w:type="dxa"/>
            <w:vMerge/>
            <w:shd w:val="clear" w:color="auto" w:fill="F2F2F2"/>
            <w:tcMar>
              <w:top w:w="0" w:type="dxa"/>
              <w:left w:w="0" w:type="dxa"/>
              <w:bottom w:w="0" w:type="dxa"/>
              <w:right w:w="0" w:type="dxa"/>
            </w:tcMar>
          </w:tcPr>
          <w:p w14:paraId="13FBA177"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c>
          <w:tcPr>
            <w:tcW w:w="1170" w:type="dxa"/>
            <w:vMerge/>
            <w:shd w:val="clear" w:color="auto" w:fill="F2F2F2"/>
            <w:tcMar>
              <w:top w:w="0" w:type="dxa"/>
              <w:left w:w="0" w:type="dxa"/>
              <w:bottom w:w="0" w:type="dxa"/>
              <w:right w:w="0" w:type="dxa"/>
            </w:tcMar>
          </w:tcPr>
          <w:p w14:paraId="376E0D3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1170" w:type="dxa"/>
            <w:shd w:val="clear" w:color="auto" w:fill="F2F2F2"/>
            <w:tcMar>
              <w:top w:w="0" w:type="dxa"/>
              <w:left w:w="0" w:type="dxa"/>
              <w:bottom w:w="0" w:type="dxa"/>
              <w:right w:w="0" w:type="dxa"/>
            </w:tcMar>
          </w:tcPr>
          <w:p w14:paraId="13FD357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Number</w:t>
            </w:r>
          </w:p>
        </w:tc>
        <w:tc>
          <w:tcPr>
            <w:tcW w:w="785" w:type="dxa"/>
            <w:shd w:val="clear" w:color="auto" w:fill="F2F2F2"/>
            <w:tcMar>
              <w:top w:w="0" w:type="dxa"/>
              <w:left w:w="0" w:type="dxa"/>
              <w:bottom w:w="0" w:type="dxa"/>
              <w:right w:w="0" w:type="dxa"/>
            </w:tcMar>
          </w:tcPr>
          <w:p w14:paraId="73FA060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Number</w:t>
            </w:r>
          </w:p>
        </w:tc>
        <w:tc>
          <w:tcPr>
            <w:tcW w:w="1105" w:type="dxa"/>
            <w:shd w:val="clear" w:color="auto" w:fill="F2F2F2"/>
            <w:tcMar>
              <w:top w:w="0" w:type="dxa"/>
              <w:left w:w="0" w:type="dxa"/>
              <w:bottom w:w="0" w:type="dxa"/>
              <w:right w:w="0" w:type="dxa"/>
            </w:tcMar>
          </w:tcPr>
          <w:p w14:paraId="59C7146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Mean ± SD</w:t>
            </w:r>
          </w:p>
        </w:tc>
        <w:tc>
          <w:tcPr>
            <w:tcW w:w="720" w:type="dxa"/>
            <w:shd w:val="clear" w:color="auto" w:fill="F2F2F2"/>
            <w:tcMar>
              <w:top w:w="0" w:type="dxa"/>
              <w:left w:w="0" w:type="dxa"/>
              <w:bottom w:w="0" w:type="dxa"/>
              <w:right w:w="0" w:type="dxa"/>
            </w:tcMar>
          </w:tcPr>
          <w:p w14:paraId="4566EB5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Mean ± SD</w:t>
            </w:r>
          </w:p>
        </w:tc>
        <w:tc>
          <w:tcPr>
            <w:tcW w:w="1080" w:type="dxa"/>
            <w:shd w:val="clear" w:color="auto" w:fill="F2F2F2"/>
            <w:tcMar>
              <w:top w:w="0" w:type="dxa"/>
              <w:left w:w="0" w:type="dxa"/>
              <w:bottom w:w="0" w:type="dxa"/>
              <w:right w:w="0" w:type="dxa"/>
            </w:tcMar>
          </w:tcPr>
          <w:p w14:paraId="18604C3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Number</w:t>
            </w:r>
          </w:p>
        </w:tc>
        <w:tc>
          <w:tcPr>
            <w:tcW w:w="560" w:type="dxa"/>
            <w:shd w:val="clear" w:color="auto" w:fill="F2F2F2"/>
            <w:tcMar>
              <w:top w:w="0" w:type="dxa"/>
              <w:left w:w="0" w:type="dxa"/>
              <w:bottom w:w="0" w:type="dxa"/>
              <w:right w:w="0" w:type="dxa"/>
            </w:tcMar>
          </w:tcPr>
          <w:p w14:paraId="4158B65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Number</w:t>
            </w:r>
          </w:p>
        </w:tc>
        <w:tc>
          <w:tcPr>
            <w:tcW w:w="960" w:type="dxa"/>
            <w:shd w:val="clear" w:color="auto" w:fill="F2F2F2"/>
            <w:tcMar>
              <w:top w:w="0" w:type="dxa"/>
              <w:left w:w="0" w:type="dxa"/>
              <w:bottom w:w="0" w:type="dxa"/>
              <w:right w:w="0" w:type="dxa"/>
            </w:tcMar>
          </w:tcPr>
          <w:p w14:paraId="03590C9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Mean ± SD</w:t>
            </w:r>
          </w:p>
        </w:tc>
        <w:tc>
          <w:tcPr>
            <w:tcW w:w="640" w:type="dxa"/>
            <w:shd w:val="clear" w:color="auto" w:fill="F2F2F2"/>
            <w:tcMar>
              <w:top w:w="0" w:type="dxa"/>
              <w:left w:w="0" w:type="dxa"/>
              <w:bottom w:w="0" w:type="dxa"/>
              <w:right w:w="0" w:type="dxa"/>
            </w:tcMar>
          </w:tcPr>
          <w:p w14:paraId="0A43D70B"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Mean ± SD</w:t>
            </w:r>
          </w:p>
        </w:tc>
        <w:tc>
          <w:tcPr>
            <w:tcW w:w="980" w:type="dxa"/>
            <w:shd w:val="clear" w:color="auto" w:fill="F2F2F2"/>
            <w:tcMar>
              <w:top w:w="0" w:type="dxa"/>
              <w:left w:w="0" w:type="dxa"/>
              <w:bottom w:w="0" w:type="dxa"/>
              <w:right w:w="0" w:type="dxa"/>
            </w:tcMar>
          </w:tcPr>
          <w:p w14:paraId="679D759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Number</w:t>
            </w:r>
          </w:p>
        </w:tc>
        <w:tc>
          <w:tcPr>
            <w:tcW w:w="600" w:type="dxa"/>
            <w:shd w:val="clear" w:color="auto" w:fill="F2F2F2"/>
            <w:tcMar>
              <w:top w:w="0" w:type="dxa"/>
              <w:left w:w="0" w:type="dxa"/>
              <w:bottom w:w="0" w:type="dxa"/>
              <w:right w:w="0" w:type="dxa"/>
            </w:tcMar>
          </w:tcPr>
          <w:p w14:paraId="1EB535B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Number</w:t>
            </w:r>
          </w:p>
        </w:tc>
        <w:tc>
          <w:tcPr>
            <w:tcW w:w="860" w:type="dxa"/>
            <w:shd w:val="clear" w:color="auto" w:fill="F2F2F2"/>
            <w:tcMar>
              <w:top w:w="0" w:type="dxa"/>
              <w:left w:w="0" w:type="dxa"/>
              <w:bottom w:w="0" w:type="dxa"/>
              <w:right w:w="0" w:type="dxa"/>
            </w:tcMar>
          </w:tcPr>
          <w:p w14:paraId="18C9B30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Mean ± SD</w:t>
            </w:r>
          </w:p>
        </w:tc>
        <w:tc>
          <w:tcPr>
            <w:tcW w:w="680" w:type="dxa"/>
            <w:shd w:val="clear" w:color="auto" w:fill="F2F2F2"/>
            <w:tcMar>
              <w:top w:w="0" w:type="dxa"/>
              <w:left w:w="0" w:type="dxa"/>
              <w:bottom w:w="0" w:type="dxa"/>
              <w:right w:w="0" w:type="dxa"/>
            </w:tcMar>
          </w:tcPr>
          <w:p w14:paraId="0CE590A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Mean ± SD</w:t>
            </w:r>
          </w:p>
        </w:tc>
        <w:tc>
          <w:tcPr>
            <w:tcW w:w="700" w:type="dxa"/>
            <w:vMerge/>
            <w:shd w:val="clear" w:color="auto" w:fill="F2F2F2"/>
            <w:tcMar>
              <w:top w:w="0" w:type="dxa"/>
              <w:left w:w="0" w:type="dxa"/>
              <w:bottom w:w="0" w:type="dxa"/>
              <w:right w:w="0" w:type="dxa"/>
            </w:tcMar>
          </w:tcPr>
          <w:p w14:paraId="5DE9FA61" w14:textId="77777777" w:rsidR="009A4123" w:rsidRPr="00B63860" w:rsidRDefault="009A4123" w:rsidP="00AC58D8">
            <w:pPr>
              <w:widowControl w:val="0"/>
              <w:spacing w:after="120" w:line="360" w:lineRule="auto"/>
              <w:rPr>
                <w:rFonts w:asciiTheme="majorBidi" w:eastAsia="Lexend" w:hAnsiTheme="majorBidi" w:cstheme="majorBidi"/>
                <w:sz w:val="20"/>
                <w:szCs w:val="20"/>
              </w:rPr>
            </w:pPr>
          </w:p>
        </w:tc>
      </w:tr>
      <w:tr w:rsidR="009A4123" w:rsidRPr="00B63860" w14:paraId="2D623D79" w14:textId="77777777" w:rsidTr="00CC260B">
        <w:trPr>
          <w:trHeight w:val="180"/>
        </w:trPr>
        <w:tc>
          <w:tcPr>
            <w:tcW w:w="990" w:type="dxa"/>
            <w:tcMar>
              <w:top w:w="0" w:type="dxa"/>
              <w:left w:w="0" w:type="dxa"/>
              <w:bottom w:w="0" w:type="dxa"/>
              <w:right w:w="0" w:type="dxa"/>
            </w:tcMar>
          </w:tcPr>
          <w:p w14:paraId="04D9937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Mehta 2021</w:t>
            </w:r>
          </w:p>
        </w:tc>
        <w:tc>
          <w:tcPr>
            <w:tcW w:w="900" w:type="dxa"/>
            <w:tcMar>
              <w:top w:w="0" w:type="dxa"/>
              <w:left w:w="0" w:type="dxa"/>
              <w:bottom w:w="0" w:type="dxa"/>
              <w:right w:w="0" w:type="dxa"/>
            </w:tcMar>
          </w:tcPr>
          <w:p w14:paraId="29FC070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India</w:t>
            </w:r>
          </w:p>
        </w:tc>
        <w:tc>
          <w:tcPr>
            <w:tcW w:w="810" w:type="dxa"/>
            <w:tcMar>
              <w:top w:w="0" w:type="dxa"/>
              <w:left w:w="0" w:type="dxa"/>
              <w:bottom w:w="0" w:type="dxa"/>
              <w:right w:w="0" w:type="dxa"/>
            </w:tcMar>
          </w:tcPr>
          <w:p w14:paraId="44A6E24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RCT</w:t>
            </w:r>
          </w:p>
        </w:tc>
        <w:tc>
          <w:tcPr>
            <w:tcW w:w="1260" w:type="dxa"/>
            <w:tcMar>
              <w:top w:w="0" w:type="dxa"/>
              <w:left w:w="0" w:type="dxa"/>
              <w:bottom w:w="0" w:type="dxa"/>
              <w:right w:w="0" w:type="dxa"/>
            </w:tcMar>
          </w:tcPr>
          <w:p w14:paraId="48D8460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Empagliflozin (Group 2) &amp; </w:t>
            </w:r>
            <w:proofErr w:type="spellStart"/>
            <w:r w:rsidRPr="00B63860">
              <w:rPr>
                <w:rFonts w:asciiTheme="majorBidi" w:eastAsia="Lexend" w:hAnsiTheme="majorBidi" w:cstheme="majorBidi"/>
                <w:sz w:val="20"/>
                <w:szCs w:val="20"/>
              </w:rPr>
              <w:t>Empa</w:t>
            </w:r>
            <w:proofErr w:type="spellEnd"/>
            <w:r w:rsidRPr="00B63860">
              <w:rPr>
                <w:rFonts w:asciiTheme="majorBidi" w:eastAsia="Lexend" w:hAnsiTheme="majorBidi" w:cstheme="majorBidi"/>
                <w:sz w:val="20"/>
                <w:szCs w:val="20"/>
              </w:rPr>
              <w:t xml:space="preserve"> + Vit D (Group 3) </w:t>
            </w:r>
          </w:p>
        </w:tc>
        <w:tc>
          <w:tcPr>
            <w:tcW w:w="1170" w:type="dxa"/>
            <w:tcMar>
              <w:top w:w="0" w:type="dxa"/>
              <w:left w:w="0" w:type="dxa"/>
              <w:bottom w:w="0" w:type="dxa"/>
              <w:right w:w="0" w:type="dxa"/>
            </w:tcMar>
          </w:tcPr>
          <w:p w14:paraId="2C04241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Oral hypoglycemic agents (Group 1) </w:t>
            </w:r>
          </w:p>
        </w:tc>
        <w:tc>
          <w:tcPr>
            <w:tcW w:w="1170" w:type="dxa"/>
            <w:tcMar>
              <w:top w:w="0" w:type="dxa"/>
              <w:left w:w="0" w:type="dxa"/>
              <w:bottom w:w="0" w:type="dxa"/>
              <w:right w:w="0" w:type="dxa"/>
            </w:tcMar>
          </w:tcPr>
          <w:p w14:paraId="35E91EC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50 (Group 2) &amp; 50 (Group 3) </w:t>
            </w:r>
          </w:p>
        </w:tc>
        <w:tc>
          <w:tcPr>
            <w:tcW w:w="785" w:type="dxa"/>
            <w:tcMar>
              <w:top w:w="0" w:type="dxa"/>
              <w:left w:w="0" w:type="dxa"/>
              <w:bottom w:w="0" w:type="dxa"/>
              <w:right w:w="0" w:type="dxa"/>
            </w:tcMar>
          </w:tcPr>
          <w:p w14:paraId="4B4EC0B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50</w:t>
            </w:r>
          </w:p>
        </w:tc>
        <w:tc>
          <w:tcPr>
            <w:tcW w:w="1825" w:type="dxa"/>
            <w:gridSpan w:val="2"/>
            <w:tcMar>
              <w:top w:w="0" w:type="dxa"/>
              <w:left w:w="0" w:type="dxa"/>
              <w:bottom w:w="0" w:type="dxa"/>
              <w:right w:w="0" w:type="dxa"/>
            </w:tcMar>
          </w:tcPr>
          <w:p w14:paraId="2744E39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50 ± 6.2 (Overall) </w:t>
            </w:r>
          </w:p>
          <w:p w14:paraId="18DBAB9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1080" w:type="dxa"/>
            <w:tcMar>
              <w:top w:w="0" w:type="dxa"/>
              <w:left w:w="0" w:type="dxa"/>
              <w:bottom w:w="0" w:type="dxa"/>
              <w:right w:w="0" w:type="dxa"/>
            </w:tcMar>
          </w:tcPr>
          <w:p w14:paraId="3E51846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30:20 (Group 2) &amp; 27:23 (Group 3) </w:t>
            </w:r>
          </w:p>
        </w:tc>
        <w:tc>
          <w:tcPr>
            <w:tcW w:w="560" w:type="dxa"/>
            <w:tcMar>
              <w:top w:w="0" w:type="dxa"/>
              <w:left w:w="0" w:type="dxa"/>
              <w:bottom w:w="0" w:type="dxa"/>
              <w:right w:w="0" w:type="dxa"/>
            </w:tcMar>
          </w:tcPr>
          <w:p w14:paraId="585091F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29:21</w:t>
            </w:r>
          </w:p>
        </w:tc>
        <w:tc>
          <w:tcPr>
            <w:tcW w:w="960" w:type="dxa"/>
            <w:tcMar>
              <w:top w:w="0" w:type="dxa"/>
              <w:left w:w="0" w:type="dxa"/>
              <w:bottom w:w="0" w:type="dxa"/>
              <w:right w:w="0" w:type="dxa"/>
            </w:tcMar>
          </w:tcPr>
          <w:p w14:paraId="25FCC64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28.9 ± 0.7 (Group 2) &amp; 27.2 ± 0.8 (Group 3) </w:t>
            </w:r>
          </w:p>
        </w:tc>
        <w:tc>
          <w:tcPr>
            <w:tcW w:w="640" w:type="dxa"/>
            <w:tcMar>
              <w:top w:w="0" w:type="dxa"/>
              <w:left w:w="0" w:type="dxa"/>
              <w:bottom w:w="0" w:type="dxa"/>
              <w:right w:w="0" w:type="dxa"/>
            </w:tcMar>
          </w:tcPr>
          <w:p w14:paraId="6D4FCDA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26.9 ± 0.5 </w:t>
            </w:r>
          </w:p>
        </w:tc>
        <w:tc>
          <w:tcPr>
            <w:tcW w:w="980" w:type="dxa"/>
            <w:tcMar>
              <w:top w:w="0" w:type="dxa"/>
              <w:left w:w="0" w:type="dxa"/>
              <w:bottom w:w="0" w:type="dxa"/>
              <w:right w:w="0" w:type="dxa"/>
            </w:tcMar>
          </w:tcPr>
          <w:p w14:paraId="2990CE5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14.04 ± 3.1 (Group 2) &amp; 13.90 ± 2.0 (Group 3) </w:t>
            </w:r>
          </w:p>
        </w:tc>
        <w:tc>
          <w:tcPr>
            <w:tcW w:w="600" w:type="dxa"/>
            <w:tcMar>
              <w:top w:w="0" w:type="dxa"/>
              <w:left w:w="0" w:type="dxa"/>
              <w:bottom w:w="0" w:type="dxa"/>
              <w:right w:w="0" w:type="dxa"/>
            </w:tcMar>
          </w:tcPr>
          <w:p w14:paraId="3349B23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13.78 ± 2.9 </w:t>
            </w:r>
          </w:p>
        </w:tc>
        <w:tc>
          <w:tcPr>
            <w:tcW w:w="1540" w:type="dxa"/>
            <w:gridSpan w:val="2"/>
            <w:tcMar>
              <w:top w:w="0" w:type="dxa"/>
              <w:left w:w="0" w:type="dxa"/>
              <w:bottom w:w="0" w:type="dxa"/>
              <w:right w:w="0" w:type="dxa"/>
            </w:tcMar>
          </w:tcPr>
          <w:p w14:paraId="1E200C0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15 ± 4.5 (Overall) </w:t>
            </w:r>
          </w:p>
          <w:p w14:paraId="4E79A3D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700" w:type="dxa"/>
            <w:tcMar>
              <w:top w:w="0" w:type="dxa"/>
              <w:left w:w="0" w:type="dxa"/>
              <w:bottom w:w="0" w:type="dxa"/>
              <w:right w:w="0" w:type="dxa"/>
            </w:tcMar>
          </w:tcPr>
          <w:p w14:paraId="2B8F23E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6 months</w:t>
            </w:r>
          </w:p>
        </w:tc>
      </w:tr>
      <w:tr w:rsidR="009A4123" w:rsidRPr="00B63860" w14:paraId="75E07455" w14:textId="77777777" w:rsidTr="00CC260B">
        <w:trPr>
          <w:trHeight w:val="180"/>
        </w:trPr>
        <w:tc>
          <w:tcPr>
            <w:tcW w:w="990" w:type="dxa"/>
            <w:tcMar>
              <w:top w:w="0" w:type="dxa"/>
              <w:left w:w="0" w:type="dxa"/>
              <w:bottom w:w="0" w:type="dxa"/>
              <w:right w:w="0" w:type="dxa"/>
            </w:tcMar>
          </w:tcPr>
          <w:p w14:paraId="2CDD26E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Liao 2022</w:t>
            </w:r>
          </w:p>
        </w:tc>
        <w:tc>
          <w:tcPr>
            <w:tcW w:w="900" w:type="dxa"/>
            <w:tcMar>
              <w:top w:w="0" w:type="dxa"/>
              <w:left w:w="0" w:type="dxa"/>
              <w:bottom w:w="0" w:type="dxa"/>
              <w:right w:w="0" w:type="dxa"/>
            </w:tcMar>
          </w:tcPr>
          <w:p w14:paraId="3B29F42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34 countries</w:t>
            </w:r>
          </w:p>
        </w:tc>
        <w:tc>
          <w:tcPr>
            <w:tcW w:w="810" w:type="dxa"/>
            <w:tcMar>
              <w:top w:w="0" w:type="dxa"/>
              <w:left w:w="0" w:type="dxa"/>
              <w:bottom w:w="0" w:type="dxa"/>
              <w:right w:w="0" w:type="dxa"/>
            </w:tcMar>
          </w:tcPr>
          <w:p w14:paraId="5388A1F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Post hoc RCT</w:t>
            </w:r>
          </w:p>
        </w:tc>
        <w:tc>
          <w:tcPr>
            <w:tcW w:w="1260" w:type="dxa"/>
            <w:tcMar>
              <w:top w:w="0" w:type="dxa"/>
              <w:left w:w="0" w:type="dxa"/>
              <w:bottom w:w="0" w:type="dxa"/>
              <w:right w:w="0" w:type="dxa"/>
            </w:tcMar>
          </w:tcPr>
          <w:p w14:paraId="13C4FB94"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Canagliflozin 100 mg</w:t>
            </w:r>
          </w:p>
        </w:tc>
        <w:tc>
          <w:tcPr>
            <w:tcW w:w="1170" w:type="dxa"/>
            <w:tcMar>
              <w:top w:w="0" w:type="dxa"/>
              <w:left w:w="0" w:type="dxa"/>
              <w:bottom w:w="0" w:type="dxa"/>
              <w:right w:w="0" w:type="dxa"/>
            </w:tcMar>
          </w:tcPr>
          <w:p w14:paraId="06F4274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Placebo</w:t>
            </w:r>
          </w:p>
        </w:tc>
        <w:tc>
          <w:tcPr>
            <w:tcW w:w="1170" w:type="dxa"/>
            <w:tcMar>
              <w:top w:w="0" w:type="dxa"/>
              <w:left w:w="0" w:type="dxa"/>
              <w:bottom w:w="0" w:type="dxa"/>
              <w:right w:w="0" w:type="dxa"/>
            </w:tcMar>
          </w:tcPr>
          <w:p w14:paraId="5F92647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2202</w:t>
            </w:r>
          </w:p>
        </w:tc>
        <w:tc>
          <w:tcPr>
            <w:tcW w:w="785" w:type="dxa"/>
            <w:tcMar>
              <w:top w:w="0" w:type="dxa"/>
              <w:left w:w="0" w:type="dxa"/>
              <w:bottom w:w="0" w:type="dxa"/>
              <w:right w:w="0" w:type="dxa"/>
            </w:tcMar>
          </w:tcPr>
          <w:p w14:paraId="0E260FF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2199</w:t>
            </w:r>
          </w:p>
        </w:tc>
        <w:tc>
          <w:tcPr>
            <w:tcW w:w="1825" w:type="dxa"/>
            <w:gridSpan w:val="2"/>
            <w:tcMar>
              <w:top w:w="0" w:type="dxa"/>
              <w:left w:w="0" w:type="dxa"/>
              <w:bottom w:w="0" w:type="dxa"/>
              <w:right w:w="0" w:type="dxa"/>
            </w:tcMar>
          </w:tcPr>
          <w:p w14:paraId="65402B0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63.0 ± 9.2 (Overall) </w:t>
            </w:r>
          </w:p>
        </w:tc>
        <w:tc>
          <w:tcPr>
            <w:tcW w:w="1645" w:type="dxa"/>
            <w:gridSpan w:val="2"/>
            <w:tcMar>
              <w:top w:w="0" w:type="dxa"/>
              <w:left w:w="0" w:type="dxa"/>
              <w:bottom w:w="0" w:type="dxa"/>
              <w:right w:w="0" w:type="dxa"/>
            </w:tcMar>
          </w:tcPr>
          <w:p w14:paraId="69C0C99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2907:1494 (Overall) </w:t>
            </w:r>
          </w:p>
          <w:p w14:paraId="2402C2A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1600" w:type="dxa"/>
            <w:gridSpan w:val="2"/>
            <w:tcMar>
              <w:top w:w="0" w:type="dxa"/>
              <w:left w:w="0" w:type="dxa"/>
              <w:bottom w:w="0" w:type="dxa"/>
              <w:right w:w="0" w:type="dxa"/>
            </w:tcMar>
          </w:tcPr>
          <w:p w14:paraId="18F36DB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31.3 ± 6.2 (Overall) </w:t>
            </w:r>
          </w:p>
          <w:p w14:paraId="4DC503E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1580" w:type="dxa"/>
            <w:gridSpan w:val="2"/>
            <w:tcMar>
              <w:top w:w="0" w:type="dxa"/>
              <w:left w:w="0" w:type="dxa"/>
              <w:bottom w:w="0" w:type="dxa"/>
              <w:right w:w="0" w:type="dxa"/>
            </w:tcMar>
          </w:tcPr>
          <w:p w14:paraId="1A32DF5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8.3 ± 1.3 (Overall) </w:t>
            </w:r>
          </w:p>
          <w:p w14:paraId="2CAF48E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1540" w:type="dxa"/>
            <w:gridSpan w:val="2"/>
            <w:tcMar>
              <w:top w:w="0" w:type="dxa"/>
              <w:left w:w="0" w:type="dxa"/>
              <w:bottom w:w="0" w:type="dxa"/>
              <w:right w:w="0" w:type="dxa"/>
            </w:tcMar>
          </w:tcPr>
          <w:p w14:paraId="39C32AB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15.8 ± 8.6 (Overall) </w:t>
            </w:r>
          </w:p>
          <w:p w14:paraId="0F4A7644"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p w14:paraId="36A7C2A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
        </w:tc>
        <w:tc>
          <w:tcPr>
            <w:tcW w:w="700" w:type="dxa"/>
            <w:tcMar>
              <w:top w:w="0" w:type="dxa"/>
              <w:left w:w="0" w:type="dxa"/>
              <w:bottom w:w="0" w:type="dxa"/>
              <w:right w:w="0" w:type="dxa"/>
            </w:tcMar>
          </w:tcPr>
          <w:p w14:paraId="5CE26F9B"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2.62 years</w:t>
            </w:r>
          </w:p>
        </w:tc>
      </w:tr>
      <w:tr w:rsidR="009A4123" w:rsidRPr="00B63860" w14:paraId="2B663094" w14:textId="77777777" w:rsidTr="00CC260B">
        <w:tc>
          <w:tcPr>
            <w:tcW w:w="990" w:type="dxa"/>
            <w:tcMar>
              <w:top w:w="0" w:type="dxa"/>
              <w:left w:w="0" w:type="dxa"/>
              <w:bottom w:w="0" w:type="dxa"/>
              <w:right w:w="0" w:type="dxa"/>
            </w:tcMar>
          </w:tcPr>
          <w:p w14:paraId="3EDBD7B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Ishibashi 2022</w:t>
            </w:r>
          </w:p>
        </w:tc>
        <w:tc>
          <w:tcPr>
            <w:tcW w:w="900" w:type="dxa"/>
            <w:tcMar>
              <w:top w:w="0" w:type="dxa"/>
              <w:left w:w="0" w:type="dxa"/>
              <w:bottom w:w="0" w:type="dxa"/>
              <w:right w:w="0" w:type="dxa"/>
            </w:tcMar>
          </w:tcPr>
          <w:p w14:paraId="12EF649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Japan</w:t>
            </w:r>
          </w:p>
        </w:tc>
        <w:tc>
          <w:tcPr>
            <w:tcW w:w="810" w:type="dxa"/>
            <w:tcMar>
              <w:top w:w="0" w:type="dxa"/>
              <w:left w:w="0" w:type="dxa"/>
              <w:bottom w:w="0" w:type="dxa"/>
              <w:right w:w="0" w:type="dxa"/>
            </w:tcMar>
          </w:tcPr>
          <w:p w14:paraId="04F3D2C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Prospective </w:t>
            </w:r>
            <w:proofErr w:type="spellStart"/>
            <w:r w:rsidRPr="00B63860">
              <w:rPr>
                <w:rFonts w:asciiTheme="majorBidi" w:eastAsia="Lexend" w:hAnsiTheme="majorBidi" w:cstheme="majorBidi"/>
                <w:sz w:val="20"/>
                <w:szCs w:val="20"/>
              </w:rPr>
              <w:t>Cohortl</w:t>
            </w:r>
            <w:proofErr w:type="spellEnd"/>
          </w:p>
        </w:tc>
        <w:tc>
          <w:tcPr>
            <w:tcW w:w="1260" w:type="dxa"/>
            <w:tcMar>
              <w:top w:w="0" w:type="dxa"/>
              <w:left w:w="0" w:type="dxa"/>
              <w:bottom w:w="0" w:type="dxa"/>
              <w:right w:w="0" w:type="dxa"/>
            </w:tcMar>
          </w:tcPr>
          <w:p w14:paraId="5895FB1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SGLT2i inhibitors </w:t>
            </w:r>
          </w:p>
        </w:tc>
        <w:tc>
          <w:tcPr>
            <w:tcW w:w="1170" w:type="dxa"/>
            <w:tcMar>
              <w:top w:w="0" w:type="dxa"/>
              <w:left w:w="0" w:type="dxa"/>
              <w:bottom w:w="0" w:type="dxa"/>
              <w:right w:w="0" w:type="dxa"/>
            </w:tcMar>
          </w:tcPr>
          <w:p w14:paraId="0CCFC4E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No SGLT2 inhibitors (Standard care) </w:t>
            </w:r>
          </w:p>
        </w:tc>
        <w:tc>
          <w:tcPr>
            <w:tcW w:w="1170" w:type="dxa"/>
            <w:tcMar>
              <w:top w:w="0" w:type="dxa"/>
              <w:left w:w="0" w:type="dxa"/>
              <w:bottom w:w="0" w:type="dxa"/>
              <w:right w:w="0" w:type="dxa"/>
            </w:tcMar>
          </w:tcPr>
          <w:p w14:paraId="19C0C5C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40</w:t>
            </w:r>
          </w:p>
        </w:tc>
        <w:tc>
          <w:tcPr>
            <w:tcW w:w="785" w:type="dxa"/>
            <w:tcMar>
              <w:top w:w="0" w:type="dxa"/>
              <w:left w:w="0" w:type="dxa"/>
              <w:bottom w:w="0" w:type="dxa"/>
              <w:right w:w="0" w:type="dxa"/>
            </w:tcMar>
          </w:tcPr>
          <w:p w14:paraId="1371300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73</w:t>
            </w:r>
          </w:p>
        </w:tc>
        <w:tc>
          <w:tcPr>
            <w:tcW w:w="1105" w:type="dxa"/>
            <w:tcMar>
              <w:top w:w="0" w:type="dxa"/>
              <w:left w:w="0" w:type="dxa"/>
              <w:bottom w:w="0" w:type="dxa"/>
              <w:right w:w="0" w:type="dxa"/>
            </w:tcMar>
          </w:tcPr>
          <w:p w14:paraId="784D2FB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53.5 ± 1.2</w:t>
            </w:r>
          </w:p>
        </w:tc>
        <w:tc>
          <w:tcPr>
            <w:tcW w:w="720" w:type="dxa"/>
            <w:tcMar>
              <w:top w:w="0" w:type="dxa"/>
              <w:left w:w="0" w:type="dxa"/>
              <w:bottom w:w="0" w:type="dxa"/>
              <w:right w:w="0" w:type="dxa"/>
            </w:tcMar>
          </w:tcPr>
          <w:p w14:paraId="442DA81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53.7 ± 0.88</w:t>
            </w:r>
          </w:p>
        </w:tc>
        <w:tc>
          <w:tcPr>
            <w:tcW w:w="1080" w:type="dxa"/>
            <w:tcMar>
              <w:top w:w="0" w:type="dxa"/>
              <w:left w:w="0" w:type="dxa"/>
              <w:bottom w:w="0" w:type="dxa"/>
              <w:right w:w="0" w:type="dxa"/>
            </w:tcMar>
          </w:tcPr>
          <w:p w14:paraId="2696AEB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28:12</w:t>
            </w:r>
          </w:p>
        </w:tc>
        <w:tc>
          <w:tcPr>
            <w:tcW w:w="560" w:type="dxa"/>
            <w:tcMar>
              <w:top w:w="0" w:type="dxa"/>
              <w:left w:w="0" w:type="dxa"/>
              <w:bottom w:w="0" w:type="dxa"/>
              <w:right w:w="0" w:type="dxa"/>
            </w:tcMar>
          </w:tcPr>
          <w:p w14:paraId="7DB9379B"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49:24 </w:t>
            </w:r>
          </w:p>
        </w:tc>
        <w:tc>
          <w:tcPr>
            <w:tcW w:w="960" w:type="dxa"/>
            <w:tcMar>
              <w:top w:w="0" w:type="dxa"/>
              <w:left w:w="0" w:type="dxa"/>
              <w:bottom w:w="0" w:type="dxa"/>
              <w:right w:w="0" w:type="dxa"/>
            </w:tcMar>
          </w:tcPr>
          <w:p w14:paraId="45973E0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30.1 ± 0.72 </w:t>
            </w:r>
          </w:p>
        </w:tc>
        <w:tc>
          <w:tcPr>
            <w:tcW w:w="640" w:type="dxa"/>
            <w:tcMar>
              <w:top w:w="0" w:type="dxa"/>
              <w:left w:w="0" w:type="dxa"/>
              <w:bottom w:w="0" w:type="dxa"/>
              <w:right w:w="0" w:type="dxa"/>
            </w:tcMar>
          </w:tcPr>
          <w:p w14:paraId="5634659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24.8 ± 0.43 </w:t>
            </w:r>
          </w:p>
        </w:tc>
        <w:tc>
          <w:tcPr>
            <w:tcW w:w="980" w:type="dxa"/>
            <w:tcMar>
              <w:top w:w="0" w:type="dxa"/>
              <w:left w:w="0" w:type="dxa"/>
              <w:bottom w:w="0" w:type="dxa"/>
              <w:right w:w="0" w:type="dxa"/>
            </w:tcMar>
          </w:tcPr>
          <w:p w14:paraId="332A4F2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8.2 ± 0.14 </w:t>
            </w:r>
          </w:p>
        </w:tc>
        <w:tc>
          <w:tcPr>
            <w:tcW w:w="600" w:type="dxa"/>
            <w:tcMar>
              <w:top w:w="0" w:type="dxa"/>
              <w:left w:w="0" w:type="dxa"/>
              <w:bottom w:w="0" w:type="dxa"/>
              <w:right w:w="0" w:type="dxa"/>
            </w:tcMar>
          </w:tcPr>
          <w:p w14:paraId="792AC02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8.2 ± 0.19 </w:t>
            </w:r>
          </w:p>
        </w:tc>
        <w:tc>
          <w:tcPr>
            <w:tcW w:w="860" w:type="dxa"/>
            <w:tcMar>
              <w:top w:w="0" w:type="dxa"/>
              <w:left w:w="0" w:type="dxa"/>
              <w:bottom w:w="0" w:type="dxa"/>
              <w:right w:w="0" w:type="dxa"/>
            </w:tcMar>
          </w:tcPr>
          <w:p w14:paraId="1BCA465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12.7 ± 1.1 </w:t>
            </w:r>
          </w:p>
        </w:tc>
        <w:tc>
          <w:tcPr>
            <w:tcW w:w="680" w:type="dxa"/>
            <w:tcMar>
              <w:top w:w="0" w:type="dxa"/>
              <w:left w:w="0" w:type="dxa"/>
              <w:bottom w:w="0" w:type="dxa"/>
              <w:right w:w="0" w:type="dxa"/>
            </w:tcMar>
          </w:tcPr>
          <w:p w14:paraId="39FA733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10.7 ± 0.9 </w:t>
            </w:r>
          </w:p>
        </w:tc>
        <w:tc>
          <w:tcPr>
            <w:tcW w:w="700" w:type="dxa"/>
            <w:tcMar>
              <w:top w:w="0" w:type="dxa"/>
              <w:left w:w="0" w:type="dxa"/>
              <w:bottom w:w="0" w:type="dxa"/>
              <w:right w:w="0" w:type="dxa"/>
            </w:tcMar>
          </w:tcPr>
          <w:p w14:paraId="5821FFFB"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3 years</w:t>
            </w:r>
          </w:p>
        </w:tc>
      </w:tr>
      <w:tr w:rsidR="009A4123" w:rsidRPr="00B63860" w14:paraId="7937D66D" w14:textId="77777777" w:rsidTr="00CC260B">
        <w:tc>
          <w:tcPr>
            <w:tcW w:w="990" w:type="dxa"/>
            <w:tcMar>
              <w:top w:w="0" w:type="dxa"/>
              <w:left w:w="0" w:type="dxa"/>
              <w:bottom w:w="0" w:type="dxa"/>
              <w:right w:w="0" w:type="dxa"/>
            </w:tcMar>
          </w:tcPr>
          <w:p w14:paraId="0A6262E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El-Haggar 2024</w:t>
            </w:r>
          </w:p>
        </w:tc>
        <w:tc>
          <w:tcPr>
            <w:tcW w:w="900" w:type="dxa"/>
            <w:tcMar>
              <w:top w:w="0" w:type="dxa"/>
              <w:left w:w="0" w:type="dxa"/>
              <w:bottom w:w="0" w:type="dxa"/>
              <w:right w:w="0" w:type="dxa"/>
            </w:tcMar>
          </w:tcPr>
          <w:p w14:paraId="7B79EAA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Egypt</w:t>
            </w:r>
          </w:p>
        </w:tc>
        <w:tc>
          <w:tcPr>
            <w:tcW w:w="810" w:type="dxa"/>
            <w:tcMar>
              <w:top w:w="0" w:type="dxa"/>
              <w:left w:w="0" w:type="dxa"/>
              <w:bottom w:w="0" w:type="dxa"/>
              <w:right w:w="0" w:type="dxa"/>
            </w:tcMar>
          </w:tcPr>
          <w:p w14:paraId="0F2CBAC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RCT</w:t>
            </w:r>
          </w:p>
        </w:tc>
        <w:tc>
          <w:tcPr>
            <w:tcW w:w="1260" w:type="dxa"/>
            <w:tcMar>
              <w:top w:w="0" w:type="dxa"/>
              <w:left w:w="0" w:type="dxa"/>
              <w:bottom w:w="0" w:type="dxa"/>
              <w:right w:w="0" w:type="dxa"/>
            </w:tcMar>
          </w:tcPr>
          <w:p w14:paraId="5C51FF44"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Empagliflozin 25 mg</w:t>
            </w:r>
          </w:p>
        </w:tc>
        <w:tc>
          <w:tcPr>
            <w:tcW w:w="1170" w:type="dxa"/>
            <w:tcMar>
              <w:top w:w="0" w:type="dxa"/>
              <w:left w:w="0" w:type="dxa"/>
              <w:bottom w:w="0" w:type="dxa"/>
              <w:right w:w="0" w:type="dxa"/>
            </w:tcMar>
          </w:tcPr>
          <w:p w14:paraId="50BACB3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Placebo</w:t>
            </w:r>
          </w:p>
        </w:tc>
        <w:tc>
          <w:tcPr>
            <w:tcW w:w="1170" w:type="dxa"/>
            <w:tcMar>
              <w:top w:w="0" w:type="dxa"/>
              <w:left w:w="0" w:type="dxa"/>
              <w:bottom w:w="0" w:type="dxa"/>
              <w:right w:w="0" w:type="dxa"/>
            </w:tcMar>
          </w:tcPr>
          <w:p w14:paraId="2912CBF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25</w:t>
            </w:r>
          </w:p>
        </w:tc>
        <w:tc>
          <w:tcPr>
            <w:tcW w:w="785" w:type="dxa"/>
            <w:tcMar>
              <w:top w:w="0" w:type="dxa"/>
              <w:left w:w="0" w:type="dxa"/>
              <w:bottom w:w="0" w:type="dxa"/>
              <w:right w:w="0" w:type="dxa"/>
            </w:tcMar>
          </w:tcPr>
          <w:p w14:paraId="51273AB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25</w:t>
            </w:r>
          </w:p>
        </w:tc>
        <w:tc>
          <w:tcPr>
            <w:tcW w:w="1105" w:type="dxa"/>
            <w:tcMar>
              <w:top w:w="0" w:type="dxa"/>
              <w:left w:w="0" w:type="dxa"/>
              <w:bottom w:w="0" w:type="dxa"/>
              <w:right w:w="0" w:type="dxa"/>
            </w:tcMar>
          </w:tcPr>
          <w:p w14:paraId="6904479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52.9 ± 6.29</w:t>
            </w:r>
          </w:p>
        </w:tc>
        <w:tc>
          <w:tcPr>
            <w:tcW w:w="720" w:type="dxa"/>
            <w:tcMar>
              <w:top w:w="0" w:type="dxa"/>
              <w:left w:w="0" w:type="dxa"/>
              <w:bottom w:w="0" w:type="dxa"/>
              <w:right w:w="0" w:type="dxa"/>
            </w:tcMar>
          </w:tcPr>
          <w:p w14:paraId="643C104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53.4 ± 6.16</w:t>
            </w:r>
          </w:p>
        </w:tc>
        <w:tc>
          <w:tcPr>
            <w:tcW w:w="1080" w:type="dxa"/>
            <w:tcMar>
              <w:top w:w="0" w:type="dxa"/>
              <w:left w:w="0" w:type="dxa"/>
              <w:bottom w:w="0" w:type="dxa"/>
              <w:right w:w="0" w:type="dxa"/>
            </w:tcMar>
          </w:tcPr>
          <w:p w14:paraId="6F4A31A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560" w:type="dxa"/>
            <w:tcMar>
              <w:top w:w="0" w:type="dxa"/>
              <w:left w:w="0" w:type="dxa"/>
              <w:bottom w:w="0" w:type="dxa"/>
              <w:right w:w="0" w:type="dxa"/>
            </w:tcMar>
          </w:tcPr>
          <w:p w14:paraId="0C5F27F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960" w:type="dxa"/>
            <w:tcMar>
              <w:top w:w="0" w:type="dxa"/>
              <w:left w:w="0" w:type="dxa"/>
              <w:bottom w:w="0" w:type="dxa"/>
              <w:right w:w="0" w:type="dxa"/>
            </w:tcMar>
          </w:tcPr>
          <w:p w14:paraId="398DCC6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640" w:type="dxa"/>
            <w:tcMar>
              <w:top w:w="0" w:type="dxa"/>
              <w:left w:w="0" w:type="dxa"/>
              <w:bottom w:w="0" w:type="dxa"/>
              <w:right w:w="0" w:type="dxa"/>
            </w:tcMar>
          </w:tcPr>
          <w:p w14:paraId="0FE888A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980" w:type="dxa"/>
            <w:tcMar>
              <w:top w:w="0" w:type="dxa"/>
              <w:left w:w="0" w:type="dxa"/>
              <w:bottom w:w="0" w:type="dxa"/>
              <w:right w:w="0" w:type="dxa"/>
            </w:tcMar>
          </w:tcPr>
          <w:p w14:paraId="66CF4FB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8.10 ± 0.67 </w:t>
            </w:r>
          </w:p>
        </w:tc>
        <w:tc>
          <w:tcPr>
            <w:tcW w:w="600" w:type="dxa"/>
            <w:tcMar>
              <w:top w:w="0" w:type="dxa"/>
              <w:left w:w="0" w:type="dxa"/>
              <w:bottom w:w="0" w:type="dxa"/>
              <w:right w:w="0" w:type="dxa"/>
            </w:tcMar>
          </w:tcPr>
          <w:p w14:paraId="3A31687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7.80 ± 0.91 </w:t>
            </w:r>
          </w:p>
        </w:tc>
        <w:tc>
          <w:tcPr>
            <w:tcW w:w="860" w:type="dxa"/>
            <w:tcMar>
              <w:top w:w="0" w:type="dxa"/>
              <w:left w:w="0" w:type="dxa"/>
              <w:bottom w:w="0" w:type="dxa"/>
              <w:right w:w="0" w:type="dxa"/>
            </w:tcMar>
          </w:tcPr>
          <w:p w14:paraId="734B924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680" w:type="dxa"/>
            <w:tcMar>
              <w:top w:w="0" w:type="dxa"/>
              <w:left w:w="0" w:type="dxa"/>
              <w:bottom w:w="0" w:type="dxa"/>
              <w:right w:w="0" w:type="dxa"/>
            </w:tcMar>
          </w:tcPr>
          <w:p w14:paraId="3536A46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700" w:type="dxa"/>
            <w:tcMar>
              <w:top w:w="0" w:type="dxa"/>
              <w:left w:w="0" w:type="dxa"/>
              <w:bottom w:w="0" w:type="dxa"/>
              <w:right w:w="0" w:type="dxa"/>
            </w:tcMar>
          </w:tcPr>
          <w:p w14:paraId="0C4CCBE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3 months</w:t>
            </w:r>
          </w:p>
        </w:tc>
      </w:tr>
      <w:tr w:rsidR="009A4123" w:rsidRPr="00B63860" w14:paraId="1557B095" w14:textId="77777777" w:rsidTr="00CC260B">
        <w:tc>
          <w:tcPr>
            <w:tcW w:w="990" w:type="dxa"/>
            <w:tcMar>
              <w:top w:w="0" w:type="dxa"/>
              <w:left w:w="0" w:type="dxa"/>
              <w:bottom w:w="0" w:type="dxa"/>
              <w:right w:w="0" w:type="dxa"/>
            </w:tcMar>
          </w:tcPr>
          <w:p w14:paraId="6E2A0E8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lastRenderedPageBreak/>
              <w:t>Adhikari 2025</w:t>
            </w:r>
          </w:p>
        </w:tc>
        <w:tc>
          <w:tcPr>
            <w:tcW w:w="900" w:type="dxa"/>
            <w:tcMar>
              <w:top w:w="0" w:type="dxa"/>
              <w:left w:w="0" w:type="dxa"/>
              <w:bottom w:w="0" w:type="dxa"/>
              <w:right w:w="0" w:type="dxa"/>
            </w:tcMar>
          </w:tcPr>
          <w:p w14:paraId="5E7D3A4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India</w:t>
            </w:r>
          </w:p>
        </w:tc>
        <w:tc>
          <w:tcPr>
            <w:tcW w:w="810" w:type="dxa"/>
            <w:tcMar>
              <w:top w:w="0" w:type="dxa"/>
              <w:left w:w="0" w:type="dxa"/>
              <w:bottom w:w="0" w:type="dxa"/>
              <w:right w:w="0" w:type="dxa"/>
            </w:tcMar>
          </w:tcPr>
          <w:p w14:paraId="05315D6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RCT</w:t>
            </w:r>
          </w:p>
        </w:tc>
        <w:tc>
          <w:tcPr>
            <w:tcW w:w="1260" w:type="dxa"/>
            <w:tcMar>
              <w:top w:w="0" w:type="dxa"/>
              <w:left w:w="0" w:type="dxa"/>
              <w:bottom w:w="0" w:type="dxa"/>
              <w:right w:w="0" w:type="dxa"/>
            </w:tcMar>
          </w:tcPr>
          <w:p w14:paraId="385DCA5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Dapagliflozin 10 mg</w:t>
            </w:r>
          </w:p>
        </w:tc>
        <w:tc>
          <w:tcPr>
            <w:tcW w:w="1170" w:type="dxa"/>
            <w:tcMar>
              <w:top w:w="0" w:type="dxa"/>
              <w:left w:w="0" w:type="dxa"/>
              <w:bottom w:w="0" w:type="dxa"/>
              <w:right w:w="0" w:type="dxa"/>
            </w:tcMar>
          </w:tcPr>
          <w:p w14:paraId="0127B1E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OADs</w:t>
            </w:r>
          </w:p>
        </w:tc>
        <w:tc>
          <w:tcPr>
            <w:tcW w:w="1170" w:type="dxa"/>
            <w:tcMar>
              <w:top w:w="0" w:type="dxa"/>
              <w:left w:w="0" w:type="dxa"/>
              <w:bottom w:w="0" w:type="dxa"/>
              <w:right w:w="0" w:type="dxa"/>
            </w:tcMar>
          </w:tcPr>
          <w:p w14:paraId="6AE116B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22</w:t>
            </w:r>
          </w:p>
        </w:tc>
        <w:tc>
          <w:tcPr>
            <w:tcW w:w="785" w:type="dxa"/>
            <w:tcMar>
              <w:top w:w="0" w:type="dxa"/>
              <w:left w:w="0" w:type="dxa"/>
              <w:bottom w:w="0" w:type="dxa"/>
              <w:right w:w="0" w:type="dxa"/>
            </w:tcMar>
          </w:tcPr>
          <w:p w14:paraId="5831CAA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18</w:t>
            </w:r>
          </w:p>
        </w:tc>
        <w:tc>
          <w:tcPr>
            <w:tcW w:w="1105" w:type="dxa"/>
            <w:tcMar>
              <w:top w:w="0" w:type="dxa"/>
              <w:left w:w="0" w:type="dxa"/>
              <w:bottom w:w="0" w:type="dxa"/>
              <w:right w:w="0" w:type="dxa"/>
            </w:tcMar>
          </w:tcPr>
          <w:p w14:paraId="0938D31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49.5 (45.0, 62.0) </w:t>
            </w:r>
          </w:p>
        </w:tc>
        <w:tc>
          <w:tcPr>
            <w:tcW w:w="720" w:type="dxa"/>
            <w:tcMar>
              <w:top w:w="0" w:type="dxa"/>
              <w:left w:w="0" w:type="dxa"/>
              <w:bottom w:w="0" w:type="dxa"/>
              <w:right w:w="0" w:type="dxa"/>
            </w:tcMar>
          </w:tcPr>
          <w:p w14:paraId="64080D4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56.5 (45.0, 60.0) </w:t>
            </w:r>
          </w:p>
        </w:tc>
        <w:tc>
          <w:tcPr>
            <w:tcW w:w="1080" w:type="dxa"/>
            <w:tcMar>
              <w:top w:w="0" w:type="dxa"/>
              <w:left w:w="0" w:type="dxa"/>
              <w:bottom w:w="0" w:type="dxa"/>
              <w:right w:w="0" w:type="dxa"/>
            </w:tcMar>
          </w:tcPr>
          <w:p w14:paraId="23F30FE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11:11</w:t>
            </w:r>
          </w:p>
        </w:tc>
        <w:tc>
          <w:tcPr>
            <w:tcW w:w="560" w:type="dxa"/>
            <w:tcMar>
              <w:top w:w="0" w:type="dxa"/>
              <w:left w:w="0" w:type="dxa"/>
              <w:bottom w:w="0" w:type="dxa"/>
              <w:right w:w="0" w:type="dxa"/>
            </w:tcMar>
          </w:tcPr>
          <w:p w14:paraId="3EB6BF7B"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5:13</w:t>
            </w:r>
          </w:p>
        </w:tc>
        <w:tc>
          <w:tcPr>
            <w:tcW w:w="960" w:type="dxa"/>
            <w:tcMar>
              <w:top w:w="0" w:type="dxa"/>
              <w:left w:w="0" w:type="dxa"/>
              <w:bottom w:w="0" w:type="dxa"/>
              <w:right w:w="0" w:type="dxa"/>
            </w:tcMar>
          </w:tcPr>
          <w:p w14:paraId="03DC96F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27.3 (25.3, 31.6) </w:t>
            </w:r>
          </w:p>
        </w:tc>
        <w:tc>
          <w:tcPr>
            <w:tcW w:w="640" w:type="dxa"/>
            <w:tcMar>
              <w:top w:w="0" w:type="dxa"/>
              <w:left w:w="0" w:type="dxa"/>
              <w:bottom w:w="0" w:type="dxa"/>
              <w:right w:w="0" w:type="dxa"/>
            </w:tcMar>
          </w:tcPr>
          <w:p w14:paraId="409968C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25.9 (24.2, 28.8) </w:t>
            </w:r>
          </w:p>
        </w:tc>
        <w:tc>
          <w:tcPr>
            <w:tcW w:w="980" w:type="dxa"/>
            <w:tcMar>
              <w:top w:w="0" w:type="dxa"/>
              <w:left w:w="0" w:type="dxa"/>
              <w:bottom w:w="0" w:type="dxa"/>
              <w:right w:w="0" w:type="dxa"/>
            </w:tcMar>
          </w:tcPr>
          <w:p w14:paraId="5855D10B"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7.55 (7.20, 8.0) </w:t>
            </w:r>
          </w:p>
        </w:tc>
        <w:tc>
          <w:tcPr>
            <w:tcW w:w="600" w:type="dxa"/>
            <w:tcMar>
              <w:top w:w="0" w:type="dxa"/>
              <w:left w:w="0" w:type="dxa"/>
              <w:bottom w:w="0" w:type="dxa"/>
              <w:right w:w="0" w:type="dxa"/>
            </w:tcMar>
          </w:tcPr>
          <w:p w14:paraId="6F416DA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7.40 (7.20, 7.60) </w:t>
            </w:r>
          </w:p>
        </w:tc>
        <w:tc>
          <w:tcPr>
            <w:tcW w:w="860" w:type="dxa"/>
            <w:tcMar>
              <w:top w:w="0" w:type="dxa"/>
              <w:left w:w="0" w:type="dxa"/>
              <w:bottom w:w="0" w:type="dxa"/>
              <w:right w:w="0" w:type="dxa"/>
            </w:tcMar>
          </w:tcPr>
          <w:p w14:paraId="0027DDE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5.0 (5.0, 8.0) </w:t>
            </w:r>
          </w:p>
        </w:tc>
        <w:tc>
          <w:tcPr>
            <w:tcW w:w="680" w:type="dxa"/>
            <w:tcMar>
              <w:top w:w="0" w:type="dxa"/>
              <w:left w:w="0" w:type="dxa"/>
              <w:bottom w:w="0" w:type="dxa"/>
              <w:right w:w="0" w:type="dxa"/>
            </w:tcMar>
          </w:tcPr>
          <w:p w14:paraId="1477EE5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5.0 (4.0, 7.0) </w:t>
            </w:r>
          </w:p>
        </w:tc>
        <w:tc>
          <w:tcPr>
            <w:tcW w:w="700" w:type="dxa"/>
            <w:tcMar>
              <w:top w:w="0" w:type="dxa"/>
              <w:left w:w="0" w:type="dxa"/>
              <w:bottom w:w="0" w:type="dxa"/>
              <w:right w:w="0" w:type="dxa"/>
            </w:tcMar>
          </w:tcPr>
          <w:p w14:paraId="58000F4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6 months</w:t>
            </w:r>
          </w:p>
        </w:tc>
      </w:tr>
      <w:tr w:rsidR="009A4123" w:rsidRPr="00B63860" w14:paraId="6CBE22FD" w14:textId="77777777" w:rsidTr="00CC260B">
        <w:tc>
          <w:tcPr>
            <w:tcW w:w="990" w:type="dxa"/>
            <w:tcMar>
              <w:top w:w="0" w:type="dxa"/>
              <w:left w:w="0" w:type="dxa"/>
              <w:bottom w:w="0" w:type="dxa"/>
              <w:right w:w="0" w:type="dxa"/>
            </w:tcMar>
          </w:tcPr>
          <w:p w14:paraId="601E053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roofErr w:type="spellStart"/>
            <w:r w:rsidRPr="00B63860">
              <w:rPr>
                <w:rFonts w:asciiTheme="majorBidi" w:eastAsia="Lexend" w:hAnsiTheme="majorBidi" w:cstheme="majorBidi"/>
                <w:sz w:val="20"/>
                <w:szCs w:val="20"/>
              </w:rPr>
              <w:t>Klabuzai</w:t>
            </w:r>
            <w:proofErr w:type="spellEnd"/>
            <w:r w:rsidRPr="00B63860">
              <w:rPr>
                <w:rFonts w:asciiTheme="majorBidi" w:eastAsia="Lexend" w:hAnsiTheme="majorBidi" w:cstheme="majorBidi"/>
                <w:sz w:val="20"/>
                <w:szCs w:val="20"/>
              </w:rPr>
              <w:t xml:space="preserve"> 2025</w:t>
            </w:r>
          </w:p>
        </w:tc>
        <w:tc>
          <w:tcPr>
            <w:tcW w:w="900" w:type="dxa"/>
            <w:tcMar>
              <w:top w:w="0" w:type="dxa"/>
              <w:left w:w="0" w:type="dxa"/>
              <w:bottom w:w="0" w:type="dxa"/>
              <w:right w:w="0" w:type="dxa"/>
            </w:tcMar>
          </w:tcPr>
          <w:p w14:paraId="7ABBEF7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Hungary</w:t>
            </w:r>
          </w:p>
        </w:tc>
        <w:tc>
          <w:tcPr>
            <w:tcW w:w="810" w:type="dxa"/>
            <w:tcMar>
              <w:top w:w="0" w:type="dxa"/>
              <w:left w:w="0" w:type="dxa"/>
              <w:bottom w:w="0" w:type="dxa"/>
              <w:right w:w="0" w:type="dxa"/>
            </w:tcMar>
          </w:tcPr>
          <w:p w14:paraId="16DDACA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roofErr w:type="gramStart"/>
            <w:r w:rsidRPr="00B63860">
              <w:rPr>
                <w:rFonts w:asciiTheme="majorBidi" w:eastAsia="Lexend" w:hAnsiTheme="majorBidi" w:cstheme="majorBidi"/>
                <w:sz w:val="20"/>
                <w:szCs w:val="20"/>
              </w:rPr>
              <w:t>Single-arm</w:t>
            </w:r>
            <w:proofErr w:type="gramEnd"/>
          </w:p>
        </w:tc>
        <w:tc>
          <w:tcPr>
            <w:tcW w:w="1260" w:type="dxa"/>
            <w:tcMar>
              <w:top w:w="0" w:type="dxa"/>
              <w:left w:w="0" w:type="dxa"/>
              <w:bottom w:w="0" w:type="dxa"/>
              <w:right w:w="0" w:type="dxa"/>
            </w:tcMar>
          </w:tcPr>
          <w:p w14:paraId="26A6CE4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SGLT-2 inhibitor therapy (22 empagliflozin / 18 dapagliflozin) </w:t>
            </w:r>
          </w:p>
        </w:tc>
        <w:tc>
          <w:tcPr>
            <w:tcW w:w="1170" w:type="dxa"/>
            <w:tcMar>
              <w:top w:w="0" w:type="dxa"/>
              <w:left w:w="0" w:type="dxa"/>
              <w:bottom w:w="0" w:type="dxa"/>
              <w:right w:w="0" w:type="dxa"/>
            </w:tcMar>
          </w:tcPr>
          <w:p w14:paraId="6843FE5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w:t>
            </w:r>
          </w:p>
        </w:tc>
        <w:tc>
          <w:tcPr>
            <w:tcW w:w="1170" w:type="dxa"/>
            <w:tcMar>
              <w:top w:w="0" w:type="dxa"/>
              <w:left w:w="0" w:type="dxa"/>
              <w:bottom w:w="0" w:type="dxa"/>
              <w:right w:w="0" w:type="dxa"/>
            </w:tcMar>
          </w:tcPr>
          <w:p w14:paraId="138212B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40</w:t>
            </w:r>
          </w:p>
        </w:tc>
        <w:tc>
          <w:tcPr>
            <w:tcW w:w="785" w:type="dxa"/>
            <w:tcMar>
              <w:top w:w="0" w:type="dxa"/>
              <w:left w:w="0" w:type="dxa"/>
              <w:bottom w:w="0" w:type="dxa"/>
              <w:right w:w="0" w:type="dxa"/>
            </w:tcMar>
          </w:tcPr>
          <w:p w14:paraId="0014198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w:t>
            </w:r>
          </w:p>
        </w:tc>
        <w:tc>
          <w:tcPr>
            <w:tcW w:w="1105" w:type="dxa"/>
            <w:tcMar>
              <w:top w:w="0" w:type="dxa"/>
              <w:left w:w="0" w:type="dxa"/>
              <w:bottom w:w="0" w:type="dxa"/>
              <w:right w:w="0" w:type="dxa"/>
            </w:tcMar>
          </w:tcPr>
          <w:p w14:paraId="1E22E705"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61 ± 9</w:t>
            </w:r>
          </w:p>
        </w:tc>
        <w:tc>
          <w:tcPr>
            <w:tcW w:w="720" w:type="dxa"/>
            <w:tcMar>
              <w:top w:w="0" w:type="dxa"/>
              <w:left w:w="0" w:type="dxa"/>
              <w:bottom w:w="0" w:type="dxa"/>
              <w:right w:w="0" w:type="dxa"/>
            </w:tcMar>
          </w:tcPr>
          <w:p w14:paraId="3C05620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w:t>
            </w:r>
          </w:p>
        </w:tc>
        <w:tc>
          <w:tcPr>
            <w:tcW w:w="1080" w:type="dxa"/>
            <w:tcMar>
              <w:top w:w="0" w:type="dxa"/>
              <w:left w:w="0" w:type="dxa"/>
              <w:bottom w:w="0" w:type="dxa"/>
              <w:right w:w="0" w:type="dxa"/>
            </w:tcMar>
          </w:tcPr>
          <w:p w14:paraId="358EFC1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19:21</w:t>
            </w:r>
          </w:p>
        </w:tc>
        <w:tc>
          <w:tcPr>
            <w:tcW w:w="560" w:type="dxa"/>
            <w:tcMar>
              <w:top w:w="0" w:type="dxa"/>
              <w:left w:w="0" w:type="dxa"/>
              <w:bottom w:w="0" w:type="dxa"/>
              <w:right w:w="0" w:type="dxa"/>
            </w:tcMar>
          </w:tcPr>
          <w:p w14:paraId="4969CBC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w:t>
            </w:r>
          </w:p>
        </w:tc>
        <w:tc>
          <w:tcPr>
            <w:tcW w:w="960" w:type="dxa"/>
            <w:tcMar>
              <w:top w:w="0" w:type="dxa"/>
              <w:left w:w="0" w:type="dxa"/>
              <w:bottom w:w="0" w:type="dxa"/>
              <w:right w:w="0" w:type="dxa"/>
            </w:tcMar>
          </w:tcPr>
          <w:p w14:paraId="7ABA9D4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32.6 ± 4.45 </w:t>
            </w:r>
          </w:p>
        </w:tc>
        <w:tc>
          <w:tcPr>
            <w:tcW w:w="640" w:type="dxa"/>
            <w:tcMar>
              <w:top w:w="0" w:type="dxa"/>
              <w:left w:w="0" w:type="dxa"/>
              <w:bottom w:w="0" w:type="dxa"/>
              <w:right w:w="0" w:type="dxa"/>
            </w:tcMar>
          </w:tcPr>
          <w:p w14:paraId="64318C4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w:t>
            </w:r>
          </w:p>
        </w:tc>
        <w:tc>
          <w:tcPr>
            <w:tcW w:w="980" w:type="dxa"/>
            <w:tcMar>
              <w:top w:w="0" w:type="dxa"/>
              <w:left w:w="0" w:type="dxa"/>
              <w:bottom w:w="0" w:type="dxa"/>
              <w:right w:w="0" w:type="dxa"/>
            </w:tcMar>
          </w:tcPr>
          <w:p w14:paraId="5BDF82F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NR </w:t>
            </w:r>
          </w:p>
        </w:tc>
        <w:tc>
          <w:tcPr>
            <w:tcW w:w="600" w:type="dxa"/>
            <w:tcMar>
              <w:top w:w="0" w:type="dxa"/>
              <w:left w:w="0" w:type="dxa"/>
              <w:bottom w:w="0" w:type="dxa"/>
              <w:right w:w="0" w:type="dxa"/>
            </w:tcMar>
          </w:tcPr>
          <w:p w14:paraId="28B1262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N/A </w:t>
            </w:r>
          </w:p>
        </w:tc>
        <w:tc>
          <w:tcPr>
            <w:tcW w:w="860" w:type="dxa"/>
            <w:tcMar>
              <w:top w:w="0" w:type="dxa"/>
              <w:left w:w="0" w:type="dxa"/>
              <w:bottom w:w="0" w:type="dxa"/>
              <w:right w:w="0" w:type="dxa"/>
            </w:tcMar>
          </w:tcPr>
          <w:p w14:paraId="7ECD0DA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8.3 ± 8.0 years </w:t>
            </w:r>
          </w:p>
        </w:tc>
        <w:tc>
          <w:tcPr>
            <w:tcW w:w="680" w:type="dxa"/>
            <w:tcMar>
              <w:top w:w="0" w:type="dxa"/>
              <w:left w:w="0" w:type="dxa"/>
              <w:bottom w:w="0" w:type="dxa"/>
              <w:right w:w="0" w:type="dxa"/>
            </w:tcMar>
          </w:tcPr>
          <w:p w14:paraId="1B912C5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N/A </w:t>
            </w:r>
          </w:p>
        </w:tc>
        <w:tc>
          <w:tcPr>
            <w:tcW w:w="700" w:type="dxa"/>
            <w:tcMar>
              <w:top w:w="0" w:type="dxa"/>
              <w:left w:w="0" w:type="dxa"/>
              <w:bottom w:w="0" w:type="dxa"/>
              <w:right w:w="0" w:type="dxa"/>
            </w:tcMar>
          </w:tcPr>
          <w:p w14:paraId="2B5EBE7A"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4 weeks</w:t>
            </w:r>
          </w:p>
        </w:tc>
      </w:tr>
      <w:tr w:rsidR="009A4123" w:rsidRPr="00B63860" w14:paraId="69AC6F42" w14:textId="77777777" w:rsidTr="00CC260B">
        <w:tc>
          <w:tcPr>
            <w:tcW w:w="990" w:type="dxa"/>
            <w:tcMar>
              <w:top w:w="0" w:type="dxa"/>
              <w:left w:w="0" w:type="dxa"/>
              <w:bottom w:w="0" w:type="dxa"/>
              <w:right w:w="0" w:type="dxa"/>
            </w:tcMar>
          </w:tcPr>
          <w:p w14:paraId="5551277D"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proofErr w:type="spellStart"/>
            <w:r w:rsidRPr="00B63860">
              <w:rPr>
                <w:rFonts w:asciiTheme="majorBidi" w:eastAsia="Lexend" w:hAnsiTheme="majorBidi" w:cstheme="majorBidi"/>
                <w:sz w:val="20"/>
                <w:szCs w:val="20"/>
              </w:rPr>
              <w:t>Vafaeinasab</w:t>
            </w:r>
            <w:proofErr w:type="spellEnd"/>
            <w:r w:rsidRPr="00B63860">
              <w:rPr>
                <w:rFonts w:asciiTheme="majorBidi" w:eastAsia="Lexend" w:hAnsiTheme="majorBidi" w:cstheme="majorBidi"/>
                <w:sz w:val="20"/>
                <w:szCs w:val="20"/>
              </w:rPr>
              <w:t xml:space="preserve"> 2025</w:t>
            </w:r>
          </w:p>
        </w:tc>
        <w:tc>
          <w:tcPr>
            <w:tcW w:w="900" w:type="dxa"/>
            <w:tcMar>
              <w:top w:w="0" w:type="dxa"/>
              <w:left w:w="0" w:type="dxa"/>
              <w:bottom w:w="0" w:type="dxa"/>
              <w:right w:w="0" w:type="dxa"/>
            </w:tcMar>
          </w:tcPr>
          <w:p w14:paraId="2564CFB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Iran</w:t>
            </w:r>
          </w:p>
        </w:tc>
        <w:tc>
          <w:tcPr>
            <w:tcW w:w="810" w:type="dxa"/>
            <w:tcMar>
              <w:top w:w="0" w:type="dxa"/>
              <w:left w:w="0" w:type="dxa"/>
              <w:bottom w:w="0" w:type="dxa"/>
              <w:right w:w="0" w:type="dxa"/>
            </w:tcMar>
          </w:tcPr>
          <w:p w14:paraId="27804E4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RCT</w:t>
            </w:r>
          </w:p>
        </w:tc>
        <w:tc>
          <w:tcPr>
            <w:tcW w:w="1260" w:type="dxa"/>
            <w:tcMar>
              <w:top w:w="0" w:type="dxa"/>
              <w:left w:w="0" w:type="dxa"/>
              <w:bottom w:w="0" w:type="dxa"/>
              <w:right w:w="0" w:type="dxa"/>
            </w:tcMar>
          </w:tcPr>
          <w:p w14:paraId="637F869E"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Empagliflozin 10 mg</w:t>
            </w:r>
          </w:p>
        </w:tc>
        <w:tc>
          <w:tcPr>
            <w:tcW w:w="1170" w:type="dxa"/>
            <w:tcMar>
              <w:top w:w="0" w:type="dxa"/>
              <w:left w:w="0" w:type="dxa"/>
              <w:bottom w:w="0" w:type="dxa"/>
              <w:right w:w="0" w:type="dxa"/>
            </w:tcMar>
          </w:tcPr>
          <w:p w14:paraId="2E5C50F7"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Placebo</w:t>
            </w:r>
          </w:p>
        </w:tc>
        <w:tc>
          <w:tcPr>
            <w:tcW w:w="1170" w:type="dxa"/>
            <w:tcMar>
              <w:top w:w="0" w:type="dxa"/>
              <w:left w:w="0" w:type="dxa"/>
              <w:bottom w:w="0" w:type="dxa"/>
              <w:right w:w="0" w:type="dxa"/>
            </w:tcMar>
          </w:tcPr>
          <w:p w14:paraId="269AD55F"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25</w:t>
            </w:r>
          </w:p>
        </w:tc>
        <w:tc>
          <w:tcPr>
            <w:tcW w:w="785" w:type="dxa"/>
            <w:tcMar>
              <w:top w:w="0" w:type="dxa"/>
              <w:left w:w="0" w:type="dxa"/>
              <w:bottom w:w="0" w:type="dxa"/>
              <w:right w:w="0" w:type="dxa"/>
            </w:tcMar>
          </w:tcPr>
          <w:p w14:paraId="1CF8557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25</w:t>
            </w:r>
          </w:p>
        </w:tc>
        <w:tc>
          <w:tcPr>
            <w:tcW w:w="1105" w:type="dxa"/>
            <w:tcMar>
              <w:top w:w="0" w:type="dxa"/>
              <w:left w:w="0" w:type="dxa"/>
              <w:bottom w:w="0" w:type="dxa"/>
              <w:right w:w="0" w:type="dxa"/>
            </w:tcMar>
          </w:tcPr>
          <w:p w14:paraId="7DF443D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53.92 ± 3.02</w:t>
            </w:r>
          </w:p>
        </w:tc>
        <w:tc>
          <w:tcPr>
            <w:tcW w:w="720" w:type="dxa"/>
            <w:tcMar>
              <w:top w:w="0" w:type="dxa"/>
              <w:left w:w="0" w:type="dxa"/>
              <w:bottom w:w="0" w:type="dxa"/>
              <w:right w:w="0" w:type="dxa"/>
            </w:tcMar>
          </w:tcPr>
          <w:p w14:paraId="1EDABDF6"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54.70 ± 3.03</w:t>
            </w:r>
          </w:p>
        </w:tc>
        <w:tc>
          <w:tcPr>
            <w:tcW w:w="1080" w:type="dxa"/>
            <w:tcMar>
              <w:top w:w="0" w:type="dxa"/>
              <w:left w:w="0" w:type="dxa"/>
              <w:bottom w:w="0" w:type="dxa"/>
              <w:right w:w="0" w:type="dxa"/>
            </w:tcMar>
          </w:tcPr>
          <w:p w14:paraId="48B644C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560" w:type="dxa"/>
            <w:tcMar>
              <w:top w:w="0" w:type="dxa"/>
              <w:left w:w="0" w:type="dxa"/>
              <w:bottom w:w="0" w:type="dxa"/>
              <w:right w:w="0" w:type="dxa"/>
            </w:tcMar>
          </w:tcPr>
          <w:p w14:paraId="13799243"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960" w:type="dxa"/>
            <w:tcMar>
              <w:top w:w="0" w:type="dxa"/>
              <w:left w:w="0" w:type="dxa"/>
              <w:bottom w:w="0" w:type="dxa"/>
              <w:right w:w="0" w:type="dxa"/>
            </w:tcMar>
          </w:tcPr>
          <w:p w14:paraId="39ECD381"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25.22 ± 1.62 </w:t>
            </w:r>
          </w:p>
        </w:tc>
        <w:tc>
          <w:tcPr>
            <w:tcW w:w="640" w:type="dxa"/>
            <w:tcMar>
              <w:top w:w="0" w:type="dxa"/>
              <w:left w:w="0" w:type="dxa"/>
              <w:bottom w:w="0" w:type="dxa"/>
              <w:right w:w="0" w:type="dxa"/>
            </w:tcMar>
          </w:tcPr>
          <w:p w14:paraId="4D7ADA6C"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25.38 ± 2.07 </w:t>
            </w:r>
          </w:p>
        </w:tc>
        <w:tc>
          <w:tcPr>
            <w:tcW w:w="980" w:type="dxa"/>
            <w:tcMar>
              <w:top w:w="0" w:type="dxa"/>
              <w:left w:w="0" w:type="dxa"/>
              <w:bottom w:w="0" w:type="dxa"/>
              <w:right w:w="0" w:type="dxa"/>
            </w:tcMar>
          </w:tcPr>
          <w:p w14:paraId="7D1A43E9"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7.42 ± 0.30 </w:t>
            </w:r>
          </w:p>
        </w:tc>
        <w:tc>
          <w:tcPr>
            <w:tcW w:w="600" w:type="dxa"/>
            <w:tcMar>
              <w:top w:w="0" w:type="dxa"/>
              <w:left w:w="0" w:type="dxa"/>
              <w:bottom w:w="0" w:type="dxa"/>
              <w:right w:w="0" w:type="dxa"/>
            </w:tcMar>
          </w:tcPr>
          <w:p w14:paraId="73AC4A5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 xml:space="preserve">7.30 ± 0.35 </w:t>
            </w:r>
          </w:p>
        </w:tc>
        <w:tc>
          <w:tcPr>
            <w:tcW w:w="860" w:type="dxa"/>
            <w:tcMar>
              <w:top w:w="0" w:type="dxa"/>
              <w:left w:w="0" w:type="dxa"/>
              <w:bottom w:w="0" w:type="dxa"/>
              <w:right w:w="0" w:type="dxa"/>
            </w:tcMar>
          </w:tcPr>
          <w:p w14:paraId="128953A0"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680" w:type="dxa"/>
            <w:tcMar>
              <w:top w:w="0" w:type="dxa"/>
              <w:left w:w="0" w:type="dxa"/>
              <w:bottom w:w="0" w:type="dxa"/>
              <w:right w:w="0" w:type="dxa"/>
            </w:tcMar>
          </w:tcPr>
          <w:p w14:paraId="3959DA72"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NR</w:t>
            </w:r>
          </w:p>
        </w:tc>
        <w:tc>
          <w:tcPr>
            <w:tcW w:w="700" w:type="dxa"/>
            <w:tcMar>
              <w:top w:w="0" w:type="dxa"/>
              <w:left w:w="0" w:type="dxa"/>
              <w:bottom w:w="0" w:type="dxa"/>
              <w:right w:w="0" w:type="dxa"/>
            </w:tcMar>
          </w:tcPr>
          <w:p w14:paraId="471E1F88" w14:textId="77777777" w:rsidR="009A4123" w:rsidRPr="00B63860" w:rsidRDefault="009A4123" w:rsidP="00AC58D8">
            <w:pPr>
              <w:widowControl w:val="0"/>
              <w:spacing w:after="120" w:line="360" w:lineRule="auto"/>
              <w:jc w:val="center"/>
              <w:rPr>
                <w:rFonts w:asciiTheme="majorBidi" w:eastAsia="Lexend" w:hAnsiTheme="majorBidi" w:cstheme="majorBidi"/>
                <w:sz w:val="20"/>
                <w:szCs w:val="20"/>
              </w:rPr>
            </w:pPr>
            <w:r w:rsidRPr="00B63860">
              <w:rPr>
                <w:rFonts w:asciiTheme="majorBidi" w:eastAsia="Lexend" w:hAnsiTheme="majorBidi" w:cstheme="majorBidi"/>
                <w:sz w:val="20"/>
                <w:szCs w:val="20"/>
              </w:rPr>
              <w:t>20 weeks</w:t>
            </w:r>
          </w:p>
        </w:tc>
      </w:tr>
    </w:tbl>
    <w:p w14:paraId="177B4248" w14:textId="72907ADB" w:rsidR="00200DF4" w:rsidRDefault="00200DF4" w:rsidP="009A4123">
      <w:pPr>
        <w:tabs>
          <w:tab w:val="left" w:pos="3280"/>
        </w:tabs>
        <w:spacing w:after="120" w:line="360" w:lineRule="auto"/>
        <w:rPr>
          <w:rFonts w:ascii="Times New Roman" w:eastAsia="Times New Roman" w:hAnsi="Times New Roman" w:cs="Times New Roman"/>
        </w:rPr>
      </w:pPr>
    </w:p>
    <w:sectPr w:rsidR="00200DF4" w:rsidSect="00B63860">
      <w:pgSz w:w="16838" w:h="11906" w:orient="landscape"/>
      <w:pgMar w:top="81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18A6B" w14:textId="77777777" w:rsidR="004E4A6B" w:rsidRDefault="004E4A6B">
      <w:pPr>
        <w:spacing w:line="240" w:lineRule="auto"/>
      </w:pPr>
      <w:r>
        <w:separator/>
      </w:r>
    </w:p>
  </w:endnote>
  <w:endnote w:type="continuationSeparator" w:id="0">
    <w:p w14:paraId="0D116EB6" w14:textId="77777777" w:rsidR="004E4A6B" w:rsidRDefault="004E4A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Lexend">
    <w:charset w:val="00"/>
    <w:family w:val="auto"/>
    <w:pitch w:val="default"/>
    <w:embedRegular r:id="rId1" w:fontKey="{66584B96-30BA-4CD9-A2AF-0951BA19A3DF}"/>
  </w:font>
  <w:font w:name="Calibri">
    <w:panose1 w:val="020F0502020204030204"/>
    <w:charset w:val="00"/>
    <w:family w:val="swiss"/>
    <w:pitch w:val="variable"/>
    <w:sig w:usb0="E4002EFF" w:usb1="C000247B" w:usb2="00000009" w:usb3="00000000" w:csb0="000001FF" w:csb1="00000000"/>
    <w:embedRegular r:id="rId2" w:fontKey="{10EF5972-21AE-4D00-AFF7-A33D5F1EA2EE}"/>
  </w:font>
  <w:font w:name="Cambria">
    <w:panose1 w:val="02040503050406030204"/>
    <w:charset w:val="00"/>
    <w:family w:val="roman"/>
    <w:pitch w:val="variable"/>
    <w:sig w:usb0="E00006FF" w:usb1="420024FF" w:usb2="02000000" w:usb3="00000000" w:csb0="0000019F" w:csb1="00000000"/>
    <w:embedRegular r:id="rId3" w:fontKey="{5C663293-D322-4D23-B47E-F5A0E35162B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A993D" w14:textId="77777777" w:rsidR="004E4A6B" w:rsidRDefault="004E4A6B">
      <w:pPr>
        <w:spacing w:line="240" w:lineRule="auto"/>
      </w:pPr>
      <w:r>
        <w:separator/>
      </w:r>
    </w:p>
  </w:footnote>
  <w:footnote w:type="continuationSeparator" w:id="0">
    <w:p w14:paraId="40356E96" w14:textId="77777777" w:rsidR="004E4A6B" w:rsidRDefault="004E4A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16B8" w14:textId="77777777" w:rsidR="00200DF4" w:rsidRDefault="00200D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DF4"/>
    <w:rsid w:val="000218A8"/>
    <w:rsid w:val="00200DF4"/>
    <w:rsid w:val="003B7C24"/>
    <w:rsid w:val="004E4A6B"/>
    <w:rsid w:val="00681DAE"/>
    <w:rsid w:val="00783857"/>
    <w:rsid w:val="0087250D"/>
    <w:rsid w:val="009A4123"/>
    <w:rsid w:val="00AC58D8"/>
    <w:rsid w:val="00B63860"/>
    <w:rsid w:val="00CC260B"/>
    <w:rsid w:val="00ED0F7F"/>
    <w:rsid w:val="00EF4A89"/>
    <w:rsid w:val="00FD79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A1D1D"/>
  <w15:docId w15:val="{280A9201-6FA8-49C0-83FF-9AE7C2AAE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Bibliography">
    <w:name w:val="Bibliography"/>
    <w:basedOn w:val="Normal"/>
    <w:next w:val="Normal"/>
    <w:uiPriority w:val="37"/>
    <w:unhideWhenUsed/>
    <w:rsid w:val="00AC58D8"/>
    <w:pPr>
      <w:tabs>
        <w:tab w:val="left" w:pos="624"/>
      </w:tabs>
      <w:spacing w:after="240" w:line="240" w:lineRule="auto"/>
      <w:ind w:left="624" w:hanging="62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173</TotalTime>
  <Pages>21</Pages>
  <Words>11593</Words>
  <Characters>66081</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Youssef Adel</cp:lastModifiedBy>
  <cp:revision>8</cp:revision>
  <dcterms:created xsi:type="dcterms:W3CDTF">2026-05-18T19:48:00Z</dcterms:created>
  <dcterms:modified xsi:type="dcterms:W3CDTF">2026-05-18T22:41:00Z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{"style":{"styleID":"http://www.zotero.org/styles/sage-vancouver-brackets","hasBibliography":true,"bibliographyStyleHasBeenSet":true},"prefs":{"fieldType":"Field","automaticJournalAbbreviations":true,"delayCitationUpdates":false,"noteType":0},"sessionID":</vt:lpwstr>
  </property>
  <property fmtid="{D5CDD505-2E9C-101B-9397-08002B2CF9AE}" pid="3" name="ZOTERO_PREF_2">
    <vt:lpwstr>"gKHtIfYW","zoteroVersion":"7.0.32","dataVersion":4}</vt:lpwstr>
  </property>
</Properties>
</file>