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9B9B54" w14:textId="77777777" w:rsidR="00200DF4" w:rsidRDefault="00000000" w:rsidP="00C208BC">
      <w:pPr>
        <w:pStyle w:val="Title"/>
        <w:spacing w:after="120" w:line="360" w:lineRule="auto"/>
        <w:ind w:left="504"/>
        <w:jc w:val="center"/>
        <w:rPr>
          <w:rFonts w:ascii="Times New Roman" w:eastAsia="Times New Roman" w:hAnsi="Times New Roman" w:cs="Times New Roman"/>
          <w:b/>
          <w:bCs/>
          <w:sz w:val="30"/>
          <w:szCs w:val="30"/>
        </w:rPr>
      </w:pPr>
      <w:bookmarkStart w:id="0" w:name="_gqlr3m5nqlyx" w:colFirst="0" w:colLast="0"/>
      <w:bookmarkEnd w:id="0"/>
      <w:r>
        <w:rPr>
          <w:rFonts w:ascii="Times New Roman" w:eastAsia="Times New Roman" w:hAnsi="Times New Roman" w:cs="Times New Roman"/>
          <w:b/>
          <w:bCs/>
          <w:sz w:val="30"/>
          <w:szCs w:val="30"/>
        </w:rPr>
        <w:t xml:space="preserve">Do SGLT2 Inhibitors Improve Peripheral Nerve Function in Diabetic Neuropathy? A Systematic Review and Meta-Analysis </w:t>
      </w:r>
    </w:p>
    <w:p w14:paraId="47A29685" w14:textId="77777777" w:rsidR="00200DF4" w:rsidRDefault="00200DF4" w:rsidP="00C208BC">
      <w:pPr>
        <w:spacing w:after="120" w:line="360" w:lineRule="auto"/>
      </w:pPr>
    </w:p>
    <w:p w14:paraId="43753E37" w14:textId="77777777" w:rsidR="00200DF4" w:rsidRPr="000218A8" w:rsidRDefault="00200DF4" w:rsidP="00C208BC">
      <w:pPr>
        <w:spacing w:after="120" w:line="360" w:lineRule="auto"/>
        <w:rPr>
          <w:b/>
          <w:bCs/>
        </w:rPr>
      </w:pPr>
    </w:p>
    <w:p w14:paraId="03E08BEA" w14:textId="77777777" w:rsidR="00200DF4" w:rsidRPr="000218A8" w:rsidRDefault="00000000" w:rsidP="00C208BC">
      <w:pPr>
        <w:spacing w:after="120" w:line="360" w:lineRule="auto"/>
        <w:rPr>
          <w:rFonts w:asciiTheme="majorBidi" w:eastAsia="Times New Roman" w:hAnsiTheme="majorBidi" w:cstheme="majorBidi"/>
          <w:b/>
          <w:bCs/>
          <w:sz w:val="20"/>
          <w:szCs w:val="20"/>
        </w:rPr>
      </w:pPr>
      <w:r w:rsidRPr="000218A8">
        <w:rPr>
          <w:rFonts w:asciiTheme="majorBidi" w:eastAsia="Times New Roman" w:hAnsiTheme="majorBidi" w:cstheme="majorBidi"/>
          <w:b/>
          <w:bCs/>
          <w:sz w:val="20"/>
          <w:szCs w:val="20"/>
        </w:rPr>
        <w:t>Authors</w:t>
      </w:r>
    </w:p>
    <w:p w14:paraId="586451DE"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1BA5A4E4"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3CB3803E"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4D4B93F4" w14:textId="77777777" w:rsidR="00200DF4" w:rsidRPr="000218A8" w:rsidRDefault="00000000" w:rsidP="00C208BC">
      <w:pPr>
        <w:spacing w:after="120" w:line="360" w:lineRule="auto"/>
        <w:rPr>
          <w:rFonts w:asciiTheme="majorBidi" w:eastAsia="Times New Roman" w:hAnsiTheme="majorBidi" w:cstheme="majorBidi"/>
          <w:b/>
          <w:bCs/>
          <w:sz w:val="20"/>
          <w:szCs w:val="20"/>
        </w:rPr>
      </w:pPr>
      <w:r w:rsidRPr="000218A8">
        <w:rPr>
          <w:rFonts w:asciiTheme="majorBidi" w:eastAsia="Times New Roman" w:hAnsiTheme="majorBidi" w:cstheme="majorBidi"/>
          <w:b/>
          <w:bCs/>
          <w:sz w:val="20"/>
          <w:szCs w:val="20"/>
        </w:rPr>
        <w:t>Affiliation</w:t>
      </w:r>
    </w:p>
    <w:p w14:paraId="6777D1C7"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7AB7ACD6"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736E7D02" w14:textId="77777777" w:rsidR="00200DF4" w:rsidRPr="000218A8" w:rsidRDefault="00200DF4" w:rsidP="00C208BC">
      <w:pPr>
        <w:spacing w:after="120" w:line="360" w:lineRule="auto"/>
        <w:rPr>
          <w:rFonts w:asciiTheme="majorBidi" w:eastAsia="Times New Roman" w:hAnsiTheme="majorBidi" w:cstheme="majorBidi"/>
          <w:b/>
          <w:bCs/>
          <w:sz w:val="20"/>
          <w:szCs w:val="20"/>
        </w:rPr>
      </w:pPr>
    </w:p>
    <w:p w14:paraId="70BEABE3" w14:textId="77777777" w:rsidR="00200DF4" w:rsidRPr="000218A8" w:rsidRDefault="00000000" w:rsidP="00C208BC">
      <w:pPr>
        <w:spacing w:after="120" w:line="360" w:lineRule="auto"/>
        <w:rPr>
          <w:rFonts w:asciiTheme="majorBidi" w:eastAsia="Times New Roman" w:hAnsiTheme="majorBidi" w:cstheme="majorBidi"/>
          <w:b/>
          <w:bCs/>
          <w:sz w:val="20"/>
          <w:szCs w:val="20"/>
        </w:rPr>
      </w:pPr>
      <w:r w:rsidRPr="000218A8">
        <w:rPr>
          <w:rFonts w:asciiTheme="majorBidi" w:eastAsia="Times New Roman" w:hAnsiTheme="majorBidi" w:cstheme="majorBidi"/>
          <w:b/>
          <w:bCs/>
          <w:sz w:val="20"/>
          <w:szCs w:val="20"/>
        </w:rPr>
        <w:t>Correspondence to</w:t>
      </w:r>
    </w:p>
    <w:p w14:paraId="5DD50E89" w14:textId="77777777" w:rsidR="00200DF4" w:rsidRPr="000218A8" w:rsidRDefault="00200DF4" w:rsidP="00C208BC">
      <w:pPr>
        <w:spacing w:after="120" w:line="360" w:lineRule="auto"/>
        <w:rPr>
          <w:rFonts w:ascii="Times New Roman" w:eastAsia="Times New Roman" w:hAnsi="Times New Roman" w:cs="Times New Roman"/>
          <w:b/>
          <w:bCs/>
        </w:rPr>
      </w:pPr>
    </w:p>
    <w:p w14:paraId="519B8D56" w14:textId="77777777" w:rsidR="00200DF4" w:rsidRDefault="00000000" w:rsidP="00C208BC">
      <w:pPr>
        <w:spacing w:after="120" w:line="360" w:lineRule="auto"/>
        <w:rPr>
          <w:rFonts w:ascii="Times New Roman" w:eastAsia="Times New Roman" w:hAnsi="Times New Roman" w:cs="Times New Roman"/>
        </w:rPr>
      </w:pPr>
      <w:r>
        <w:br w:type="page"/>
      </w:r>
    </w:p>
    <w:p w14:paraId="578A07D7" w14:textId="77777777" w:rsidR="00200DF4" w:rsidRDefault="00000000" w:rsidP="00C208BC">
      <w:pPr>
        <w:pStyle w:val="Heading1"/>
        <w:spacing w:line="360" w:lineRule="auto"/>
      </w:pPr>
      <w:r>
        <w:lastRenderedPageBreak/>
        <w:t>Abstract</w:t>
      </w:r>
    </w:p>
    <w:p w14:paraId="05B02269"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b/>
          <w:bCs/>
          <w:lang w:val="en-US"/>
        </w:rPr>
        <w:t>Background and Aims</w:t>
      </w:r>
    </w:p>
    <w:p w14:paraId="0A777486" w14:textId="1D2C233F"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lang w:val="en-US"/>
        </w:rPr>
        <w:t>Peripheral diabetic neuropathy (PDN) affects up to 50% of people with diabetes and represents a leading cause of morbidity and lower-limb amputation, yet no approved disease-modifying therapy exists. This systematic review and meta-analysis evaluated the effect of SGLT2 inhibitors on peripheral nerve function in patients with PDN.</w:t>
      </w:r>
    </w:p>
    <w:p w14:paraId="23BDFA3E"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b/>
          <w:bCs/>
          <w:lang w:val="en-US"/>
        </w:rPr>
        <w:t>Methods</w:t>
      </w:r>
    </w:p>
    <w:p w14:paraId="4A35F3E4"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lang w:val="en-US"/>
        </w:rPr>
        <w:t>Following PRISMA 2020 guidelines and a pre-registered PROSPERO protocol (ID: XXXXXXX), a systematic search was conducted across PubMed, EMBASE, Cochrane CENTRAL, and Scopus from inception to [date]. Seven studies met inclusion criteria: five RCTs, one prospective cohort, and one single-arm study. The primary outcome was sural nerve sensory conduction velocity (SNCV); secondary outcomes included sural nerve amplitude, peroneal nerve motor parameters, corneal confocal microscopy metrics, and malondialdehyde (MDA). Fixed or random-effects meta-analyses were performed where two or more RCTs reported a common outcome, with narrative synthesis applied where pooling was inappropriate.</w:t>
      </w:r>
    </w:p>
    <w:p w14:paraId="5A64FE80"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b/>
          <w:bCs/>
          <w:lang w:val="en-US"/>
        </w:rPr>
        <w:t>Results</w:t>
      </w:r>
    </w:p>
    <w:p w14:paraId="43E61872" w14:textId="1F99FF16"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lang w:val="en-US"/>
        </w:rPr>
        <w:t xml:space="preserve">The primary RCT-based meta-analysis demonstrated a significant improvement in sural SNCV </w:t>
      </w:r>
      <w:proofErr w:type="spellStart"/>
      <w:r w:rsidRPr="00765D7B">
        <w:rPr>
          <w:rFonts w:ascii="Times New Roman" w:eastAsia="Times New Roman" w:hAnsi="Times New Roman" w:cs="Times New Roman"/>
          <w:lang w:val="en-US"/>
        </w:rPr>
        <w:t>favouring</w:t>
      </w:r>
      <w:proofErr w:type="spellEnd"/>
      <w:r w:rsidRPr="00765D7B">
        <w:rPr>
          <w:rFonts w:ascii="Times New Roman" w:eastAsia="Times New Roman" w:hAnsi="Times New Roman" w:cs="Times New Roman"/>
          <w:lang w:val="en-US"/>
        </w:rPr>
        <w:t xml:space="preserve"> SGLT2i (MD 3.38 m/s; 95% CI 1.63–5.13; p = 0.0002; I² = 0%), consistent across all sensitivity analyses. Peroneal nerve motor latency was also significantly reduced (MD −0.29 </w:t>
      </w:r>
      <w:proofErr w:type="spellStart"/>
      <w:r w:rsidRPr="00765D7B">
        <w:rPr>
          <w:rFonts w:ascii="Times New Roman" w:eastAsia="Times New Roman" w:hAnsi="Times New Roman" w:cs="Times New Roman"/>
          <w:lang w:val="en-US"/>
        </w:rPr>
        <w:t>ms</w:t>
      </w:r>
      <w:proofErr w:type="spellEnd"/>
      <w:r w:rsidRPr="00765D7B">
        <w:rPr>
          <w:rFonts w:ascii="Times New Roman" w:eastAsia="Times New Roman" w:hAnsi="Times New Roman" w:cs="Times New Roman"/>
          <w:lang w:val="en-US"/>
        </w:rPr>
        <w:t>; 95% CI −0.38 to −0.20; p &lt; 0.01; I² = 0%). Sural nerve amplitude was nominally significant but not sustained on RCT-restricted analysis and is considered inconclusive. No significant differences were identified in peroneal motor velocity or amplitude. MDA and corneal confocal microscopy outcomes showed no significant between-group differences.</w:t>
      </w:r>
    </w:p>
    <w:p w14:paraId="6D44B556" w14:textId="77777777" w:rsidR="00765D7B"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b/>
          <w:bCs/>
          <w:lang w:val="en-US"/>
        </w:rPr>
        <w:t>Conclusion</w:t>
      </w:r>
    </w:p>
    <w:p w14:paraId="45C8DFB5" w14:textId="5568BF90" w:rsidR="00200DF4" w:rsidRPr="00765D7B" w:rsidRDefault="00765D7B" w:rsidP="00C208BC">
      <w:pPr>
        <w:spacing w:before="100" w:beforeAutospacing="1" w:after="100" w:afterAutospacing="1" w:line="360" w:lineRule="auto"/>
        <w:jc w:val="both"/>
        <w:rPr>
          <w:rFonts w:ascii="Times New Roman" w:eastAsia="Times New Roman" w:hAnsi="Times New Roman" w:cs="Times New Roman"/>
          <w:lang w:val="en-US"/>
        </w:rPr>
      </w:pPr>
      <w:r w:rsidRPr="00765D7B">
        <w:rPr>
          <w:rFonts w:ascii="Times New Roman" w:eastAsia="Times New Roman" w:hAnsi="Times New Roman" w:cs="Times New Roman"/>
          <w:lang w:val="en-US"/>
        </w:rPr>
        <w:t xml:space="preserve">SGLT2 inhibitors demonstrated consistent improvements in sural nerve sensory conduction velocity and peroneal nerve motor latency across RCTs, suggesting a neuroprotective effect mediated through mechanisms beyond </w:t>
      </w:r>
      <w:proofErr w:type="spellStart"/>
      <w:r w:rsidRPr="00765D7B">
        <w:rPr>
          <w:rFonts w:ascii="Times New Roman" w:eastAsia="Times New Roman" w:hAnsi="Times New Roman" w:cs="Times New Roman"/>
          <w:lang w:val="en-US"/>
        </w:rPr>
        <w:t>glycaemic</w:t>
      </w:r>
      <w:proofErr w:type="spellEnd"/>
      <w:r w:rsidRPr="00765D7B">
        <w:rPr>
          <w:rFonts w:ascii="Times New Roman" w:eastAsia="Times New Roman" w:hAnsi="Times New Roman" w:cs="Times New Roman"/>
          <w:lang w:val="en-US"/>
        </w:rPr>
        <w:t xml:space="preserve"> control; however, evidence for effects on amplitude, corneal morphology, and oxidative stress markers remains inconclusive, and larger trials with pre-specified electrodiagnostic endpoints are needed to establish SGLT2 inhibitors as a disease-modifying therapy for PDN.</w:t>
      </w:r>
      <w:r>
        <w:br w:type="page"/>
      </w:r>
    </w:p>
    <w:p w14:paraId="463B0E3D" w14:textId="0082CF0D" w:rsidR="00200DF4" w:rsidRDefault="00CC260B" w:rsidP="00C208BC">
      <w:pPr>
        <w:pStyle w:val="Heading1"/>
        <w:spacing w:line="360" w:lineRule="auto"/>
        <w:rPr>
          <w:rFonts w:ascii="Times New Roman" w:eastAsia="Times New Roman" w:hAnsi="Times New Roman" w:cs="Times New Roman"/>
          <w:sz w:val="22"/>
          <w:szCs w:val="22"/>
        </w:rPr>
      </w:pPr>
      <w:bookmarkStart w:id="1" w:name="_p2ew7bqicju2" w:colFirst="0" w:colLast="0"/>
      <w:bookmarkEnd w:id="1"/>
      <w:r>
        <w:lastRenderedPageBreak/>
        <w:t xml:space="preserve">1. </w:t>
      </w:r>
      <w:r w:rsidRPr="00CC260B">
        <w:t>Introduction</w:t>
      </w:r>
    </w:p>
    <w:p w14:paraId="4FD13061" w14:textId="002888EC" w:rsidR="00814CE3" w:rsidRPr="00814CE3" w:rsidRDefault="00814CE3" w:rsidP="00C208BC">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 xml:space="preserve">Diabetes mellitus represents one of the foremost global health challenges of the 21st century, with its prevalence continuing to rise across both high-income and low-to-middle-income countries. Among its many chronic complications, peripheral diabetic neuropathy (PDN) is the most common, manifesting predominantly as a distal symmetric polyneuropathy with early involvement of small </w:t>
      </w:r>
      <w:proofErr w:type="spellStart"/>
      <w:r w:rsidRPr="00814CE3">
        <w:rPr>
          <w:rFonts w:ascii="Times New Roman" w:eastAsia="Times New Roman" w:hAnsi="Times New Roman" w:cs="Times New Roman"/>
        </w:rPr>
        <w:t>fibres</w:t>
      </w:r>
      <w:proofErr w:type="spellEnd"/>
      <w:r w:rsidRPr="00814CE3">
        <w:rPr>
          <w:rFonts w:ascii="Times New Roman" w:eastAsia="Times New Roman" w:hAnsi="Times New Roman" w:cs="Times New Roman"/>
        </w:rPr>
        <w:t xml:space="preserve"> and progressive sensory loss</w:t>
      </w:r>
      <w:r w:rsidR="00320191">
        <w:rPr>
          <w:rFonts w:ascii="Times New Roman" w:eastAsia="Times New Roman" w:hAnsi="Times New Roman" w:cs="Times New Roman"/>
        </w:rPr>
        <w:t xml:space="preserve"> </w:t>
      </w:r>
      <w:r w:rsidR="00320191">
        <w:rPr>
          <w:rFonts w:ascii="Times New Roman" w:eastAsia="Times New Roman" w:hAnsi="Times New Roman" w:cs="Times New Roman"/>
        </w:rPr>
        <w:fldChar w:fldCharType="begin"/>
      </w:r>
      <w:r w:rsidR="00320191">
        <w:rPr>
          <w:rFonts w:ascii="Times New Roman" w:eastAsia="Times New Roman" w:hAnsi="Times New Roman" w:cs="Times New Roman"/>
        </w:rPr>
        <w:instrText xml:space="preserve"> ADDIN ZOTERO_ITEM CSL_CITATION {"citationID":"h4WDlOOF","properties":{"formattedCitation":"[1]","plainCitation":"[1]","noteIndex":0},"citationItems":[{"id":157,"uris":["http://zotero.org/groups/6437514/items/7HGX3BSU"],"itemData":{"id":157,"type":"article-journal","abstract":"Diabetic peripheral neuropathy (DPN) is one of the most common and disabling complications of diabetes mellitus (DM), affecting up to 50% of patients during the course of their disease. The condition manifests predominantly as a distal symmetric polyneuropathy, with early involvement of small fibers and progressive sensory loss. Epidemiological data show high prevalence not only in type 1 and type 2 diabetes but also in prediabetic populations, highlighting the need for early detection. The pathophysiology of DPN is complex, involving metabolic dysregulation, oxidative stress, vascular insufficiency, inflammation, and mitochondrial dysfunction. Diagnostic tools range from clinical examination and nerve conduction studies (NCS) to magnetic resonance imaging. Recent advances in plasma and neuroimaging biomarkers offer promising avenues for earlier and more accurate diagnosis. Management focuses on strict glycemic control, risk factor modification, symptomatic treatment of neuropathic pain, and lifestyle interventions. Despite ongoing research, no curative therapy currently exists, underscoring the urgent need for disease‐modifying strategies. A multidisciplinary, patient‐centered approach is essential to mitigate complications and improve quality of life. This review provides a comprehensive overview of DPN, covering its epidemiology, pathogenesis, diagnostic approaches, emerging biomarkers, and current management strategies. Future research should emphasize biomarker validation, longitudinal monitoring, and personalized therapeutic interventions.","container-title":"Journal of Diabetes Research","DOI":"10.1155/jdr/9080699","ISSN":"2314-6745, 2314-6753","issue":"1","journalAbbreviation":"Journal of Diabetes Research","language":"en","page":"9080699","source":"DOI.org (Crossref)","title":"Diabetic Peripheral Neuropathy: Current Epidemiology, Diagnostic Advances, Biomarkers, and Management Strategies","title-short":"Diabetic Peripheral Neuropathy","volume":"2026","author":[{"family":"Kurz","given":"Felix T."},{"family":"Jende","given":"Johann M."},{"family":"Salomir","given":"Rares"},{"family":"Lövblad","given":"Karl-Olof"},{"family":"Lascano","given":"Agustina"},{"family":"Gariani","given":"Karim"}],"editor":[{"family":"Spallone","given":"Vincenza"}],"issued":{"date-parts":[["2026",1]]}}}],"schema":"https://github.com/citation-style-language/schema/raw/master/csl-citation.json"} </w:instrText>
      </w:r>
      <w:r w:rsidR="00320191">
        <w:rPr>
          <w:rFonts w:ascii="Times New Roman" w:eastAsia="Times New Roman" w:hAnsi="Times New Roman" w:cs="Times New Roman"/>
        </w:rPr>
        <w:fldChar w:fldCharType="separate"/>
      </w:r>
      <w:r w:rsidR="00320191" w:rsidRPr="00320191">
        <w:rPr>
          <w:rFonts w:ascii="Times New Roman" w:hAnsi="Times New Roman" w:cs="Times New Roman"/>
        </w:rPr>
        <w:t>[1]</w:t>
      </w:r>
      <w:r w:rsidR="00320191">
        <w:rPr>
          <w:rFonts w:ascii="Times New Roman" w:eastAsia="Times New Roman" w:hAnsi="Times New Roman" w:cs="Times New Roman"/>
        </w:rPr>
        <w:fldChar w:fldCharType="end"/>
      </w:r>
      <w:r w:rsidRPr="00814CE3">
        <w:rPr>
          <w:rFonts w:ascii="Times New Roman" w:eastAsia="Times New Roman" w:hAnsi="Times New Roman" w:cs="Times New Roman"/>
        </w:rPr>
        <w:t>. Beyond its high prevalence, PDN carries a substantial clinical burden: it is a leading driver of neuropathic pain, diabetic foot ulceration, and lower-limb amputation, and is associated with markedly impaired quality of life.</w:t>
      </w:r>
    </w:p>
    <w:p w14:paraId="2739EBF5" w14:textId="7764008B" w:rsidR="00814CE3" w:rsidRPr="00814CE3" w:rsidRDefault="00814CE3" w:rsidP="00796E7F">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 xml:space="preserve">The pathophysiology of PDN is multifactorial and incompletely understood. The pathophysiological processes involved in its development are complex and appear to involve sustained </w:t>
      </w:r>
      <w:proofErr w:type="spellStart"/>
      <w:r w:rsidRPr="00814CE3">
        <w:rPr>
          <w:rFonts w:ascii="Times New Roman" w:eastAsia="Times New Roman" w:hAnsi="Times New Roman" w:cs="Times New Roman"/>
        </w:rPr>
        <w:t>hyperglycaemia</w:t>
      </w:r>
      <w:proofErr w:type="spellEnd"/>
      <w:r w:rsidRPr="00814CE3">
        <w:rPr>
          <w:rFonts w:ascii="Times New Roman" w:eastAsia="Times New Roman" w:hAnsi="Times New Roman" w:cs="Times New Roman"/>
        </w:rPr>
        <w:t xml:space="preserve">, </w:t>
      </w:r>
      <w:proofErr w:type="spellStart"/>
      <w:r w:rsidRPr="00814CE3">
        <w:rPr>
          <w:rFonts w:ascii="Times New Roman" w:eastAsia="Times New Roman" w:hAnsi="Times New Roman" w:cs="Times New Roman"/>
        </w:rPr>
        <w:t>dyslipidaemia</w:t>
      </w:r>
      <w:proofErr w:type="spellEnd"/>
      <w:r w:rsidRPr="00814CE3">
        <w:rPr>
          <w:rFonts w:ascii="Times New Roman" w:eastAsia="Times New Roman" w:hAnsi="Times New Roman" w:cs="Times New Roman"/>
        </w:rPr>
        <w:t xml:space="preserve">, and altered insulin </w:t>
      </w:r>
      <w:r w:rsidR="00320191" w:rsidRPr="00814CE3">
        <w:rPr>
          <w:rFonts w:ascii="Times New Roman" w:eastAsia="Times New Roman" w:hAnsi="Times New Roman" w:cs="Times New Roman"/>
        </w:rPr>
        <w:t>signaling</w:t>
      </w:r>
      <w:r w:rsidRPr="00814CE3">
        <w:rPr>
          <w:rFonts w:ascii="Times New Roman" w:eastAsia="Times New Roman" w:hAnsi="Times New Roman" w:cs="Times New Roman"/>
        </w:rPr>
        <w:t xml:space="preserve">, leading to several pathological alterations including mitochondrial dysfunction, DNA damage, macrophage activation, endoplasmic reticulum stress, neurodegeneration, and loss of neurotrophic </w:t>
      </w:r>
      <w:r w:rsidR="00320191" w:rsidRPr="00814CE3">
        <w:rPr>
          <w:rFonts w:ascii="Times New Roman" w:eastAsia="Times New Roman" w:hAnsi="Times New Roman" w:cs="Times New Roman"/>
        </w:rPr>
        <w:t>signaling</w:t>
      </w:r>
      <w:r w:rsidRPr="00814CE3">
        <w:rPr>
          <w:rFonts w:ascii="Times New Roman" w:eastAsia="Times New Roman" w:hAnsi="Times New Roman" w:cs="Times New Roman"/>
        </w:rPr>
        <w:t xml:space="preserve"> in neurons and cells critical to normal nerve function</w:t>
      </w:r>
      <w:r w:rsidR="00796E7F">
        <w:rPr>
          <w:rFonts w:ascii="Times New Roman" w:eastAsia="Times New Roman" w:hAnsi="Times New Roman" w:cs="Times New Roman"/>
        </w:rPr>
        <w:t xml:space="preserve"> </w:t>
      </w:r>
      <w:r w:rsidR="00796E7F">
        <w:rPr>
          <w:rFonts w:ascii="Times New Roman" w:eastAsia="Times New Roman" w:hAnsi="Times New Roman" w:cs="Times New Roman"/>
        </w:rPr>
        <w:fldChar w:fldCharType="begin"/>
      </w:r>
      <w:r w:rsidR="007C7B27">
        <w:rPr>
          <w:rFonts w:ascii="Times New Roman" w:eastAsia="Times New Roman" w:hAnsi="Times New Roman" w:cs="Times New Roman"/>
        </w:rPr>
        <w:instrText xml:space="preserve"> ADDIN ZOTERO_ITEM CSL_CITATION {"citationID":"CmoekJAn","properties":{"formattedCitation":"[2\\uc0\\u8211{}4]","plainCitation":"[2–4]","noteIndex":0},"citationItems":[{"id":163,"uris":["http://zotero.org/groups/6437514/items/K2Y45LRH"],"itemData":{"id":163,"type":"article-journal","abstract":"The pathogenesis of diabetic neuropathy is complex, and various pathogenic pathways have been proposed. A better understanding of the pathophysiology is warranted for developing novel therapeutic strategies. Here, we summarize recent evidence from experiments using animal models of type 1 and type 2 diabetes showing that low-grade intraneural inflammation is a facet of diabetic neuropathy. Our experimental data suggest that these mild inflammatory processes are a likely common terminal pathway in diabetic neuropathy associated with the degeneration of intraepidermal nerve fibers. In contrast to earlier reports claiming toxic effects of high-iron content, we found the opposite, i.e., nutritional iron deficiency caused low-grade inflammation and fiber degeneration while in normal or high non-heme iron nutrition no or only extremely mild inflammatory signs were identified in nerve tissue. Obesity and dyslipidemia also appear to trigger mild inflammation of peripheral nerves, associated with neuropathy even in the absence of overt diabetes mellitus. Our finding may be the experimental analog of recent observations identifying systemic proinflammatory activity in human sensorimotor diabetic neuropathy. In a rat model of type 1 diabetes, a mild neuropathy with inflammatory components could be induced by insulin treatment causing an abrupt reduction in HbA1c. This is in line with observations in patients with severe diabetes developing a small fiber neuropathy upon treatment-induced rapid HbA1c reduction. If the inflammatory pathogenesis could be further substantiated by data from human tissues and intervention studies, anti-inflammatory compounds with different modes of action may become candidates for the treatment or prevention of diabetic neuropathy.","container-title":"International Journal of Molecular Sciences","DOI":"10.3390/ijms221910835","ISSN":"1422-0067","issue":"19","journalAbbreviation":"IJMS","language":"en","page":"10835","source":"DOI.org (Crossref)","title":"Inflammatory Mechanisms in the Pathophysiology of Diabetic Peripheral Neuropathy (DN)—New Aspects","volume":"22","author":[{"family":"Baum","given":"Petra"},{"family":"Toyka","given":"Klaus V."},{"family":"Blüher","given":"Matthias"},{"family":"Kosacka","given":"Joanna"},{"family":"Nowicki","given":"Marcin"}],"issued":{"date-parts":[["2021",10,7]]}}},{"id":164,"uris":["http://zotero.org/groups/6437514/items/G83HVEVC"],"itemData":{"id":164,"type":"article-journal","container-title":"Frontiers in Neurology","DOI":"10.3389/fneur.2020.558758","ISSN":"1664-2295","journalAbbreviation":"Front. Neurol.","page":"558758","source":"DOI.org (Crossref)","title":"Emerging Roles of microRNAs as Biomarkers and Therapeutic Targets for Diabetic Neuropathy","volume":"11","author":[{"family":"Fan","given":"Baoyan"},{"family":"Chopp","given":"Michael"},{"family":"Zhang","given":"Zheng Gang"},{"family":"Liu","given":"Xian Shuang"}],"issued":{"date-parts":[["2020",10,22]]}}},{"id":166,"uris":["http://zotero.org/groups/6437514/items/JIN24B8G"],"itemData":{"id":166,"type":"article-journal","container-title":"Cell Reports","DOI":"10.1016/j.celrep.2018.09.046","ISSN":"22111247","issue":"2","journalAbbreviation":"Cell Reports","language":"en","page":"271-277.e4","source":"DOI.org (Crossref)","title":"Liver X Receptors Protect Dorsal Root Ganglia from Obesity-Induced Endoplasmic Reticulum Stress and Mechanical Allodynia","volume":"25","author":[{"family":"Gavini","given":"Chaitanya K."},{"family":"Bookout","given":"Angie L."},{"family":"Bonomo","given":"Raiza"},{"family":"Gautron","given":"Laurent"},{"family":"Lee","given":"Syann"},{"family":"Mansuy-Aubert","given":"Virginie"}],"issued":{"date-parts":[["2018",10]]}}}],"schema":"https://github.com/citation-style-language/schema/raw/master/csl-citation.json"} </w:instrText>
      </w:r>
      <w:r w:rsidR="00796E7F">
        <w:rPr>
          <w:rFonts w:ascii="Times New Roman" w:eastAsia="Times New Roman" w:hAnsi="Times New Roman" w:cs="Times New Roman"/>
        </w:rPr>
        <w:fldChar w:fldCharType="separate"/>
      </w:r>
      <w:r w:rsidR="007C7B27" w:rsidRPr="007C7B27">
        <w:rPr>
          <w:rFonts w:ascii="Times New Roman" w:hAnsi="Times New Roman" w:cs="Times New Roman"/>
        </w:rPr>
        <w:t>[2–4]</w:t>
      </w:r>
      <w:r w:rsidR="00796E7F">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This complexity has hampered the development of effective disease-modifying therapies. In most cases, treatment remains restricted to achieving optimal glucose control, and management of the painful form of diabetic neuropathy, addressing symptoms without influencing the underlying neuropathological process. Despite the advent of relatively reliable modalities for diagnosing PDN, such as nerve conduction studies, there remains a significant knowledge gap regarding pathophysiology and a </w:t>
      </w:r>
      <w:r w:rsidR="00320191">
        <w:rPr>
          <w:rFonts w:ascii="Times New Roman" w:eastAsia="Times New Roman" w:hAnsi="Times New Roman" w:cs="Times New Roman"/>
        </w:rPr>
        <w:t>lack</w:t>
      </w:r>
      <w:r w:rsidRPr="00814CE3">
        <w:rPr>
          <w:rFonts w:ascii="Times New Roman" w:eastAsia="Times New Roman" w:hAnsi="Times New Roman" w:cs="Times New Roman"/>
        </w:rPr>
        <w:t xml:space="preserve"> of available interventions for </w:t>
      </w:r>
      <w:r w:rsidR="00320191">
        <w:rPr>
          <w:rFonts w:ascii="Times New Roman" w:eastAsia="Times New Roman" w:hAnsi="Times New Roman" w:cs="Times New Roman"/>
        </w:rPr>
        <w:t xml:space="preserve">slowing down </w:t>
      </w:r>
      <w:r w:rsidRPr="00814CE3">
        <w:rPr>
          <w:rFonts w:ascii="Times New Roman" w:eastAsia="Times New Roman" w:hAnsi="Times New Roman" w:cs="Times New Roman"/>
        </w:rPr>
        <w:t xml:space="preserve">disease progression. No pharmacological agent currently holds regulatory approval as a disease-modifying therapy for PDN, representing a critical and unmet clinical need. </w:t>
      </w:r>
    </w:p>
    <w:p w14:paraId="741DCD00" w14:textId="64220BE4" w:rsidR="00814CE3" w:rsidRPr="00814CE3" w:rsidRDefault="00814CE3" w:rsidP="004D7FCA">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Sodium-glucose cotransporter-2 inhibitors (SGLT2i) were originally developed as glucose-lowering agents for type 2 diabetes mellitus, acting by inhibiting renal glucose reabsorption</w:t>
      </w:r>
      <w:r w:rsidR="00320191">
        <w:rPr>
          <w:rFonts w:ascii="Times New Roman" w:eastAsia="Times New Roman" w:hAnsi="Times New Roman" w:cs="Times New Roman"/>
        </w:rPr>
        <w:t xml:space="preserve"> </w:t>
      </w:r>
      <w:r w:rsidRPr="00814CE3">
        <w:rPr>
          <w:rFonts w:ascii="Times New Roman" w:eastAsia="Times New Roman" w:hAnsi="Times New Roman" w:cs="Times New Roman"/>
        </w:rPr>
        <w:t xml:space="preserve">and inducing glucosuria independently of insulin. However, their clinical profile has expanded considerably beyond </w:t>
      </w:r>
      <w:proofErr w:type="spellStart"/>
      <w:r w:rsidRPr="00814CE3">
        <w:rPr>
          <w:rFonts w:ascii="Times New Roman" w:eastAsia="Times New Roman" w:hAnsi="Times New Roman" w:cs="Times New Roman"/>
        </w:rPr>
        <w:t>glycaemic</w:t>
      </w:r>
      <w:proofErr w:type="spellEnd"/>
      <w:r w:rsidRPr="00814CE3">
        <w:rPr>
          <w:rFonts w:ascii="Times New Roman" w:eastAsia="Times New Roman" w:hAnsi="Times New Roman" w:cs="Times New Roman"/>
        </w:rPr>
        <w:t xml:space="preserve"> control. SGLT2 inhibitors have been shown to improve cardiovascular and renal outcomes in patients with established cardiovascular disease, chronic kidney disease, and heart failure</w:t>
      </w:r>
      <w:r w:rsidR="007C7B27">
        <w:rPr>
          <w:rFonts w:ascii="Times New Roman" w:eastAsia="Times New Roman" w:hAnsi="Times New Roman" w:cs="Times New Roman"/>
        </w:rPr>
        <w:t xml:space="preserve"> </w:t>
      </w:r>
      <w:r w:rsidR="007C7B27">
        <w:rPr>
          <w:rFonts w:ascii="Times New Roman" w:eastAsia="Times New Roman" w:hAnsi="Times New Roman" w:cs="Times New Roman"/>
        </w:rPr>
        <w:fldChar w:fldCharType="begin"/>
      </w:r>
      <w:r w:rsidR="007C7B27">
        <w:rPr>
          <w:rFonts w:ascii="Times New Roman" w:eastAsia="Times New Roman" w:hAnsi="Times New Roman" w:cs="Times New Roman"/>
        </w:rPr>
        <w:instrText xml:space="preserve"> ADDIN ZOTERO_ITEM CSL_CITATION {"citationID":"6iECBLtf","properties":{"formattedCitation":"[5]","plainCitation":"[5]","noteIndex":0},"citationItems":[{"id":168,"uris":["http://zotero.org/groups/6437514/items/TLXTAFJW"],"itemData":{"id":168,"type":"article-journal","container-title":"Nature Reviews Cardiology","DOI":"10.1038/s41569-020-0406-8","ISSN":"1759-5002, 1759-5010","issue":"12","journalAbbreviation":"Nat Rev Cardiol","language":"en","page":"761-772","source":"DOI.org (Crossref)","title":"SGLT2 inhibitors: mechanisms of cardiovascular benefit beyond glycaemic control","title-short":"SGLT2 inhibitors","volume":"17","author":[{"family":"Cowie","given":"Martin R."},{"family":"Fisher","given":"Miles"}],"issued":{"date-parts":[["2020",12]]}}}],"schema":"https://github.com/citation-style-language/schema/raw/master/csl-citation.json"} </w:instrText>
      </w:r>
      <w:r w:rsidR="007C7B27">
        <w:rPr>
          <w:rFonts w:ascii="Times New Roman" w:eastAsia="Times New Roman" w:hAnsi="Times New Roman" w:cs="Times New Roman"/>
        </w:rPr>
        <w:fldChar w:fldCharType="separate"/>
      </w:r>
      <w:r w:rsidR="007C7B27" w:rsidRPr="007C7B27">
        <w:rPr>
          <w:rFonts w:ascii="Times New Roman" w:hAnsi="Times New Roman" w:cs="Times New Roman"/>
        </w:rPr>
        <w:t>[5]</w:t>
      </w:r>
      <w:r w:rsidR="007C7B27">
        <w:rPr>
          <w:rFonts w:ascii="Times New Roman" w:eastAsia="Times New Roman" w:hAnsi="Times New Roman" w:cs="Times New Roman"/>
        </w:rPr>
        <w:fldChar w:fldCharType="end"/>
      </w:r>
      <w:r w:rsidR="007C7B27">
        <w:rPr>
          <w:rFonts w:ascii="Times New Roman" w:eastAsia="Times New Roman" w:hAnsi="Times New Roman" w:cs="Times New Roman"/>
        </w:rPr>
        <w:t xml:space="preserve">. </w:t>
      </w:r>
      <w:r w:rsidRPr="00814CE3">
        <w:rPr>
          <w:rFonts w:ascii="Times New Roman" w:eastAsia="Times New Roman" w:hAnsi="Times New Roman" w:cs="Times New Roman"/>
        </w:rPr>
        <w:t>The mechanisms underlying these benefits are broad and interrelated, encompassing anti-inflammatory</w:t>
      </w:r>
      <w:r w:rsidR="004D7FCA">
        <w:rPr>
          <w:rFonts w:ascii="Times New Roman" w:eastAsia="Times New Roman" w:hAnsi="Times New Roman" w:cs="Times New Roman"/>
        </w:rPr>
        <w:t xml:space="preserve"> and </w:t>
      </w:r>
      <w:r w:rsidRPr="00814CE3">
        <w:rPr>
          <w:rFonts w:ascii="Times New Roman" w:eastAsia="Times New Roman" w:hAnsi="Times New Roman" w:cs="Times New Roman"/>
        </w:rPr>
        <w:t xml:space="preserve">antifibrotic effects, and improvements in the metabolic profile including reductions in uric acid, blood glucose, and body weight. Of particular relevance to neurological tissues, SGLT2 inhibitors promote mild </w:t>
      </w:r>
      <w:proofErr w:type="spellStart"/>
      <w:r w:rsidRPr="00814CE3">
        <w:rPr>
          <w:rFonts w:ascii="Times New Roman" w:eastAsia="Times New Roman" w:hAnsi="Times New Roman" w:cs="Times New Roman"/>
        </w:rPr>
        <w:t>ketonaemia</w:t>
      </w:r>
      <w:proofErr w:type="spellEnd"/>
      <w:r w:rsidRPr="00814CE3">
        <w:rPr>
          <w:rFonts w:ascii="Times New Roman" w:eastAsia="Times New Roman" w:hAnsi="Times New Roman" w:cs="Times New Roman"/>
        </w:rPr>
        <w:t>, with ketone bodies serving as a</w:t>
      </w:r>
      <w:r w:rsidR="00842493">
        <w:rPr>
          <w:rFonts w:ascii="Times New Roman" w:eastAsia="Times New Roman" w:hAnsi="Times New Roman" w:cs="Times New Roman"/>
        </w:rPr>
        <w:t>n</w:t>
      </w:r>
      <w:r w:rsidR="004D7FCA">
        <w:rPr>
          <w:rFonts w:ascii="Times New Roman" w:eastAsia="Times New Roman" w:hAnsi="Times New Roman" w:cs="Times New Roman"/>
        </w:rPr>
        <w:t xml:space="preserve"> energy</w:t>
      </w:r>
      <w:r w:rsidRPr="00814CE3">
        <w:rPr>
          <w:rFonts w:ascii="Times New Roman" w:eastAsia="Times New Roman" w:hAnsi="Times New Roman" w:cs="Times New Roman"/>
        </w:rPr>
        <w:t xml:space="preserve"> source substituting for glucose in tissues where metabolic dysregulation impairs normal glucose </w:t>
      </w:r>
      <w:proofErr w:type="spellStart"/>
      <w:r w:rsidRPr="00814CE3">
        <w:rPr>
          <w:rFonts w:ascii="Times New Roman" w:eastAsia="Times New Roman" w:hAnsi="Times New Roman" w:cs="Times New Roman"/>
        </w:rPr>
        <w:t>utilisation</w:t>
      </w:r>
      <w:proofErr w:type="spellEnd"/>
      <w:r w:rsidRPr="00814CE3">
        <w:rPr>
          <w:rFonts w:ascii="Times New Roman" w:eastAsia="Times New Roman" w:hAnsi="Times New Roman" w:cs="Times New Roman"/>
        </w:rPr>
        <w:t>, a mechanism with potential neuroprotective implications given the energy deficit characteristic of diabetic peripheral nerves</w:t>
      </w:r>
      <w:r w:rsidR="004D7FCA">
        <w:rPr>
          <w:rFonts w:ascii="Times New Roman" w:eastAsia="Times New Roman" w:hAnsi="Times New Roman" w:cs="Times New Roman"/>
        </w:rPr>
        <w:t xml:space="preserve"> </w:t>
      </w:r>
      <w:r w:rsidR="004D7FCA">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gOcrZb79","properties":{"formattedCitation":"[6]","plainCitation":"[6]","noteIndex":0},"citationItems":[{"id":171,"uris":["http://zotero.org/groups/6437514/items/9YPPI3Z3"],"itemData":{"id":171,"type":"article-journal","container-title":"Diabetologia","DOI":"10.1007/s00125-022-05815-1","ISSN":"0012-186X, 1432-0428","issue":"1","journalAbbreviation":"Diabetologia","language":"en","page":"23-32","source":"DOI.org (Crossref)","title":"Ketones: the double-edged sword of SGLT2 inhibitors?","title-short":"Ketones","volume":"66","author":[{"family":"Lupsa","given":"Beatrice C."},{"family":"Kibbey","given":"Richard G."},{"family":"Inzucchi","given":"Silvio E."}],"issued":{"date-parts":[["2023",1]]}}}],"schema":"https://github.com/citation-style-language/schema/raw/master/csl-citation.json"} </w:instrText>
      </w:r>
      <w:r w:rsidR="004D7FCA">
        <w:rPr>
          <w:rFonts w:ascii="Times New Roman" w:eastAsia="Times New Roman" w:hAnsi="Times New Roman" w:cs="Times New Roman"/>
        </w:rPr>
        <w:fldChar w:fldCharType="separate"/>
      </w:r>
      <w:r w:rsidR="004D7FCA" w:rsidRPr="004D7FCA">
        <w:rPr>
          <w:rFonts w:ascii="Times New Roman" w:hAnsi="Times New Roman" w:cs="Times New Roman"/>
        </w:rPr>
        <w:t>[6]</w:t>
      </w:r>
      <w:r w:rsidR="004D7FCA">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Additionally, SGLT2 inhibitors activate AMPK via both shared and drug-specific mechanisms, with AMPK activation coordinating a protective network that includes PGC-1α-mediated mitochondrial </w:t>
      </w:r>
      <w:r w:rsidRPr="00814CE3">
        <w:rPr>
          <w:rFonts w:ascii="Times New Roman" w:eastAsia="Times New Roman" w:hAnsi="Times New Roman" w:cs="Times New Roman"/>
        </w:rPr>
        <w:lastRenderedPageBreak/>
        <w:t>biogenesis, ULK1-driven autophagy, and Nrf2-antioxidant responses, all of which are relevant to peripheral nerve homeostasis in the diabetic state</w:t>
      </w:r>
      <w:r w:rsidR="002E4AFD">
        <w:rPr>
          <w:rFonts w:ascii="Times New Roman" w:eastAsia="Times New Roman" w:hAnsi="Times New Roman" w:cs="Times New Roman"/>
        </w:rPr>
        <w:t xml:space="preserve"> </w:t>
      </w:r>
      <w:r w:rsidR="002E4AFD">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{"citationID":"aL4ya3GH","properties":{"formattedCitation":"[7]","plainCitation":"[7]","noteIndex":0},"citationItems":[{"id":170,"uris":["http://zotero.org/groups/6437514/items/M8JFKC3W"],"itemData":{"id":170,"type":"article-journal","container-title":"Journal of Diabetes &amp; Metabolic Disorders","DOI":"10.1007/s40200-025-01824-0","ISSN":"2251-6581","issue":"1","journalAbbreviation":"J Diabetes Metab Disord","language":"en","page":"114","source":"DOI.org (Crossref)","title":"SGLT2 inhibitors and AMPK crosstalk in diabetes mellitus: mechanistic insights and therapeutic applications","title-short":"SGLT2 inhibitors and AMPK crosstalk in diabetes mellitus","volume":"25","author":[{"family":"Hushmandi","given":"Kiavash"},{"family":"Salarizadeh","given":"Navvabeh"},{"family":"Einollahi","given":"Behzad"},{"family":"Izadi","given":"Morteza"},{"family":"Doosti","given":"Pardis"},{"family":"Behzadnia","given":"Mohammad Javad"},{"family":"Cho","given":"William C."},{"family":"Yousefi","given":"Tooba"},{"family":"Khoshnazar","given":"Seyedeh Mahdieh"},{"family":"Alimohammadi","given":"Mina"},{"family":"Farahani","given":"Najma"}],"issued":{"date-parts":[["2026",3,12]]}}}],"schema":"https://github.com/citation-style-language/schema/raw/master/csl-citation.json"} </w:instrText>
      </w:r>
      <w:r w:rsidR="002E4AFD">
        <w:rPr>
          <w:rFonts w:ascii="Times New Roman" w:eastAsia="Times New Roman" w:hAnsi="Times New Roman" w:cs="Times New Roman"/>
        </w:rPr>
        <w:fldChar w:fldCharType="separate"/>
      </w:r>
      <w:r w:rsidR="004D7FCA" w:rsidRPr="004D7FCA">
        <w:rPr>
          <w:rFonts w:ascii="Times New Roman" w:hAnsi="Times New Roman" w:cs="Times New Roman"/>
        </w:rPr>
        <w:t>[7]</w:t>
      </w:r>
      <w:r w:rsidR="002E4AFD">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w:t>
      </w:r>
    </w:p>
    <w:p w14:paraId="364E5F47" w14:textId="0B351572" w:rsidR="00814CE3" w:rsidRPr="00814CE3" w:rsidRDefault="00814CE3" w:rsidP="004D7FCA">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 xml:space="preserve">These mechanistic properties have generated growing interest in the potential neuroprotective effects of SGLT2 inhibitors across both autonomic and peripheral domains of diabetic neuropathy. Prior quantitative syntheses have predominantly addressed the autonomic compartment: </w:t>
      </w:r>
      <w:proofErr w:type="spellStart"/>
      <w:r w:rsidRPr="00814CE3">
        <w:rPr>
          <w:rFonts w:ascii="Times New Roman" w:eastAsia="Times New Roman" w:hAnsi="Times New Roman" w:cs="Times New Roman"/>
        </w:rPr>
        <w:t>Patoulias</w:t>
      </w:r>
      <w:proofErr w:type="spellEnd"/>
      <w:r w:rsidRPr="00814CE3">
        <w:rPr>
          <w:rFonts w:ascii="Times New Roman" w:eastAsia="Times New Roman" w:hAnsi="Times New Roman" w:cs="Times New Roman"/>
        </w:rPr>
        <w:t xml:space="preserve"> et al.</w:t>
      </w:r>
      <w:r w:rsidR="00C208BC">
        <w:rPr>
          <w:rFonts w:ascii="Times New Roman" w:eastAsia="Times New Roman" w:hAnsi="Times New Roman" w:cs="Times New Roman"/>
        </w:rPr>
        <w:t xml:space="preserve"> </w:t>
      </w:r>
      <w:r w:rsidRPr="00814CE3">
        <w:rPr>
          <w:rFonts w:ascii="Times New Roman" w:eastAsia="Times New Roman" w:hAnsi="Times New Roman" w:cs="Times New Roman"/>
        </w:rPr>
        <w:t xml:space="preserve"> conducted a meta-analysis of </w:t>
      </w:r>
      <w:proofErr w:type="spellStart"/>
      <w:r w:rsidRPr="00814CE3">
        <w:rPr>
          <w:rFonts w:ascii="Times New Roman" w:eastAsia="Times New Roman" w:hAnsi="Times New Roman" w:cs="Times New Roman"/>
        </w:rPr>
        <w:t>randomised</w:t>
      </w:r>
      <w:proofErr w:type="spellEnd"/>
      <w:r w:rsidRPr="00814CE3">
        <w:rPr>
          <w:rFonts w:ascii="Times New Roman" w:eastAsia="Times New Roman" w:hAnsi="Times New Roman" w:cs="Times New Roman"/>
        </w:rPr>
        <w:t xml:space="preserve"> controlled trials specifically examining the effect of SGLT2 inhibitors on cardiac autonomic function in type 2 diabetes mellitus</w:t>
      </w:r>
      <w:r w:rsidR="00C208BC">
        <w:rPr>
          <w:rFonts w:ascii="Times New Roman" w:eastAsia="Times New Roman" w:hAnsi="Times New Roman" w:cs="Times New Roman"/>
        </w:rPr>
        <w:t xml:space="preserve"> </w:t>
      </w:r>
      <w:r w:rsidR="00C208BC">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{"citationID":"fon51lzk","properties":{"formattedCitation":"[8]","plainCitation":"[8]","noteIndex":0},"citationItems":[{"id":159,"uris":["http://zotero.org/groups/6437514/items/EZTSNY3Q"],"itemData":{"id":159,"type":"article-journal","container-title":"Acta Diabetologica","DOI":"10.1007/s00592-022-01958-0","ISSN":"1432-5233","issue":"1","journalAbbreviation":"Acta Diabetol","language":"en","page":"1-8","source":"DOI.org (Crossref)","title":"Effect of SGLT-2 inhibitors on cardiac autonomic function in type 2 diabetes mellitus: a meta-analysis of randomized controlled trials","title-short":"Effect of SGLT-2 inhibitors on cardiac autonomic function in type 2 diabetes mellitus","volume":"60","author":[{"family":"Patoulias","given":"Dimitrios"},{"family":"Katsimardou","given":"Alexandra"},{"family":"Fragakis","given":"Nikolaos"},{"family":"Papadopoulos","given":"Christodoulos"},{"family":"Doumas","given":"Michael"}],"issued":{"date-parts":[["2022",8,19]]}}}],"schema":"https://github.com/citation-style-language/schema/raw/master/csl-citation.json"} </w:instrText>
      </w:r>
      <w:r w:rsidR="00C208BC">
        <w:rPr>
          <w:rFonts w:ascii="Times New Roman" w:eastAsia="Times New Roman" w:hAnsi="Times New Roman" w:cs="Times New Roman"/>
        </w:rPr>
        <w:fldChar w:fldCharType="separate"/>
      </w:r>
      <w:r w:rsidR="004D7FCA" w:rsidRPr="004D7FCA">
        <w:rPr>
          <w:rFonts w:ascii="Times New Roman" w:hAnsi="Times New Roman" w:cs="Times New Roman"/>
        </w:rPr>
        <w:t>[8]</w:t>
      </w:r>
      <w:r w:rsidR="00C208BC">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Similarly, Kandeel conducted a systematic review and meta-analysis assessing the broader outcomes of SGLT2 inhibitors on diabetes-associated neuropathy, with pooled analyses </w:t>
      </w:r>
      <w:proofErr w:type="spellStart"/>
      <w:r w:rsidRPr="00814CE3">
        <w:rPr>
          <w:rFonts w:ascii="Times New Roman" w:eastAsia="Times New Roman" w:hAnsi="Times New Roman" w:cs="Times New Roman"/>
        </w:rPr>
        <w:t>centred</w:t>
      </w:r>
      <w:proofErr w:type="spellEnd"/>
      <w:r w:rsidRPr="00814CE3">
        <w:rPr>
          <w:rFonts w:ascii="Times New Roman" w:eastAsia="Times New Roman" w:hAnsi="Times New Roman" w:cs="Times New Roman"/>
        </w:rPr>
        <w:t xml:space="preserve"> on autonomic endpoints</w:t>
      </w:r>
      <w:r w:rsidR="00C208BC">
        <w:rPr>
          <w:rFonts w:ascii="Times New Roman" w:eastAsia="Times New Roman" w:hAnsi="Times New Roman" w:cs="Times New Roman"/>
        </w:rPr>
        <w:t xml:space="preserve"> </w:t>
      </w:r>
      <w:r w:rsidR="004C04C3">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{"citationID":"LEs0agbc","properties":{"formattedCitation":"[9]","plainCitation":"[9]","noteIndex":0},"citationItems":[{"id":160,"uris":["http://zotero.org/groups/6437514/items/3PPSKXGM"],"itemData":{"id":160,"type":"article-journal","abstract":"Diabetes mellitus (DM) is one of the leading causes of morbidity and mortality worldwide. DM patients with diabetic neuropathy (DN) usually present with distal pain, sensorimotor polyneuropathy, postural hypotension, or erectile dysfunction. They also may present with other nerve pathologies such as inflammatory neuropathies and carpal tunnel syndrome. We conducted a systematic review and meta-analysis to assess the benefits of using sodium–glucose co-transporter-2 inhibitors (SGLT2Is) to manage DN. An extensive systematic literature review was conducted to include all articles published up to 24 February 2022. All clinical studies included patients with DM and reported the outcomes of SGLT2I on diabetes-associated neuropathy. Six studies were identified for meta-analysis, including a total of 5312 diabetic patients. The average age of the included patients ranged from 41 to 74 years and 34–73 years in the SGLT2I treatment and control groups, respectively. SGLT2I moderately improved the manifestations of diabetic peripheral neuropathy events and nerve conduction velocity. Furthermore, the SGLT2I treatment group had a statistically significant higher mean heart-to-mediastinum ratio (MD 0.41; 95% 0.17, 0.64;\n              p\n              = 0.0006). However, the mean heart rates (MD −4.51; 95% −10.05, 1.04;\n              p\n              = 0.11) and wash out rates (MD 2.13; 95% −8.48, 12.75;\n              p\n              = 0.69) were not significantly different between the two groups. SGLT2Is could therefore be considered neuroprotective in patients with DN, possibly by considerably increasing the sensory and motor nerve conduction velocity, improving the clinical manifestations of DPN, and reducing sympathetic nervous system activity.\n            \n            \n              Systematic Review Registration:\n              http://www.crd.york.ac.uk/prospero/\n              , identifier CRD42022312828","container-title":"Frontiers in Pharmacology","DOI":"10.3389/fphar.2022.926717","ISSN":"1663-9812","journalAbbreviation":"Front. Pharmacol.","page":"926717","source":"DOI.org (Crossref)","title":"The Outcomes of Sodium-Glucose Co-transporter 2 Inhibitors (SGLT2I) on Diabetes-Associated Neuropathy: A Systematic Review and meta-Analysis","title-short":"The Outcomes of Sodium-Glucose Co-transporter 2 Inhibitors (SGLT2I) on Diabetes-Associated Neuropathy","volume":"13","author":[{"family":"Kandeel","given":"Mahmoud"}],"issued":{"date-parts":[["2022",7,11]]}}}],"schema":"https://github.com/citation-style-language/schema/raw/master/csl-citation.json"} </w:instrText>
      </w:r>
      <w:r w:rsidR="004C04C3">
        <w:rPr>
          <w:rFonts w:ascii="Times New Roman" w:eastAsia="Times New Roman" w:hAnsi="Times New Roman" w:cs="Times New Roman"/>
        </w:rPr>
        <w:fldChar w:fldCharType="separate"/>
      </w:r>
      <w:r w:rsidR="004D7FCA" w:rsidRPr="004D7FCA">
        <w:rPr>
          <w:rFonts w:ascii="Times New Roman" w:hAnsi="Times New Roman" w:cs="Times New Roman"/>
        </w:rPr>
        <w:t>[9]</w:t>
      </w:r>
      <w:r w:rsidR="004C04C3">
        <w:rPr>
          <w:rFonts w:ascii="Times New Roman" w:eastAsia="Times New Roman" w:hAnsi="Times New Roman" w:cs="Times New Roman"/>
        </w:rPr>
        <w:fldChar w:fldCharType="end"/>
      </w:r>
      <w:r w:rsidRPr="00814CE3">
        <w:rPr>
          <w:rFonts w:ascii="Times New Roman" w:eastAsia="Times New Roman" w:hAnsi="Times New Roman" w:cs="Times New Roman"/>
        </w:rPr>
        <w:t xml:space="preserve">. More recently, a narrative review </w:t>
      </w:r>
      <w:r w:rsidR="00896C8B">
        <w:rPr>
          <w:rFonts w:ascii="Times New Roman" w:eastAsia="Times New Roman" w:hAnsi="Times New Roman" w:cs="Times New Roman"/>
        </w:rPr>
        <w:t>by Panou et al.</w:t>
      </w:r>
      <w:r w:rsidR="00BA7A67">
        <w:rPr>
          <w:rFonts w:ascii="Times New Roman" w:eastAsia="Times New Roman" w:hAnsi="Times New Roman" w:cs="Times New Roman"/>
        </w:rPr>
        <w:t xml:space="preserve"> </w:t>
      </w:r>
      <w:r w:rsidRPr="00814CE3">
        <w:rPr>
          <w:rFonts w:ascii="Times New Roman" w:eastAsia="Times New Roman" w:hAnsi="Times New Roman" w:cs="Times New Roman"/>
        </w:rPr>
        <w:t xml:space="preserve">examined the potential impact </w:t>
      </w:r>
      <w:r w:rsidR="00896C8B">
        <w:rPr>
          <w:rFonts w:ascii="Times New Roman" w:eastAsia="Times New Roman" w:hAnsi="Times New Roman" w:cs="Times New Roman"/>
        </w:rPr>
        <w:t xml:space="preserve">of </w:t>
      </w:r>
      <w:r w:rsidRPr="00814CE3">
        <w:rPr>
          <w:rFonts w:ascii="Times New Roman" w:eastAsia="Times New Roman" w:hAnsi="Times New Roman" w:cs="Times New Roman"/>
        </w:rPr>
        <w:t xml:space="preserve">SGLT2 inhibitors — on both peripheral and autonomic diabetic neuropathies; however, this review </w:t>
      </w:r>
      <w:proofErr w:type="spellStart"/>
      <w:r w:rsidRPr="00814CE3">
        <w:rPr>
          <w:rFonts w:ascii="Times New Roman" w:eastAsia="Times New Roman" w:hAnsi="Times New Roman" w:cs="Times New Roman"/>
        </w:rPr>
        <w:t>synthesised</w:t>
      </w:r>
      <w:proofErr w:type="spellEnd"/>
      <w:r w:rsidRPr="00814CE3">
        <w:rPr>
          <w:rFonts w:ascii="Times New Roman" w:eastAsia="Times New Roman" w:hAnsi="Times New Roman" w:cs="Times New Roman"/>
        </w:rPr>
        <w:t xml:space="preserve"> evidence narratively across both neuropathy domains without performing quantitative pooling of peripheral nerve conduction outcomes, limiting the strength of conclusions that could be drawn specifically regarding the peripheral neuropathy evidence base</w:t>
      </w:r>
      <w:r w:rsidR="00BA7A67">
        <w:rPr>
          <w:rFonts w:ascii="Times New Roman" w:eastAsia="Times New Roman" w:hAnsi="Times New Roman" w:cs="Times New Roman"/>
        </w:rPr>
        <w:t xml:space="preserve"> </w:t>
      </w:r>
      <w:r w:rsidR="00BA7A67">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{"citationID":"fzGhrG8s","properties":{"formattedCitation":"[10]","plainCitation":"[10]","noteIndex":0},"citationItems":[{"id":162,"uris":["http://zotero.org/groups/6437514/items/J5S4FE2M"],"itemData":{"id":162,"type":"article-journal","abstract":"Abstract\n            Diabetic neuropathy is a serious complication of diabetes mellitus (DM). Its\n                    commonest manifestation is diabetic peripheral neuropathy (DPN). Diabetic\n                    neuropathy may also affect the autonomic nervous system, cardiac autonomic\n                    neuropathy (CAN) being its most widely studied manifestation. Treatment of DPN\n                    and CAN relies on glycaemic control and symptom alleviation, emphasizing the\n                    need for improvement. To this purpose, the novel antidiabetic oral agents\n                    sodium-glucose cotransporter-2 inhibitors (SGLT-2is) have been studied. Beyond\n                    their favourable effects on metabolic control and cardiovascular and renal\n                    outcomes, these agents appear to harbour some beneficial actions in DPN and CAN\n                    as well. The underlying mechanisms are not entirely clear, but appear to involve\n                    the 5&amp;apos; adenosine monophosphate-activated protein kinase (AMPK)-pathway.\n                    So far, clinical experience has been limited. Significant improvement in\n                    electrophysiological parameters and thermal perception has been observed among\n                    subjects with type 2 diabetes mellitus (T2DM) in small studies. However,\n                    contradictory findings have also been reported. The same ambiguous effect of\n                    SGLT-2is has been observed in CAN. Thus, future large studies are required to\n                    delineate the utility of SGLT-2is in DPN and/or CAN.","container-title":"Experimental and Clinical Endocrinology &amp; Diabetes","DOI":"10.1055/a-2640-9411","ISSN":"0947-7349, 1439-3646","issue":"08","journalAbbreviation":"Exp Clin Endocrinol Diabetes","language":"en","page":"425-436","source":"DOI.org (Crossref)","title":"The Therapeutic Potential of Sodium-Glucose Cotransporter-2 Inhibitors in Diabetic Neuropathy","volume":"133","author":[{"family":"Panou","given":"Theodoros"},{"family":"Gouveri","given":"Evanthia"},{"family":"Popovic","given":"Djordje S"},{"family":"Papazoglou","given":"Dimitrios"},{"family":"Papanas","given":"Nikolaos"}],"issued":{"date-parts":[["2025",8]]}}}],"schema":"https://github.com/citation-style-language/schema/raw/master/csl-citation.json"} </w:instrText>
      </w:r>
      <w:r w:rsidR="00BA7A67">
        <w:rPr>
          <w:rFonts w:ascii="Times New Roman" w:eastAsia="Times New Roman" w:hAnsi="Times New Roman" w:cs="Times New Roman"/>
        </w:rPr>
        <w:fldChar w:fldCharType="separate"/>
      </w:r>
      <w:r w:rsidR="004D7FCA" w:rsidRPr="004D7FCA">
        <w:rPr>
          <w:rFonts w:ascii="Times New Roman" w:hAnsi="Times New Roman" w:cs="Times New Roman"/>
        </w:rPr>
        <w:t>[10]</w:t>
      </w:r>
      <w:r w:rsidR="00BA7A67">
        <w:rPr>
          <w:rFonts w:ascii="Times New Roman" w:eastAsia="Times New Roman" w:hAnsi="Times New Roman" w:cs="Times New Roman"/>
        </w:rPr>
        <w:fldChar w:fldCharType="end"/>
      </w:r>
      <w:r w:rsidRPr="00814CE3">
        <w:rPr>
          <w:rFonts w:ascii="Times New Roman" w:eastAsia="Times New Roman" w:hAnsi="Times New Roman" w:cs="Times New Roman"/>
        </w:rPr>
        <w:t>.</w:t>
      </w:r>
      <w:r w:rsidR="00896C8B">
        <w:rPr>
          <w:rFonts w:ascii="Times New Roman" w:eastAsia="Times New Roman" w:hAnsi="Times New Roman" w:cs="Times New Roman"/>
        </w:rPr>
        <w:t xml:space="preserve"> In addition</w:t>
      </w:r>
      <w:r w:rsidRPr="00814CE3">
        <w:rPr>
          <w:rFonts w:ascii="Times New Roman" w:eastAsia="Times New Roman" w:hAnsi="Times New Roman" w:cs="Times New Roman"/>
        </w:rPr>
        <w:t xml:space="preserve">, </w:t>
      </w:r>
      <w:r w:rsidR="00896C8B">
        <w:rPr>
          <w:rFonts w:ascii="Times New Roman" w:eastAsia="Times New Roman" w:hAnsi="Times New Roman" w:cs="Times New Roman"/>
        </w:rPr>
        <w:t xml:space="preserve">there are more </w:t>
      </w:r>
      <w:r w:rsidRPr="00814CE3">
        <w:rPr>
          <w:rFonts w:ascii="Times New Roman" w:eastAsia="Times New Roman" w:hAnsi="Times New Roman" w:cs="Times New Roman"/>
        </w:rPr>
        <w:t xml:space="preserve">recent </w:t>
      </w:r>
      <w:proofErr w:type="spellStart"/>
      <w:proofErr w:type="gramStart"/>
      <w:r w:rsidRPr="00814CE3">
        <w:rPr>
          <w:rFonts w:ascii="Times New Roman" w:eastAsia="Times New Roman" w:hAnsi="Times New Roman" w:cs="Times New Roman"/>
        </w:rPr>
        <w:t>randomised</w:t>
      </w:r>
      <w:proofErr w:type="spellEnd"/>
      <w:proofErr w:type="gramEnd"/>
      <w:r w:rsidRPr="00814CE3">
        <w:rPr>
          <w:rFonts w:ascii="Times New Roman" w:eastAsia="Times New Roman" w:hAnsi="Times New Roman" w:cs="Times New Roman"/>
        </w:rPr>
        <w:t xml:space="preserve"> controlled trials</w:t>
      </w:r>
      <w:r w:rsidR="00896C8B">
        <w:rPr>
          <w:rFonts w:ascii="Times New Roman" w:eastAsia="Times New Roman" w:hAnsi="Times New Roman" w:cs="Times New Roman"/>
        </w:rPr>
        <w:t xml:space="preserve"> that provide valuable insights</w:t>
      </w:r>
      <w:r w:rsidRPr="00814CE3">
        <w:rPr>
          <w:rFonts w:ascii="Times New Roman" w:eastAsia="Times New Roman" w:hAnsi="Times New Roman" w:cs="Times New Roman"/>
        </w:rPr>
        <w:t xml:space="preserve">. There therefore remains a gap in the literature for a systematic review with meta-analysis focused exclusively on peripheral diabetic neuropathy, with quantitative pooling of nerve conduction study parameters across RCTs and inclusion of the most current evidence. </w:t>
      </w:r>
    </w:p>
    <w:p w14:paraId="2D9318EB" w14:textId="77A9FE62" w:rsidR="00200DF4" w:rsidRDefault="00814CE3" w:rsidP="00C208BC">
      <w:pPr>
        <w:spacing w:after="120" w:line="360" w:lineRule="auto"/>
        <w:jc w:val="both"/>
        <w:rPr>
          <w:rFonts w:ascii="Times New Roman" w:eastAsia="Times New Roman" w:hAnsi="Times New Roman" w:cs="Times New Roman"/>
        </w:rPr>
      </w:pPr>
      <w:r w:rsidRPr="00814CE3">
        <w:rPr>
          <w:rFonts w:ascii="Times New Roman" w:eastAsia="Times New Roman" w:hAnsi="Times New Roman" w:cs="Times New Roman"/>
        </w:rPr>
        <w:t xml:space="preserve">The present systematic review and meta-analysis therefore aims to address this gap by evaluating the totality of available clinical evidence on the effect of SGLT2 inhibitors specifically on peripheral nerve function and related biomarkers in patients with diabetic peripheral neuropathy, quantitatively pooling electrodiagnostic outcomes across </w:t>
      </w:r>
      <w:proofErr w:type="spellStart"/>
      <w:r w:rsidRPr="00814CE3">
        <w:rPr>
          <w:rFonts w:ascii="Times New Roman" w:eastAsia="Times New Roman" w:hAnsi="Times New Roman" w:cs="Times New Roman"/>
        </w:rPr>
        <w:t>randomised</w:t>
      </w:r>
      <w:proofErr w:type="spellEnd"/>
      <w:r w:rsidRPr="00814CE3">
        <w:rPr>
          <w:rFonts w:ascii="Times New Roman" w:eastAsia="Times New Roman" w:hAnsi="Times New Roman" w:cs="Times New Roman"/>
        </w:rPr>
        <w:t xml:space="preserve"> controlled trials where feasible, and incorporating the most recently published studies not captured by previous reviews, in order to provide the most comprehensive and up-to-date synthesis of this evidence base to date.</w:t>
      </w:r>
    </w:p>
    <w:p w14:paraId="7F2FC157" w14:textId="77777777" w:rsidR="00200DF4" w:rsidRDefault="00200DF4" w:rsidP="00C208BC">
      <w:pPr>
        <w:spacing w:after="120" w:line="360" w:lineRule="auto"/>
        <w:rPr>
          <w:rFonts w:ascii="Times New Roman" w:eastAsia="Times New Roman" w:hAnsi="Times New Roman" w:cs="Times New Roman"/>
        </w:rPr>
      </w:pPr>
    </w:p>
    <w:p w14:paraId="66191BDE" w14:textId="77777777" w:rsidR="00200DF4" w:rsidRDefault="00000000" w:rsidP="00C208BC">
      <w:pPr>
        <w:spacing w:after="120" w:line="360" w:lineRule="auto"/>
        <w:rPr>
          <w:rFonts w:ascii="Times New Roman" w:eastAsia="Times New Roman" w:hAnsi="Times New Roman" w:cs="Times New Roman"/>
        </w:rPr>
      </w:pPr>
      <w:r>
        <w:br w:type="page"/>
      </w:r>
    </w:p>
    <w:p w14:paraId="6C4EF7D3" w14:textId="25ECD5DA" w:rsidR="00200DF4" w:rsidRPr="00CC260B" w:rsidRDefault="00CC260B" w:rsidP="00C208BC">
      <w:pPr>
        <w:pStyle w:val="Heading1"/>
        <w:spacing w:line="360" w:lineRule="auto"/>
      </w:pPr>
      <w:r>
        <w:lastRenderedPageBreak/>
        <w:t xml:space="preserve">2. </w:t>
      </w:r>
      <w:r w:rsidRPr="00CC260B">
        <w:t>Methodology</w:t>
      </w:r>
    </w:p>
    <w:p w14:paraId="2C86543D" w14:textId="66E1E9EF" w:rsidR="00200DF4" w:rsidRPr="00265329" w:rsidRDefault="00000000" w:rsidP="004D7FCA">
      <w:pPr>
        <w:spacing w:after="240" w:line="360" w:lineRule="auto"/>
        <w:jc w:val="both"/>
        <w:rPr>
          <w:rFonts w:asciiTheme="majorBidi" w:eastAsia="Times New Roman" w:hAnsiTheme="majorBidi" w:cstheme="majorBidi"/>
          <w:i/>
          <w:iCs/>
        </w:rPr>
      </w:pPr>
      <w:r w:rsidRPr="00265329">
        <w:rPr>
          <w:rFonts w:asciiTheme="majorBidi" w:eastAsia="Times New Roman" w:hAnsiTheme="majorBidi" w:cstheme="majorBidi"/>
        </w:rPr>
        <w:t xml:space="preserve">While carrying out this systematic review and meta-analysis, we used the guidelines of Cochrane Handbook of Systematic Reviews and Meta-analysis (version 6.5) </w:t>
      </w:r>
      <w:r w:rsidR="00AC58D8" w:rsidRPr="00265329">
        <w:rPr>
          <w:rFonts w:asciiTheme="majorBidi" w:hAnsiTheme="majorBidi" w:cstheme="majorBidi"/>
        </w:rPr>
        <w:fldChar w:fldCharType="begin"/>
      </w:r>
      <w:r w:rsidR="004D7FCA" w:rsidRPr="00265329">
        <w:rPr>
          <w:rFonts w:asciiTheme="majorBidi" w:hAnsiTheme="majorBidi" w:cstheme="majorBidi"/>
        </w:rPr>
        <w:instrText xml:space="preserve"> ADDIN ZOTERO_ITEM CSL_CITATION {"citationID":"KYDHUhZs","properties":{"formattedCitation":"[11]","plainCitation":"[11]","noteIndex":0},"citationItems":[{"id":96,"uris":["http://zotero.org/groups/6417726/items/LND4DMUL"],"itemData":{"id":96,"type":"book","edition":"Version 6.5 (updated August 2024)","publisher":"Cochrane","title":"Cochrane Handbook for Systematic Reviews of Interventions","URL":"www.cochrane.org/handbook","author":[{"literal":"Higgins JPT"},{"literal":"Thomas J"},{"literal":"Chandler J"},{"literal":"Cumpston M"},{"literal":"Li T"},{"literal":"Page MJ"},{"literal":"et al"},{"literal":"editor (s)"}],"issued":{"date-parts":[["2024"]]}}}],"schema":"https://github.com/citation-style-language/schema/raw/master/csl-citation.json"} </w:instrText>
      </w:r>
      <w:r w:rsidR="00AC58D8" w:rsidRPr="00265329">
        <w:rPr>
          <w:rFonts w:asciiTheme="majorBidi" w:hAnsiTheme="majorBidi" w:cstheme="majorBidi"/>
        </w:rPr>
        <w:fldChar w:fldCharType="separate"/>
      </w:r>
      <w:r w:rsidR="004D7FCA" w:rsidRPr="00265329">
        <w:rPr>
          <w:rFonts w:asciiTheme="majorBidi" w:hAnsiTheme="majorBidi" w:cstheme="majorBidi"/>
        </w:rPr>
        <w:t>[11]</w:t>
      </w:r>
      <w:r w:rsidR="00AC58D8" w:rsidRPr="00265329">
        <w:rPr>
          <w:rFonts w:asciiTheme="majorBidi" w:hAnsiTheme="majorBidi" w:cstheme="majorBidi"/>
        </w:rPr>
        <w:fldChar w:fldCharType="end"/>
      </w:r>
      <w:r w:rsidRPr="00265329">
        <w:rPr>
          <w:rFonts w:asciiTheme="majorBidi" w:eastAsia="Times New Roman" w:hAnsiTheme="majorBidi" w:cstheme="majorBidi"/>
        </w:rPr>
        <w:t xml:space="preserve">. We reported this study according to the Preferred Reporting items of Systematic Reviews and Meta-Analysis (PRISMA statement 2020) </w:t>
      </w:r>
      <w:r w:rsidR="00AC58D8" w:rsidRPr="00265329">
        <w:rPr>
          <w:rFonts w:asciiTheme="majorBidi" w:hAnsiTheme="majorBidi" w:cstheme="majorBidi"/>
        </w:rPr>
        <w:fldChar w:fldCharType="begin"/>
      </w:r>
      <w:r w:rsidR="004D7FCA" w:rsidRPr="00265329">
        <w:rPr>
          <w:rFonts w:asciiTheme="majorBidi" w:hAnsiTheme="majorBidi" w:cstheme="majorBidi"/>
        </w:rPr>
        <w:instrText xml:space="preserve"> ADDIN ZOTERO_ITEM CSL_CITATION {"citationID":"2wlfPaaq","properties":{"formattedCitation":"[12]","plainCitation":"[12]","noteIndex":0},"citationItems":[{"id":116,"uris":["http://zotero.org/groups/6437514/items/V5VVDHJQ"],"itemData":{"id":116,"type":"article-journal","container-title":"BMJ","DOI":"10.1136/bmj.n71","ISSN":"1756-1833","journalAbbreviation":"BMJ","language":"en","page":"n71","source":"DOI.org (Crossref)","title":"The PRISMA 2020 statement: an updated guideline for reporting systematic reviews","title-short":"The PRISMA 2020 statement","author":[{"family":"Page","given":"Matthew J"},{"family":"McKenzie","given":"Joanne E"},{"family":"Bossuyt","given":"Patrick M"},{"family":"Boutron","given":"Isabelle"},{"family":"Hoffmann","given":"Tammy C"},{"family":"Mulrow","given":"Cynthia D"},{"family":"Shamseer","given":"Larissa"},{"family":"Tetzlaff","given":"Jennifer M"},{"family":"Akl","given":"Elie A"},{"family":"Brennan","given":"Sue E"},{"family":"Chou","given":"Roger"},{"family":"Glanville","given":"Julie"},{"family":"Grimshaw","given":"Jeremy M"},{"family":"Hróbjartsson","given":"Asbjørn"},{"family":"Lalu","given":"Manoj M"},{"family":"Li","given":"Tianjing"},{"family":"Loder","given":"Elizabeth W"},{"family":"Mayo-Wilson","given":"Evan"},{"family":"McDonald","given":"Steve"},{"family":"McGuinness","given":"Luke A"},{"family":"Stewart","given":"Lesley A"},{"family":"Thomas","given":"James"},{"family":"Tricco","given":"Andrea C"},{"family":"Welch","given":"Vivian A"},{"family":"Whiting","given":"Penny"},{"family":"Moher","given":"David"}],"issued":{"date-parts":[["2021",3,29]]}}}],"schema":"https://github.com/citation-style-language/schema/raw/master/csl-citation.json"} </w:instrText>
      </w:r>
      <w:r w:rsidR="00AC58D8" w:rsidRPr="00265329">
        <w:rPr>
          <w:rFonts w:asciiTheme="majorBidi" w:hAnsiTheme="majorBidi" w:cstheme="majorBidi"/>
        </w:rPr>
        <w:fldChar w:fldCharType="separate"/>
      </w:r>
      <w:r w:rsidR="004D7FCA" w:rsidRPr="00265329">
        <w:rPr>
          <w:rFonts w:asciiTheme="majorBidi" w:hAnsiTheme="majorBidi" w:cstheme="majorBidi"/>
        </w:rPr>
        <w:t>[12]</w:t>
      </w:r>
      <w:r w:rsidR="00AC58D8" w:rsidRPr="00265329">
        <w:rPr>
          <w:rFonts w:asciiTheme="majorBidi" w:hAnsiTheme="majorBidi" w:cstheme="majorBidi"/>
        </w:rPr>
        <w:fldChar w:fldCharType="end"/>
      </w:r>
      <w:r w:rsidRPr="00265329">
        <w:rPr>
          <w:rFonts w:asciiTheme="majorBidi" w:eastAsia="Times New Roman" w:hAnsiTheme="majorBidi" w:cstheme="majorBidi"/>
        </w:rPr>
        <w:t xml:space="preserve">. </w:t>
      </w:r>
    </w:p>
    <w:p w14:paraId="7E6BC305" w14:textId="63942252"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2.1 Eligibility criteria</w:t>
      </w:r>
    </w:p>
    <w:p w14:paraId="47EBAEE4" w14:textId="2AB5216C"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Studies were considered eligible for inclusion in this systematic review if they met the following pre-specified criteria, defined according to the PICOS framework. With respect to </w:t>
      </w:r>
      <w:r w:rsidRPr="00CC260B">
        <w:rPr>
          <w:rFonts w:ascii="Times New Roman" w:eastAsia="Times New Roman" w:hAnsi="Times New Roman" w:cs="Times New Roman"/>
        </w:rPr>
        <w:t xml:space="preserve">population, studies were required to </w:t>
      </w:r>
      <w:r w:rsidR="00CC260B" w:rsidRPr="00CC260B">
        <w:rPr>
          <w:rFonts w:ascii="Times New Roman" w:eastAsia="Times New Roman" w:hAnsi="Times New Roman" w:cs="Times New Roman"/>
        </w:rPr>
        <w:t>enroll</w:t>
      </w:r>
      <w:r w:rsidRPr="00CC260B">
        <w:rPr>
          <w:rFonts w:ascii="Times New Roman" w:eastAsia="Times New Roman" w:hAnsi="Times New Roman" w:cs="Times New Roman"/>
        </w:rPr>
        <w:t xml:space="preserve"> adult patients (aged ≥18 years) with a confirmed diagnosis of diabetes mellitus (type 1 or type 2) and established peripheral diabetic neuropathy, defined by either electrodiagnostic criteria, clinical neuropathy scoring, or objective small </w:t>
      </w:r>
      <w:r w:rsidR="00CC260B" w:rsidRPr="00CC260B">
        <w:rPr>
          <w:rFonts w:ascii="Times New Roman" w:eastAsia="Times New Roman" w:hAnsi="Times New Roman" w:cs="Times New Roman"/>
        </w:rPr>
        <w:t>fiber</w:t>
      </w:r>
      <w:r w:rsidRPr="00CC260B">
        <w:rPr>
          <w:rFonts w:ascii="Times New Roman" w:eastAsia="Times New Roman" w:hAnsi="Times New Roman" w:cs="Times New Roman"/>
        </w:rPr>
        <w:t xml:space="preserve"> assessment. No restrictions were placed on diabetes duration, HbA1c level, or neuropathy severity at baseline. Regarding intervention</w:t>
      </w:r>
      <w:r>
        <w:rPr>
          <w:rFonts w:ascii="Times New Roman" w:eastAsia="Times New Roman" w:hAnsi="Times New Roman" w:cs="Times New Roman"/>
        </w:rPr>
        <w:t xml:space="preserve">, eligible studies were required to include at least one arm receiving an SGLT2 inhibitor (including but not limited to empagliflozin, dapagliflozin, canagliflozin, or ertugliflozin) at any licensed dose and for any duration of follow-up. For </w:t>
      </w:r>
      <w:r w:rsidR="00265329" w:rsidRPr="00CC260B">
        <w:rPr>
          <w:rFonts w:ascii="Times New Roman" w:eastAsia="Times New Roman" w:hAnsi="Times New Roman" w:cs="Times New Roman"/>
        </w:rPr>
        <w:t>comparators</w:t>
      </w:r>
      <w:r>
        <w:rPr>
          <w:rFonts w:ascii="Times New Roman" w:eastAsia="Times New Roman" w:hAnsi="Times New Roman" w:cs="Times New Roman"/>
        </w:rPr>
        <w:t xml:space="preserve">, studies were required to include a placebo group, standard care arm, or active comparator; however, single-arm studies were retained for narrative synthesis given the scarcity of evidence in this </w:t>
      </w:r>
      <w:proofErr w:type="gramStart"/>
      <w:r>
        <w:rPr>
          <w:rFonts w:ascii="Times New Roman" w:eastAsia="Times New Roman" w:hAnsi="Times New Roman" w:cs="Times New Roman"/>
        </w:rPr>
        <w:t>field,</w:t>
      </w:r>
      <w:r w:rsidR="00265329">
        <w:rPr>
          <w:rFonts w:ascii="Times New Roman" w:eastAsia="Times New Roman" w:hAnsi="Times New Roman" w:cs="Times New Roman"/>
        </w:rPr>
        <w:t xml:space="preserve"> </w:t>
      </w:r>
      <w:r>
        <w:rPr>
          <w:rFonts w:ascii="Times New Roman" w:eastAsia="Times New Roman" w:hAnsi="Times New Roman" w:cs="Times New Roman"/>
        </w:rPr>
        <w:t>and</w:t>
      </w:r>
      <w:proofErr w:type="gramEnd"/>
      <w:r>
        <w:rPr>
          <w:rFonts w:ascii="Times New Roman" w:eastAsia="Times New Roman" w:hAnsi="Times New Roman" w:cs="Times New Roman"/>
        </w:rPr>
        <w:t xml:space="preserve"> were explicitly excluded from all pooled meta-analyses. </w:t>
      </w:r>
      <w:r w:rsidR="00CC260B">
        <w:rPr>
          <w:rFonts w:ascii="Times New Roman" w:eastAsia="Times New Roman" w:hAnsi="Times New Roman" w:cs="Times New Roman"/>
        </w:rPr>
        <w:t>Regarding</w:t>
      </w:r>
      <w:r>
        <w:rPr>
          <w:rFonts w:ascii="Times New Roman" w:eastAsia="Times New Roman" w:hAnsi="Times New Roman" w:cs="Times New Roman"/>
        </w:rPr>
        <w:t xml:space="preserve"> </w:t>
      </w:r>
      <w:r w:rsidRPr="00CC260B">
        <w:rPr>
          <w:rFonts w:ascii="Times New Roman" w:eastAsia="Times New Roman" w:hAnsi="Times New Roman" w:cs="Times New Roman"/>
        </w:rPr>
        <w:t>outcomes</w:t>
      </w:r>
      <w:r>
        <w:rPr>
          <w:rFonts w:ascii="Times New Roman" w:eastAsia="Times New Roman" w:hAnsi="Times New Roman" w:cs="Times New Roman"/>
        </w:rPr>
        <w:t xml:space="preserve">, studies were eligible if they reported at least one quantitative measure of peripheral nerve function or neuropathy severity, including but not limited to nerve conduction study parameters (sensory or motor conduction velocity, amplitude, or latency), corneal confocal microscopy metrics, neuropathy symptom or disability scores, or biomarkers of oxidative stress. With respect to </w:t>
      </w:r>
      <w:r w:rsidRPr="00CC260B">
        <w:rPr>
          <w:rFonts w:ascii="Times New Roman" w:eastAsia="Times New Roman" w:hAnsi="Times New Roman" w:cs="Times New Roman"/>
        </w:rPr>
        <w:t>study design</w:t>
      </w:r>
      <w:r>
        <w:rPr>
          <w:rFonts w:ascii="Times New Roman" w:eastAsia="Times New Roman" w:hAnsi="Times New Roman" w:cs="Times New Roman"/>
        </w:rPr>
        <w:t xml:space="preserve">, </w:t>
      </w:r>
      <w:proofErr w:type="spellStart"/>
      <w:r>
        <w:rPr>
          <w:rFonts w:ascii="Times New Roman" w:eastAsia="Times New Roman" w:hAnsi="Times New Roman" w:cs="Times New Roman"/>
        </w:rPr>
        <w:t>randomised</w:t>
      </w:r>
      <w:proofErr w:type="spellEnd"/>
      <w:r>
        <w:rPr>
          <w:rFonts w:ascii="Times New Roman" w:eastAsia="Times New Roman" w:hAnsi="Times New Roman" w:cs="Times New Roman"/>
        </w:rPr>
        <w:t xml:space="preserve"> controlled trials (RCTs) and prospective observational studies were eligible for inclusion. Cross-sectional studies, case reports, case series, editorials, review articles, conference abstracts without full-text availability, and animal or in vitro studies were excluded. Studies in which SGLT2 inhibitor therapy could not be isolated as the primary intervention — for instance where it was combined with another agent in all arms without a corresponding comparator — were excluded to avoid confounding of effect estimates. </w:t>
      </w:r>
    </w:p>
    <w:p w14:paraId="37A13EA4" w14:textId="1BDC83BD"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2.2 Information sources and Search strategy</w:t>
      </w:r>
    </w:p>
    <w:p w14:paraId="3FECDCF0" w14:textId="66568E6E"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Pub</w:t>
      </w:r>
      <w:r w:rsidR="006A5F7F">
        <w:rPr>
          <w:rFonts w:ascii="Times New Roman" w:eastAsia="Times New Roman" w:hAnsi="Times New Roman" w:cs="Times New Roman"/>
        </w:rPr>
        <w:t>M</w:t>
      </w:r>
      <w:r>
        <w:rPr>
          <w:rFonts w:ascii="Times New Roman" w:eastAsia="Times New Roman" w:hAnsi="Times New Roman" w:cs="Times New Roman"/>
        </w:rPr>
        <w:t>ed:</w:t>
      </w:r>
    </w:p>
    <w:p w14:paraId="6FE693AF" w14:textId="75B6B64F"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("Sodium-Glucose Transporter 2 Inhibitors"[Mesh]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w:t>
      </w:r>
      <w:r>
        <w:rPr>
          <w:rFonts w:ascii="Times New Roman" w:eastAsia="Times New Roman" w:hAnsi="Times New Roman" w:cs="Times New Roman"/>
        </w:rPr>
        <w:lastRenderedPageBreak/>
        <w:t xml:space="preserve">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Neuropathies"[Mesh] OR "Peripheral Nervous System Diseases"[Mesh]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w:t>
      </w:r>
    </w:p>
    <w:p w14:paraId="7BBC97EF" w14:textId="77777777"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Web of Science:</w:t>
      </w:r>
    </w:p>
    <w:p w14:paraId="42A8C4F8" w14:textId="21217EB9"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("Sodium-Glucose Transporter 2 Inhibitors"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 OR "Peripheral Nervous System Diseases"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w:t>
      </w:r>
    </w:p>
    <w:p w14:paraId="5F992952" w14:textId="77777777"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Cochrane CENTRAL:</w:t>
      </w:r>
    </w:p>
    <w:p w14:paraId="6A1B41D8" w14:textId="1D075082"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("Sodium-Glucose Transporter 2 Inhibitors"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 OR "Peripheral Nervous System Diseases"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 in All Text</w:t>
      </w:r>
    </w:p>
    <w:p w14:paraId="32B9F3BB" w14:textId="77777777"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Scopus:</w:t>
      </w:r>
    </w:p>
    <w:p w14:paraId="70D54A82" w14:textId="3CA841C6" w:rsidR="00200DF4" w:rsidRPr="00CC260B"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("Sodium-Glucose Transporter 2 Inhibitors" OR "sodium-glucose cotransporter 2 inhibitor*" OR "sodium glucose cotransporter 2 inhibitor*" OR SGLT2 OR SGLT2i OR canagliflozin OR dapagliflozin OR empagliflozin OR ertugliflozin OR ipragliflozin OR </w:t>
      </w:r>
      <w:proofErr w:type="spellStart"/>
      <w:r>
        <w:rPr>
          <w:rFonts w:ascii="Times New Roman" w:eastAsia="Times New Roman" w:hAnsi="Times New Roman" w:cs="Times New Roman"/>
        </w:rPr>
        <w:t>luseogliflozin</w:t>
      </w:r>
      <w:proofErr w:type="spellEnd"/>
      <w:r>
        <w:rPr>
          <w:rFonts w:ascii="Times New Roman" w:eastAsia="Times New Roman" w:hAnsi="Times New Roman" w:cs="Times New Roman"/>
        </w:rPr>
        <w:t xml:space="preserve"> OR tofogliflozin OR </w:t>
      </w:r>
      <w:proofErr w:type="spellStart"/>
      <w:r>
        <w:rPr>
          <w:rFonts w:ascii="Times New Roman" w:eastAsia="Times New Roman" w:hAnsi="Times New Roman" w:cs="Times New Roman"/>
        </w:rPr>
        <w:t>bexagliflozin</w:t>
      </w:r>
      <w:proofErr w:type="spellEnd"/>
      <w:r>
        <w:rPr>
          <w:rFonts w:ascii="Times New Roman" w:eastAsia="Times New Roman" w:hAnsi="Times New Roman" w:cs="Times New Roman"/>
        </w:rPr>
        <w:t xml:space="preserve">) AND ("Diabetic Neuropathies" OR "Peripheral Nervous System Diseases" OR "diabetic neuropath*" OR "diabetic peripheral neuropath*" OR "diabetic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"distal symmetric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OR "peripheral neuropath*" OR "</w:t>
      </w:r>
      <w:proofErr w:type="spellStart"/>
      <w:r>
        <w:rPr>
          <w:rFonts w:ascii="Times New Roman" w:eastAsia="Times New Roman" w:hAnsi="Times New Roman" w:cs="Times New Roman"/>
        </w:rPr>
        <w:t>polyneuropath</w:t>
      </w:r>
      <w:proofErr w:type="spellEnd"/>
      <w:r>
        <w:rPr>
          <w:rFonts w:ascii="Times New Roman" w:eastAsia="Times New Roman" w:hAnsi="Times New Roman" w:cs="Times New Roman"/>
        </w:rPr>
        <w:t xml:space="preserve">*" OR "small fiber neuropath*" OR "small </w:t>
      </w:r>
      <w:proofErr w:type="spellStart"/>
      <w:r>
        <w:rPr>
          <w:rFonts w:ascii="Times New Roman" w:eastAsia="Times New Roman" w:hAnsi="Times New Roman" w:cs="Times New Roman"/>
        </w:rPr>
        <w:t>fibre</w:t>
      </w:r>
      <w:proofErr w:type="spellEnd"/>
      <w:r>
        <w:rPr>
          <w:rFonts w:ascii="Times New Roman" w:eastAsia="Times New Roman" w:hAnsi="Times New Roman" w:cs="Times New Roman"/>
        </w:rPr>
        <w:t xml:space="preserve"> neuropath*" OR "autonomic neuropath*")</w:t>
      </w:r>
    </w:p>
    <w:p w14:paraId="41985077" w14:textId="772C69C7"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 xml:space="preserve">2.3 Selection process </w:t>
      </w:r>
    </w:p>
    <w:p w14:paraId="59D19B11" w14:textId="652C1A74" w:rsidR="00265329" w:rsidRDefault="00265329" w:rsidP="00265329">
      <w:pPr>
        <w:spacing w:after="240" w:line="360" w:lineRule="auto"/>
        <w:jc w:val="both"/>
        <w:rPr>
          <w:rFonts w:ascii="Times New Roman" w:eastAsia="Times New Roman" w:hAnsi="Times New Roman" w:cs="Times New Roman"/>
        </w:rPr>
      </w:pPr>
      <w:r w:rsidRPr="00265329">
        <w:rPr>
          <w:rFonts w:ascii="Times New Roman" w:eastAsia="Times New Roman" w:hAnsi="Times New Roman" w:cs="Times New Roman"/>
        </w:rPr>
        <w:t xml:space="preserve">Records identified through database searching of PubMed, Web of Science, Cochrane CENTRAL, and Scopus were exported and uploaded to Rayyan for duplicate removal and eligibility screening. Two </w:t>
      </w:r>
      <w:r w:rsidRPr="00265329">
        <w:rPr>
          <w:rFonts w:ascii="Times New Roman" w:eastAsia="Times New Roman" w:hAnsi="Times New Roman" w:cs="Times New Roman"/>
        </w:rPr>
        <w:lastRenderedPageBreak/>
        <w:t>authors independently screened all titles and abstracts against the pre-specified eligibility criteria, labelling records as included, excluded, or uncertain. Full-text articles were subsequently retrieved for all records not excluded at the title and abstract stage, and the same two authors independently assessed these for eligibility. Reasons for exclusion at the full-text stage were recorded and are reported in the PRISMA 2020 flow diagram (Figure 1). Disagreements at any stage of the screening process were resolved through discussion and consensus between the two reviewers, with a third author available for arbitration where consensus could not be reached.</w:t>
      </w:r>
    </w:p>
    <w:p w14:paraId="72C99F73" w14:textId="53E02AAA"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2.4 Data collection process and items</w:t>
      </w:r>
    </w:p>
    <w:p w14:paraId="42FC912E" w14:textId="3079FF74" w:rsidR="004B735C" w:rsidRDefault="004B735C" w:rsidP="004B735C">
      <w:pPr>
        <w:spacing w:after="240" w:line="360" w:lineRule="auto"/>
        <w:jc w:val="both"/>
        <w:rPr>
          <w:rFonts w:ascii="Times New Roman" w:eastAsia="Times New Roman" w:hAnsi="Times New Roman" w:cs="Times New Roman"/>
        </w:rPr>
      </w:pPr>
      <w:r w:rsidRPr="004B735C">
        <w:rPr>
          <w:rFonts w:ascii="Times New Roman" w:eastAsia="Times New Roman" w:hAnsi="Times New Roman" w:cs="Times New Roman"/>
        </w:rPr>
        <w:t xml:space="preserve">Two authors independently extracted data from all included studies using a pre-piloted </w:t>
      </w:r>
      <w:proofErr w:type="spellStart"/>
      <w:r w:rsidRPr="004B735C">
        <w:rPr>
          <w:rFonts w:ascii="Times New Roman" w:eastAsia="Times New Roman" w:hAnsi="Times New Roman" w:cs="Times New Roman"/>
        </w:rPr>
        <w:t>standardised</w:t>
      </w:r>
      <w:proofErr w:type="spellEnd"/>
      <w:r w:rsidRPr="004B735C">
        <w:rPr>
          <w:rFonts w:ascii="Times New Roman" w:eastAsia="Times New Roman" w:hAnsi="Times New Roman" w:cs="Times New Roman"/>
        </w:rPr>
        <w:t xml:space="preserve"> extraction spreadsheet. Extracted data encompassed study characteristics (study ID, country, study design, and follow-up duration), participant characteristics (sample size, age, sex distribution, BMI, baseline HbA1c, and diabetes duration), intervention details (SGLT2i agent, dose, and comparator), and outcome data relevant to the pre-specified primary and secondary outcomes.</w:t>
      </w:r>
    </w:p>
    <w:p w14:paraId="758A3314" w14:textId="57D93614"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2.5 Study risk of bias assessment</w:t>
      </w:r>
    </w:p>
    <w:p w14:paraId="2A486581" w14:textId="16BE9ECA" w:rsidR="00200DF4" w:rsidRDefault="00000000" w:rsidP="00FF2754">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 xml:space="preserve">Two reviewers independently assessed the methodological quality and risk of bias of all included studies. For </w:t>
      </w:r>
      <w:proofErr w:type="spellStart"/>
      <w:r>
        <w:rPr>
          <w:rFonts w:ascii="Times New Roman" w:eastAsia="Times New Roman" w:hAnsi="Times New Roman" w:cs="Times New Roman"/>
        </w:rPr>
        <w:t>randomised</w:t>
      </w:r>
      <w:proofErr w:type="spellEnd"/>
      <w:r>
        <w:rPr>
          <w:rFonts w:ascii="Times New Roman" w:eastAsia="Times New Roman" w:hAnsi="Times New Roman" w:cs="Times New Roman"/>
        </w:rPr>
        <w:t xml:space="preserve"> controlled trials, the Cochrane Risk of Bias 2 (</w:t>
      </w:r>
      <w:proofErr w:type="spellStart"/>
      <w:r>
        <w:rPr>
          <w:rFonts w:ascii="Times New Roman" w:eastAsia="Times New Roman" w:hAnsi="Times New Roman" w:cs="Times New Roman"/>
        </w:rPr>
        <w:t>RoB</w:t>
      </w:r>
      <w:proofErr w:type="spellEnd"/>
      <w:r>
        <w:rPr>
          <w:rFonts w:ascii="Times New Roman" w:eastAsia="Times New Roman" w:hAnsi="Times New Roman" w:cs="Times New Roman"/>
        </w:rPr>
        <w:t xml:space="preserve"> 2)</w:t>
      </w:r>
      <w:r w:rsidR="00265329">
        <w:rPr>
          <w:rFonts w:ascii="Times New Roman" w:eastAsia="Times New Roman" w:hAnsi="Times New Roman" w:cs="Times New Roman"/>
        </w:rPr>
        <w:t xml:space="preserve"> </w:t>
      </w:r>
      <w:r w:rsidR="00AC58D8" w:rsidRPr="00CC260B">
        <w:rPr>
          <w:rFonts w:ascii="Times New Roman" w:eastAsia="Times New Roman" w:hAnsi="Times New Roman" w:cs="Times New Roman"/>
        </w:rPr>
        <w:fldChar w:fldCharType="begin"/>
      </w:r>
      <w:r w:rsidR="004D7FCA">
        <w:rPr>
          <w:rFonts w:ascii="Times New Roman" w:eastAsia="Times New Roman" w:hAnsi="Times New Roman" w:cs="Times New Roman"/>
        </w:rPr>
        <w:instrText xml:space="preserve"> ADDIN ZOTERO_ITEM CSL_CITATION {"citationID":"GuRVQQvZ","properties":{"unsorted":false,"formattedCitation":"[13]","plainCitation":"[13]","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T"}],"issued":{"date-parts":[["2019",8,28]]}}}],"schema":"https://github.com/citation-style-language/schema/raw/master/csl-citation.json"} </w:instrText>
      </w:r>
      <w:r w:rsidR="00AC58D8" w:rsidRPr="00CC260B">
        <w:rPr>
          <w:rFonts w:ascii="Times New Roman" w:eastAsia="Times New Roman" w:hAnsi="Times New Roman" w:cs="Times New Roman"/>
        </w:rPr>
        <w:fldChar w:fldCharType="separate"/>
      </w:r>
      <w:r w:rsidR="004D7FCA" w:rsidRPr="004D7FCA">
        <w:rPr>
          <w:rFonts w:ascii="Times New Roman" w:hAnsi="Times New Roman" w:cs="Times New Roman"/>
        </w:rPr>
        <w:t>[13]</w:t>
      </w:r>
      <w:r w:rsidR="00AC58D8" w:rsidRPr="00CC260B">
        <w:rPr>
          <w:rFonts w:ascii="Times New Roman" w:eastAsia="Times New Roman" w:hAnsi="Times New Roman" w:cs="Times New Roman"/>
        </w:rPr>
        <w:fldChar w:fldCharType="end"/>
      </w:r>
      <w:r>
        <w:rPr>
          <w:rFonts w:ascii="Times New Roman" w:eastAsia="Times New Roman" w:hAnsi="Times New Roman" w:cs="Times New Roman"/>
        </w:rPr>
        <w:t xml:space="preserve"> tool was applied, evaluating five pre-specified domains: bias arising from the </w:t>
      </w:r>
      <w:proofErr w:type="spellStart"/>
      <w:r>
        <w:rPr>
          <w:rFonts w:ascii="Times New Roman" w:eastAsia="Times New Roman" w:hAnsi="Times New Roman" w:cs="Times New Roman"/>
        </w:rPr>
        <w:t>randomisation</w:t>
      </w:r>
      <w:proofErr w:type="spellEnd"/>
      <w:r>
        <w:rPr>
          <w:rFonts w:ascii="Times New Roman" w:eastAsia="Times New Roman" w:hAnsi="Times New Roman" w:cs="Times New Roman"/>
        </w:rPr>
        <w:t xml:space="preserve"> process (D1); bias due to deviations from intended interventions (D2); bias due to missing outcome data (D3); bias in measurement of the outcome (D4); and bias in selection of the reported result (D5). Each domain was rated as Low Risk, Some Concerns, or High Risk using the </w:t>
      </w:r>
      <w:proofErr w:type="spellStart"/>
      <w:r>
        <w:rPr>
          <w:rFonts w:ascii="Times New Roman" w:eastAsia="Times New Roman" w:hAnsi="Times New Roman" w:cs="Times New Roman"/>
        </w:rPr>
        <w:t>signalling</w:t>
      </w:r>
      <w:proofErr w:type="spellEnd"/>
      <w:r>
        <w:rPr>
          <w:rFonts w:ascii="Times New Roman" w:eastAsia="Times New Roman" w:hAnsi="Times New Roman" w:cs="Times New Roman"/>
        </w:rPr>
        <w:t>-question algorithm</w:t>
      </w:r>
      <w:r w:rsidR="00265329">
        <w:rPr>
          <w:rFonts w:ascii="Times New Roman" w:eastAsia="Times New Roman" w:hAnsi="Times New Roman" w:cs="Times New Roman"/>
        </w:rPr>
        <w:t>.</w:t>
      </w:r>
      <w:r>
        <w:rPr>
          <w:rFonts w:ascii="Times New Roman" w:eastAsia="Times New Roman" w:hAnsi="Times New Roman" w:cs="Times New Roman"/>
        </w:rPr>
        <w:t xml:space="preserve"> </w:t>
      </w:r>
      <w:r w:rsidR="004B735C" w:rsidRPr="004B735C">
        <w:rPr>
          <w:rFonts w:ascii="Times New Roman" w:eastAsia="Times New Roman" w:hAnsi="Times New Roman" w:cs="Times New Roman"/>
        </w:rPr>
        <w:t>The prospective cohort study (Ishibashi et al. 2022) was assessed using the Risk Of Bias In Non-</w:t>
      </w:r>
      <w:proofErr w:type="spellStart"/>
      <w:r w:rsidR="004B735C" w:rsidRPr="004B735C">
        <w:rPr>
          <w:rFonts w:ascii="Times New Roman" w:eastAsia="Times New Roman" w:hAnsi="Times New Roman" w:cs="Times New Roman"/>
        </w:rPr>
        <w:t>randomised</w:t>
      </w:r>
      <w:proofErr w:type="spellEnd"/>
      <w:r w:rsidR="004B735C" w:rsidRPr="004B735C">
        <w:rPr>
          <w:rFonts w:ascii="Times New Roman" w:eastAsia="Times New Roman" w:hAnsi="Times New Roman" w:cs="Times New Roman"/>
        </w:rPr>
        <w:t xml:space="preserve"> Studies of Interventions (ROBINS-I) tool, which is designed for non-</w:t>
      </w:r>
      <w:proofErr w:type="spellStart"/>
      <w:r w:rsidR="004B735C" w:rsidRPr="004B735C">
        <w:rPr>
          <w:rFonts w:ascii="Times New Roman" w:eastAsia="Times New Roman" w:hAnsi="Times New Roman" w:cs="Times New Roman"/>
        </w:rPr>
        <w:t>randomised</w:t>
      </w:r>
      <w:proofErr w:type="spellEnd"/>
      <w:r w:rsidR="004B735C" w:rsidRPr="004B735C">
        <w:rPr>
          <w:rFonts w:ascii="Times New Roman" w:eastAsia="Times New Roman" w:hAnsi="Times New Roman" w:cs="Times New Roman"/>
        </w:rPr>
        <w:t xml:space="preserve"> comparative studies with a control group</w:t>
      </w:r>
      <w:r w:rsidR="004B735C">
        <w:rPr>
          <w:rFonts w:ascii="Times New Roman" w:eastAsia="Times New Roman" w:hAnsi="Times New Roman" w:cs="Times New Roman"/>
        </w:rPr>
        <w:t xml:space="preserve"> </w:t>
      </w:r>
      <w:r w:rsidR="004B735C">
        <w:rPr>
          <w:rFonts w:ascii="Times New Roman" w:eastAsia="Times New Roman" w:hAnsi="Times New Roman" w:cs="Times New Roman"/>
        </w:rPr>
        <w:fldChar w:fldCharType="begin"/>
      </w:r>
      <w:r w:rsidR="00FF2754">
        <w:rPr>
          <w:rFonts w:ascii="Times New Roman" w:eastAsia="Times New Roman" w:hAnsi="Times New Roman" w:cs="Times New Roman"/>
        </w:rPr>
        <w:instrText xml:space="preserve"> ADDIN ZOTERO_ITEM CSL_CITATION {"citationID":"RjskgCRi","properties":{"formattedCitation":"[14]","plainCitation":"[14]","noteIndex":0},"citationItems":[{"id":"gKHtIfYW/4F1NiLW6","uris":["http://zotero.org/users/19709799/items/4BHM8V6D"],"itemData":{"id":"gKHtIfYW/4F1NiLW6","type":"article-journal","container-title":"BMJ","DOI":"10.1136/bmj.i4919","ISSN":"1756-1833","journalAbbreviation":"BMJ","language":"en","page":"i4919","source":"DOI.org (Crossref)","title":"ROBINS-I: a tool for assessing risk of bias in non-randomised studies of interventions","title-short":"ROBINS-I","author":[{"family":"Sterne","given":"Jonathan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Pt"}],"issued":{"date-parts":[["2016",10,12]]}}}],"schema":"https://github.com/citation-style-language/schema/raw/master/csl-citation.json"} </w:instrText>
      </w:r>
      <w:r w:rsidR="004B735C">
        <w:rPr>
          <w:rFonts w:ascii="Times New Roman" w:eastAsia="Times New Roman" w:hAnsi="Times New Roman" w:cs="Times New Roman"/>
        </w:rPr>
        <w:fldChar w:fldCharType="separate"/>
      </w:r>
      <w:r w:rsidR="00FF2754" w:rsidRPr="00FF2754">
        <w:rPr>
          <w:rFonts w:ascii="Times New Roman" w:hAnsi="Times New Roman" w:cs="Times New Roman"/>
        </w:rPr>
        <w:t>[14]</w:t>
      </w:r>
      <w:r w:rsidR="004B735C">
        <w:rPr>
          <w:rFonts w:ascii="Times New Roman" w:eastAsia="Times New Roman" w:hAnsi="Times New Roman" w:cs="Times New Roman"/>
        </w:rPr>
        <w:fldChar w:fldCharType="end"/>
      </w:r>
      <w:r w:rsidR="004B735C" w:rsidRPr="004B735C">
        <w:rPr>
          <w:rFonts w:ascii="Times New Roman" w:eastAsia="Times New Roman" w:hAnsi="Times New Roman" w:cs="Times New Roman"/>
        </w:rPr>
        <w:t>. The single-arm study (</w:t>
      </w:r>
      <w:proofErr w:type="spellStart"/>
      <w:r w:rsidR="004B735C" w:rsidRPr="004B735C">
        <w:rPr>
          <w:rFonts w:ascii="Times New Roman" w:eastAsia="Times New Roman" w:hAnsi="Times New Roman" w:cs="Times New Roman"/>
        </w:rPr>
        <w:t>Klabuzai</w:t>
      </w:r>
      <w:proofErr w:type="spellEnd"/>
      <w:r w:rsidR="004B735C" w:rsidRPr="004B735C">
        <w:rPr>
          <w:rFonts w:ascii="Times New Roman" w:eastAsia="Times New Roman" w:hAnsi="Times New Roman" w:cs="Times New Roman"/>
        </w:rPr>
        <w:t xml:space="preserve"> et al. 2025) was assessed using the Joanna Briggs Institute (JBI) critical appraisal checklist for quasi-experimental studies, as ROBINS-I presupposes the existence of a comparator group and is not applicable to single-arm designs.</w:t>
      </w:r>
      <w:r w:rsidR="004B735C">
        <w:rPr>
          <w:rFonts w:ascii="Times New Roman" w:eastAsia="Times New Roman" w:hAnsi="Times New Roman" w:cs="Times New Roman"/>
        </w:rPr>
        <w:t xml:space="preserve"> </w:t>
      </w:r>
      <w:r>
        <w:rPr>
          <w:rFonts w:ascii="Times New Roman" w:eastAsia="Times New Roman" w:hAnsi="Times New Roman" w:cs="Times New Roman"/>
        </w:rPr>
        <w:t>Reviewers performed assessments independently and were blinded to one another's judgments. Disagreements were resolved through discussion and consensus; a pre-defined third-party adjudication protocol was in place for any conflicts that could not be reconciled.</w:t>
      </w:r>
    </w:p>
    <w:p w14:paraId="366AC09C" w14:textId="68FEBDCC"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2.6 Effect measures</w:t>
      </w:r>
    </w:p>
    <w:p w14:paraId="1E0C6C94" w14:textId="2D67B016" w:rsidR="00200DF4" w:rsidRDefault="002E794B" w:rsidP="002E794B">
      <w:pPr>
        <w:spacing w:after="240" w:line="360" w:lineRule="auto"/>
        <w:jc w:val="both"/>
        <w:rPr>
          <w:rFonts w:ascii="Times New Roman" w:eastAsia="Times New Roman" w:hAnsi="Times New Roman" w:cs="Times New Roman"/>
        </w:rPr>
      </w:pPr>
      <w:r w:rsidRPr="002E794B">
        <w:rPr>
          <w:rFonts w:ascii="Times New Roman" w:eastAsia="Times New Roman" w:hAnsi="Times New Roman" w:cs="Times New Roman"/>
        </w:rPr>
        <w:t xml:space="preserve">For continuous outcomes, the mean difference (MD) with 95% confidence intervals (CIs) was used as the primary effect measure where studies reported outcomes in the same units, as was the case for all nerve conduction study parameters (expressed in m/s for conduction velocity, µV for sensory amplitude, mV for motor amplitude, and </w:t>
      </w:r>
      <w:proofErr w:type="spellStart"/>
      <w:r w:rsidRPr="002E794B">
        <w:rPr>
          <w:rFonts w:ascii="Times New Roman" w:eastAsia="Times New Roman" w:hAnsi="Times New Roman" w:cs="Times New Roman"/>
        </w:rPr>
        <w:t>ms</w:t>
      </w:r>
      <w:proofErr w:type="spellEnd"/>
      <w:r w:rsidRPr="002E794B">
        <w:rPr>
          <w:rFonts w:ascii="Times New Roman" w:eastAsia="Times New Roman" w:hAnsi="Times New Roman" w:cs="Times New Roman"/>
        </w:rPr>
        <w:t xml:space="preserve"> for latency) and oxidative stress markers. Where studies reported </w:t>
      </w:r>
      <w:r w:rsidRPr="002E794B">
        <w:rPr>
          <w:rFonts w:ascii="Times New Roman" w:eastAsia="Times New Roman" w:hAnsi="Times New Roman" w:cs="Times New Roman"/>
        </w:rPr>
        <w:lastRenderedPageBreak/>
        <w:t xml:space="preserve">change-from-baseline values alongside final values, change-from-baseline data were </w:t>
      </w:r>
      <w:proofErr w:type="spellStart"/>
      <w:r w:rsidRPr="002E794B">
        <w:rPr>
          <w:rFonts w:ascii="Times New Roman" w:eastAsia="Times New Roman" w:hAnsi="Times New Roman" w:cs="Times New Roman"/>
        </w:rPr>
        <w:t>prioritised</w:t>
      </w:r>
      <w:proofErr w:type="spellEnd"/>
      <w:r w:rsidRPr="002E794B">
        <w:rPr>
          <w:rFonts w:ascii="Times New Roman" w:eastAsia="Times New Roman" w:hAnsi="Times New Roman" w:cs="Times New Roman"/>
        </w:rPr>
        <w:t xml:space="preserve"> to account for baseline imbalances between groups. Where change-from-baseline </w:t>
      </w:r>
      <w:r>
        <w:rPr>
          <w:rFonts w:ascii="Times New Roman" w:eastAsia="Times New Roman" w:hAnsi="Times New Roman" w:cs="Times New Roman"/>
        </w:rPr>
        <w:t xml:space="preserve">values </w:t>
      </w:r>
      <w:r w:rsidRPr="002E794B">
        <w:rPr>
          <w:rFonts w:ascii="Times New Roman" w:eastAsia="Times New Roman" w:hAnsi="Times New Roman" w:cs="Times New Roman"/>
        </w:rPr>
        <w:t>were not directly reported, they were derived from baseline and final value means and standard deviations using the formula recommended by the Cochrane Handbook, applying a correlation coefficient of r = 0 between baseline and final measurements. This conservative assumption was adopted in the absence of empirical correlation data from the included studies and results in an overestimation of the change score standard deviation, producing wider confidence intervals and more conservative pooled effect estimates than would be obtained with a positive correlation coefficient. All effect estimates were accompanied by 95% CIs, and a two-tailed p-value of &lt;0.05 was considered statistically significant. Results are presented as forest plots for each pooled outcome.</w:t>
      </w:r>
    </w:p>
    <w:p w14:paraId="5DAE35F7" w14:textId="31BEAA7A" w:rsidR="00200DF4" w:rsidRPr="00CC260B" w:rsidRDefault="00CC260B" w:rsidP="006A5F7F">
      <w:pPr>
        <w:spacing w:after="240" w:line="360" w:lineRule="auto"/>
        <w:jc w:val="both"/>
        <w:rPr>
          <w:rFonts w:ascii="Times New Roman" w:eastAsia="Times New Roman" w:hAnsi="Times New Roman" w:cs="Times New Roman"/>
          <w:b/>
          <w:bCs/>
          <w:i/>
          <w:iCs/>
        </w:rPr>
      </w:pPr>
      <w:r w:rsidRPr="00CC260B">
        <w:rPr>
          <w:rFonts w:ascii="Times New Roman" w:eastAsia="Times New Roman" w:hAnsi="Times New Roman" w:cs="Times New Roman"/>
          <w:b/>
          <w:bCs/>
          <w:i/>
          <w:iCs/>
        </w:rPr>
        <w:t>2.7 Synthesis methods</w:t>
      </w:r>
    </w:p>
    <w:p w14:paraId="1D26C87A" w14:textId="1D43BE4D" w:rsidR="00200DF4" w:rsidRDefault="002D2BB5" w:rsidP="00C245E3">
      <w:pPr>
        <w:spacing w:after="240" w:line="360" w:lineRule="auto"/>
        <w:jc w:val="both"/>
        <w:rPr>
          <w:rFonts w:ascii="Times New Roman" w:eastAsia="Times New Roman" w:hAnsi="Times New Roman" w:cs="Times New Roman"/>
        </w:rPr>
      </w:pPr>
      <w:r w:rsidRPr="002D2BB5">
        <w:rPr>
          <w:rFonts w:asciiTheme="majorBidi" w:eastAsia="Times New Roman" w:hAnsiTheme="majorBidi" w:cstheme="majorBidi"/>
        </w:rPr>
        <w:t xml:space="preserve">Where studies reported continuous outcome data as medians and interquartile ranges rather than means and standard deviations — as was the case for Adhikari et al. (2025) — data were converted to means and standard deviations prior to meta-analysis using the validated method described by Wan et al. </w:t>
      </w:r>
      <w:r>
        <w:rPr>
          <w:rFonts w:asciiTheme="majorBidi" w:eastAsia="Times New Roman" w:hAnsiTheme="majorBidi" w:cstheme="majorBidi"/>
        </w:rPr>
        <w:t xml:space="preserve">and Luo et al. </w:t>
      </w:r>
      <w:r>
        <w:rPr>
          <w:rFonts w:asciiTheme="majorBidi" w:eastAsia="Times New Roman" w:hAnsiTheme="majorBidi" w:cstheme="majorBidi"/>
        </w:rPr>
        <w:fldChar w:fldCharType="begin"/>
      </w:r>
      <w:r>
        <w:rPr>
          <w:rFonts w:asciiTheme="majorBidi" w:eastAsia="Times New Roman" w:hAnsiTheme="majorBidi" w:cstheme="majorBidi"/>
        </w:rPr>
        <w:instrText xml:space="preserve"> ADDIN ZOTERO_ITEM CSL_CITATION {"citationID":"Zktzg8LF","properties":{"formattedCitation":"[16, 17]","plainCitation":"[16, 17]","noteIndex":0},"citationItems":[{"id":150,"uris":["http://zotero.org/groups/6437514/items/6Q3NPV6Y"],"itemData":{"id":150,"type":"article-journal","container-title":"BMC Medical Research Methodology","DOI":"10.1186/1471-2288-14-135","ISSN":"1471-2288","issue":"1","journalAbbreviation":"BMC Med Res Methodol","language":"en","page":"135","source":"DOI.org (Crossref)","title":"Estimating the sample mean and standard deviation from the sample size, median, range and/or interquartile range","volume":"14","author":[{"family":"Wan","given":"Xiang"},{"family":"Wang","given":"Wenqian"},{"family":"Liu","given":"Jiming"},{"family":"Tong","given":"Tiejun"}],"issued":{"date-parts":[["2014",12]]}}},{"id":149,"uris":["http://zotero.org/groups/6437514/items/ZCRK57B7"],"itemData":{"id":149,"type":"article-journal","abstract":"The era of big data is coming, and evidence-based medicine is attracting increasing attention to improve decision making in medical practice via integrating evidence from well designed and conducted clinical research. Meta-analysis is a statistical technique widely used in evidence-based medicine for analytically combining the findings from independent clinical trials to provide an overall estimation of a treatment effectiveness. The sample mean and standard deviation are two commonly used statistics in meta-analysis but some trials use the median, the minimum and maximum values, or sometimes the first and third quartiles to report the results. Thus, to pool results in a consistent format, researchers need to transform those information back to the sample mean and standard deviation. In this article, we investigate the optimal estimation of the sample mean for meta-analysis from both theoretical and empirical perspectives. A major drawback in the literature is that the sample size, needless to say its importance, is either ignored or used in a stepwise but somewhat arbitrary manner, e.g. the famous method proposed by Hozo et al. We solve this issue by incorporating the sample size in a smoothly changing weight in the estimators to reach the optimal estimation. Our proposed estimators not only improve the existing ones significantly but also share the same virtue of the simplicity. The real data application indicates that our proposed estimators are capable to serve as “rules of thumb” and will be widely applied in evidence-based medicine.","container-title":"Statistical Methods in Medical Research","DOI":"10.1177/0962280216669183","ISSN":"0962-2802, 1477-0334","issue":"6","journalAbbreviation":"Stat Methods Med Res","language":"en","page":"1785-1805","source":"DOI.org (Crossref)","title":"Optimally estimating the sample mean from the sample size, median, mid-range, and/or mid-quartile range","volume":"27","author":[{"family":"Luo","given":"Dehui"},{"family":"Wan","given":"Xiang"},{"family":"Liu","given":"Jiming"},{"family":"Tong","given":"Tiejun"}],"issued":{"date-parts":[["2018",6]]}}}],"schema":"https://github.com/citation-style-language/schema/raw/master/csl-citation.json"} </w:instrText>
      </w:r>
      <w:r>
        <w:rPr>
          <w:rFonts w:asciiTheme="majorBidi" w:eastAsia="Times New Roman" w:hAnsiTheme="majorBidi" w:cstheme="majorBidi"/>
        </w:rPr>
        <w:fldChar w:fldCharType="separate"/>
      </w:r>
      <w:r w:rsidRPr="002D2BB5">
        <w:rPr>
          <w:rFonts w:ascii="Times New Roman" w:hAnsi="Times New Roman" w:cs="Times New Roman"/>
        </w:rPr>
        <w:t>[16, 17]</w:t>
      </w:r>
      <w:r>
        <w:rPr>
          <w:rFonts w:asciiTheme="majorBidi" w:eastAsia="Times New Roman" w:hAnsiTheme="majorBidi" w:cstheme="majorBidi"/>
        </w:rPr>
        <w:fldChar w:fldCharType="end"/>
      </w:r>
      <w:r>
        <w:rPr>
          <w:rFonts w:asciiTheme="majorBidi" w:eastAsia="Times New Roman" w:hAnsiTheme="majorBidi" w:cstheme="majorBidi"/>
        </w:rPr>
        <w:t xml:space="preserve">. </w:t>
      </w:r>
      <w:r w:rsidR="003C18FF" w:rsidRPr="003C18FF">
        <w:rPr>
          <w:rFonts w:asciiTheme="majorBidi" w:eastAsia="Times New Roman" w:hAnsiTheme="majorBidi" w:cstheme="majorBidi"/>
        </w:rPr>
        <w:t>For El-Haggar et al. (2024), which reported sural nerve sensory conduction velocity, sural nerve sensory amplitude, and peroneal nerve motor parameters separately for the right and left lower limbs, right limb data were designated as the primary dataset for inclusion in all main meta-analyses</w:t>
      </w:r>
      <w:r w:rsidR="003C18FF">
        <w:rPr>
          <w:rFonts w:asciiTheme="majorBidi" w:eastAsia="Times New Roman" w:hAnsiTheme="majorBidi" w:cstheme="majorBidi"/>
        </w:rPr>
        <w:t xml:space="preserve">. </w:t>
      </w:r>
      <w:r w:rsidR="003C18FF" w:rsidRPr="003C18FF">
        <w:rPr>
          <w:rFonts w:asciiTheme="majorBidi" w:eastAsia="Times New Roman" w:hAnsiTheme="majorBidi" w:cstheme="majorBidi"/>
        </w:rPr>
        <w:t xml:space="preserve">Left limb data from El-Haggar et al. (2024) were incorporated into pre-specified sensitivity analyses for all affected outcomes to assess the robustness of pooled estimates to this decision. </w:t>
      </w:r>
      <w:r w:rsidR="006B4B0A" w:rsidRPr="00FF2754">
        <w:rPr>
          <w:rFonts w:asciiTheme="majorBidi" w:eastAsia="Times New Roman" w:hAnsiTheme="majorBidi" w:cstheme="majorBidi"/>
        </w:rPr>
        <w:t>Statistical analysis was performed using R (version 4.5.2; R Foundation for Statistical Computing, Vienna, Austria)</w:t>
      </w:r>
      <w:r w:rsidR="00FF2754">
        <w:rPr>
          <w:rFonts w:asciiTheme="majorBidi" w:eastAsia="Times New Roman" w:hAnsiTheme="majorBidi" w:cstheme="majorBidi"/>
        </w:rPr>
        <w:t xml:space="preserve"> </w:t>
      </w:r>
      <w:r w:rsidR="006B4B0A" w:rsidRPr="00FF2754">
        <w:rPr>
          <w:rFonts w:asciiTheme="majorBidi" w:eastAsia="Times New Roman" w:hAnsiTheme="majorBidi" w:cstheme="majorBidi"/>
        </w:rPr>
        <w:t xml:space="preserve">utilizing the meta (version 8.2.1) and </w:t>
      </w:r>
      <w:proofErr w:type="spellStart"/>
      <w:r w:rsidR="006B4B0A" w:rsidRPr="00FF2754">
        <w:rPr>
          <w:rFonts w:asciiTheme="majorBidi" w:eastAsia="Times New Roman" w:hAnsiTheme="majorBidi" w:cstheme="majorBidi"/>
        </w:rPr>
        <w:t>metafor</w:t>
      </w:r>
      <w:proofErr w:type="spellEnd"/>
      <w:r w:rsidR="006B4B0A" w:rsidRPr="00FF2754">
        <w:rPr>
          <w:rFonts w:asciiTheme="majorBidi" w:eastAsia="Times New Roman" w:hAnsiTheme="majorBidi" w:cstheme="majorBidi"/>
        </w:rPr>
        <w:t xml:space="preserve"> (version 4.8.0) packages</w:t>
      </w:r>
      <w:r w:rsidR="00FF2754">
        <w:rPr>
          <w:rFonts w:asciiTheme="majorBidi" w:eastAsia="Times New Roman" w:hAnsiTheme="majorBidi" w:cstheme="majorBidi"/>
        </w:rPr>
        <w:t xml:space="preserve"> </w:t>
      </w:r>
      <w:r w:rsidR="00FF2754">
        <w:rPr>
          <w:rFonts w:asciiTheme="majorBidi" w:eastAsia="Times New Roman" w:hAnsiTheme="majorBidi" w:cstheme="majorBidi"/>
        </w:rPr>
        <w:fldChar w:fldCharType="begin"/>
      </w:r>
      <w:r>
        <w:rPr>
          <w:rFonts w:asciiTheme="majorBidi" w:eastAsia="Times New Roman" w:hAnsiTheme="majorBidi" w:cstheme="majorBidi"/>
        </w:rPr>
        <w:instrText xml:space="preserve"> ADDIN ZOTERO_ITEM CSL_CITATION {"citationID":"hR2sCWQm","properties":{"formattedCitation":"[18\\uc0\\u8211{}20]","plainCitation":"[18–20]","noteIndex":0},"citationItems":[{"id":152,"uris":["http://zotero.org/groups/6437514/items/EGSM9R5S"],"itemData":{"id":152,"type":"book","publisher":"R Foundation for Statistical Computing","publisher-place":"Vienna, Austria","title":"R: A Language and Environment for Statistical Computing","URL":"https://www.R-project.org/","author":[{"literal":"R Core Team"}],"issued":{"date-parts":[["2025"]]}}},{"id":155,"uris":["http://zotero.org/groups/6437514/items/FI7QE834"],"itemData":{"id":155,"type":"article-journal","abstract":"Objective\n              Meta-analysis is of fundamental importance to obtain an unbiased assessment of the available evidence. In general, the use of meta-analysis has been increasing over the last three decades with mental health as a major research topic. It is then essential to well understand its methodology and interpret its results. In this publication, we describe how to perform a meta-analysis with the freely available statistical software environment R, using a working example taken from the field of mental health.\n            \n            \n              Methods\n              R package meta is used to conduct standard meta-analysis. Sensitivity analyses for missing binary outcome data and potential selection bias are conducted with R package metasens. All essential R commands are provided and clearly described to conduct and report analyses.\n            \n            \n              Results\n              The working example considers a binary outcome: we show how to conduct a fixed effect and random effects meta-analysis and subgroup analysis, produce a forest and funnel plot and to test and adjust for funnel plot asymmetry. All these steps work similar for other outcome types.\n            \n            \n              Conclusions\n              R represents a powerful and flexible tool to conduct meta-analyses. This publication gives a brief glimpse into the topic and provides directions to more advanced meta-analysis methods available in R.","container-title":"Evidence Based Mental Health","DOI":"10.1136/ebmental-2019-300117","ISSN":"1362-0347, 1468-960X","issue":"4","journalAbbreviation":"Evid Based Mental Health","language":"en","page":"153-160","source":"DOI.org (Crossref)","title":"How to perform a meta-analysis with R: a practical tutorial","title-short":"How to perform a meta-analysis with R","volume":"22","author":[{"family":"Balduzzi","given":"Sara"},{"family":"Rücker","given":"Gerta"},{"family":"Schwarzer","given":"Guido"}],"issued":{"date-parts":[["2019",11]]}}},{"id":153,"uris":["http://zotero.org/groups/6437514/items/I2ZX9VT7"],"itemData":{"id":153,"type":"article-journal","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2026",2,17]]},"issued":{"date-parts":[["2010"]]}}}],"schema":"https://github.com/citation-style-language/schema/raw/master/csl-citation.json"} </w:instrText>
      </w:r>
      <w:r w:rsidR="00FF2754">
        <w:rPr>
          <w:rFonts w:asciiTheme="majorBidi" w:eastAsia="Times New Roman" w:hAnsiTheme="majorBidi" w:cstheme="majorBidi"/>
        </w:rPr>
        <w:fldChar w:fldCharType="separate"/>
      </w:r>
      <w:r w:rsidRPr="002D2BB5">
        <w:rPr>
          <w:rFonts w:ascii="Times New Roman" w:hAnsi="Times New Roman" w:cs="Times New Roman"/>
        </w:rPr>
        <w:t>[18–20]</w:t>
      </w:r>
      <w:r w:rsidR="00FF2754">
        <w:rPr>
          <w:rFonts w:asciiTheme="majorBidi" w:eastAsia="Times New Roman" w:hAnsiTheme="majorBidi" w:cstheme="majorBidi"/>
        </w:rPr>
        <w:fldChar w:fldCharType="end"/>
      </w:r>
      <w:r w:rsidR="006B4B0A" w:rsidRPr="00FF2754">
        <w:rPr>
          <w:rFonts w:asciiTheme="majorBidi" w:eastAsia="Times New Roman" w:hAnsiTheme="majorBidi" w:cstheme="majorBidi"/>
        </w:rPr>
        <w:t xml:space="preserve">. </w:t>
      </w:r>
      <w:r w:rsidR="00C245E3" w:rsidRPr="00C245E3">
        <w:rPr>
          <w:rFonts w:asciiTheme="majorBidi" w:eastAsia="Times New Roman" w:hAnsiTheme="majorBidi" w:cstheme="majorBidi"/>
        </w:rPr>
        <w:t>Statistical heterogeneity was assessed using the I² statistic and Cochran's Q test; I² values of 25%, 50%, and 75% were interpreted as indicative of low, moderate, and high heterogeneity respectively, in accordance with Cochrane Handbook guidance. A fixed-effects model was applied where heterogeneity was absent or low (I² ≤25%), and a random-effects model was applied where moderate or substantial heterogeneity was detected (I² &gt;25%),</w:t>
      </w:r>
    </w:p>
    <w:p w14:paraId="0D556FBB" w14:textId="63336A7B" w:rsidR="00200DF4" w:rsidRPr="00ED0F7F" w:rsidRDefault="00ED0F7F" w:rsidP="006A5F7F">
      <w:pPr>
        <w:spacing w:after="240" w:line="360" w:lineRule="auto"/>
        <w:jc w:val="both"/>
        <w:rPr>
          <w:rFonts w:ascii="Times New Roman" w:eastAsia="Times New Roman" w:hAnsi="Times New Roman" w:cs="Times New Roman"/>
          <w:b/>
          <w:bCs/>
          <w:i/>
          <w:iCs/>
        </w:rPr>
      </w:pPr>
      <w:r w:rsidRPr="00ED0F7F">
        <w:rPr>
          <w:rFonts w:ascii="Times New Roman" w:eastAsia="Times New Roman" w:hAnsi="Times New Roman" w:cs="Times New Roman"/>
          <w:b/>
          <w:bCs/>
          <w:i/>
          <w:iCs/>
        </w:rPr>
        <w:t>2.8 Reporting bias assessment</w:t>
      </w:r>
    </w:p>
    <w:p w14:paraId="21AC1208" w14:textId="59292DCC" w:rsidR="00200DF4" w:rsidRDefault="00000000" w:rsidP="006A5F7F">
      <w:pPr>
        <w:spacing w:after="240" w:line="360" w:lineRule="auto"/>
        <w:jc w:val="both"/>
        <w:rPr>
          <w:rFonts w:ascii="Times New Roman" w:eastAsia="Times New Roman" w:hAnsi="Times New Roman" w:cs="Times New Roman"/>
        </w:rPr>
      </w:pPr>
      <w:r>
        <w:rPr>
          <w:rFonts w:ascii="Times New Roman" w:eastAsia="Times New Roman" w:hAnsi="Times New Roman" w:cs="Times New Roman"/>
        </w:rPr>
        <w:t>Given the small number of studies included per outcome (fewer than ten in all cases), funnel plot asymmetry could not be reliably evaluated. Accordingly, funnel plots were not generated for any outcome. Instead, reporting bias was assessed through a combination of the following approaches: (1) a search of clinical trial registries (ClinicalTrials.gov and WHO ICTRP) was conducted to identify prospectively registered trials with relevant outcomes that had not been published or had been published with incomplete outcome reporting. Overall, the possibility of publication bias cannot be excluded given the small evidence base, and this represents an important limitation of the current review.</w:t>
      </w:r>
      <w:r>
        <w:br w:type="page"/>
      </w:r>
    </w:p>
    <w:p w14:paraId="613C801D" w14:textId="77777777" w:rsidR="00200DF4" w:rsidRPr="00ED0F7F" w:rsidRDefault="00000000" w:rsidP="00C208BC">
      <w:pPr>
        <w:pStyle w:val="Heading1"/>
        <w:spacing w:line="360" w:lineRule="auto"/>
      </w:pPr>
      <w:bookmarkStart w:id="2" w:name="_8prhtyheyl39" w:colFirst="0" w:colLast="0"/>
      <w:bookmarkEnd w:id="2"/>
      <w:r w:rsidRPr="00ED0F7F">
        <w:lastRenderedPageBreak/>
        <w:t>3. Results</w:t>
      </w:r>
    </w:p>
    <w:p w14:paraId="690BD61D" w14:textId="4E592232" w:rsidR="00200DF4" w:rsidRPr="00EF4A89" w:rsidRDefault="00ED0F7F" w:rsidP="00C208BC">
      <w:pPr>
        <w:spacing w:after="240" w:line="360" w:lineRule="auto"/>
        <w:rPr>
          <w:rFonts w:asciiTheme="majorBidi" w:eastAsia="Times New Roman" w:hAnsiTheme="majorBidi" w:cstheme="majorBidi"/>
          <w:b/>
          <w:bCs/>
          <w:i/>
          <w:iCs/>
        </w:rPr>
      </w:pPr>
      <w:r w:rsidRPr="00EF4A89">
        <w:rPr>
          <w:rFonts w:asciiTheme="majorBidi" w:eastAsia="Times New Roman" w:hAnsiTheme="majorBidi" w:cstheme="majorBidi"/>
          <w:b/>
          <w:bCs/>
          <w:i/>
          <w:iCs/>
        </w:rPr>
        <w:t xml:space="preserve">3.1 Study selection </w:t>
      </w:r>
    </w:p>
    <w:p w14:paraId="6187C818" w14:textId="49E904C1" w:rsidR="00200DF4" w:rsidRPr="00985071" w:rsidRDefault="00985071" w:rsidP="00985071">
      <w:pPr>
        <w:spacing w:after="240" w:line="360" w:lineRule="auto"/>
        <w:rPr>
          <w:rFonts w:asciiTheme="majorBidi" w:eastAsia="Times New Roman" w:hAnsiTheme="majorBidi" w:cstheme="majorBidi"/>
          <w:lang w:val="en-US"/>
        </w:rPr>
      </w:pPr>
      <w:r w:rsidRPr="00985071">
        <w:rPr>
          <w:rFonts w:asciiTheme="majorBidi" w:eastAsia="Times New Roman" w:hAnsiTheme="majorBidi" w:cstheme="majorBidi"/>
        </w:rPr>
        <w:t xml:space="preserve">The database search retrieved a combined total of 1,128 records across PubMed, Web of Science, Cochrane CENTRAL, and Scopus. Following automated deduplication within Rayyan and subsequent manual verification, 214 duplicate records were removed, leaving 914 unique records for title and abstract screening. Of these, 896 records were excluded at the title and abstract stage as they did not meet the pre-specified eligibility criteria based on population, intervention, or study design. The full texts of 17 records were subsequently retrieved and assessed for eligibility, of which 10 were excluded for the following reasons: three were narrative or systematic review articles, two were unpublished RCT protocols without outcome data, and five did not meet eligibility criteria with respect to population, intervention, or outcomes reported. Seven studies met all inclusion criteria and were incorporated into the systematic review, comprising five </w:t>
      </w:r>
      <w:proofErr w:type="spellStart"/>
      <w:proofErr w:type="gramStart"/>
      <w:r w:rsidRPr="00985071">
        <w:rPr>
          <w:rFonts w:asciiTheme="majorBidi" w:eastAsia="Times New Roman" w:hAnsiTheme="majorBidi" w:cstheme="majorBidi"/>
        </w:rPr>
        <w:t>randomised</w:t>
      </w:r>
      <w:proofErr w:type="spellEnd"/>
      <w:proofErr w:type="gramEnd"/>
      <w:r w:rsidRPr="00985071">
        <w:rPr>
          <w:rFonts w:asciiTheme="majorBidi" w:eastAsia="Times New Roman" w:hAnsiTheme="majorBidi" w:cstheme="majorBidi"/>
        </w:rPr>
        <w:t xml:space="preserve"> controlled trials — of which one was a post-hoc analysis of a pre-existing RCT (Liao et al. </w:t>
      </w:r>
      <w:proofErr w:type="gramStart"/>
      <w:r w:rsidRPr="00985071">
        <w:rPr>
          <w:rFonts w:asciiTheme="majorBidi" w:eastAsia="Times New Roman" w:hAnsiTheme="majorBidi" w:cstheme="majorBidi"/>
        </w:rPr>
        <w:t>2022) —</w:t>
      </w:r>
      <w:proofErr w:type="gramEnd"/>
      <w:r w:rsidRPr="00985071">
        <w:rPr>
          <w:rFonts w:asciiTheme="majorBidi" w:eastAsia="Times New Roman" w:hAnsiTheme="majorBidi" w:cstheme="majorBidi"/>
        </w:rPr>
        <w:t xml:space="preserve"> one prospective cohort study, and one single-arm interventional study. The study selection process is illustrated in the PRISMA 2020 flow diagram (Figure 1).</w:t>
      </w:r>
    </w:p>
    <w:p w14:paraId="31142832" w14:textId="2DA8520C" w:rsidR="00200DF4" w:rsidRPr="00EF4A89" w:rsidRDefault="00ED0F7F" w:rsidP="00C208BC">
      <w:pPr>
        <w:spacing w:after="240" w:line="360" w:lineRule="auto"/>
        <w:rPr>
          <w:rFonts w:asciiTheme="majorBidi" w:eastAsia="Times New Roman" w:hAnsiTheme="majorBidi" w:cstheme="majorBidi"/>
          <w:b/>
          <w:bCs/>
          <w:i/>
          <w:iCs/>
        </w:rPr>
      </w:pPr>
      <w:r w:rsidRPr="00EF4A89">
        <w:rPr>
          <w:rFonts w:asciiTheme="majorBidi" w:eastAsia="Times New Roman" w:hAnsiTheme="majorBidi" w:cstheme="majorBidi"/>
          <w:b/>
          <w:bCs/>
          <w:i/>
          <w:iCs/>
        </w:rPr>
        <w:t xml:space="preserve">3.2 Study characteristics </w:t>
      </w:r>
    </w:p>
    <w:p w14:paraId="2A173218" w14:textId="72C2D6E5" w:rsidR="007B5804" w:rsidRPr="007B5804" w:rsidRDefault="007B5804" w:rsidP="00B42415">
      <w:pPr>
        <w:spacing w:after="240" w:line="360" w:lineRule="auto"/>
        <w:jc w:val="both"/>
        <w:rPr>
          <w:rFonts w:asciiTheme="majorBidi" w:eastAsia="Times New Roman" w:hAnsiTheme="majorBidi" w:cstheme="majorBidi"/>
          <w:lang w:val="en-US"/>
        </w:rPr>
      </w:pPr>
      <w:r w:rsidRPr="007B5804">
        <w:rPr>
          <w:rFonts w:asciiTheme="majorBidi" w:eastAsia="Times New Roman" w:hAnsiTheme="majorBidi" w:cstheme="majorBidi"/>
          <w:lang w:val="en-US"/>
        </w:rPr>
        <w:t xml:space="preserve">The seven included studies were published between 2021 and 2025 and collectively enrolled a total of 4,794 participants across the intervention and control groups combined. However, 4,401 of these participants were contributed by Liao et al. (2022) alone, a post-hoc analysis of the large </w:t>
      </w:r>
      <w:proofErr w:type="spellStart"/>
      <w:r w:rsidRPr="007B5804">
        <w:rPr>
          <w:rFonts w:asciiTheme="majorBidi" w:eastAsia="Times New Roman" w:hAnsiTheme="majorBidi" w:cstheme="majorBidi"/>
          <w:lang w:val="en-US"/>
        </w:rPr>
        <w:t>multicentre</w:t>
      </w:r>
      <w:proofErr w:type="spellEnd"/>
      <w:r w:rsidRPr="007B5804">
        <w:rPr>
          <w:rFonts w:asciiTheme="majorBidi" w:eastAsia="Times New Roman" w:hAnsiTheme="majorBidi" w:cstheme="majorBidi"/>
          <w:lang w:val="en-US"/>
        </w:rPr>
        <w:t xml:space="preserve"> CREDENCE trial conducted across 34 countries; the remaining six studies enrolled a combined total of 393 participants. Studies were conducted in India (Mehta et al. 2021; Adhikari et al. 2025), Egypt (El-Haggar et al. 2024), Japan (Ishibashi et al. 2022), Hungary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and Iran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reflecting a geographically diverse evidence base. All studies enrolled patients with type 2 diabetes mellitus and peripheral neuropathy confirmed by clinical or electrodiagnostic assessment. A summary of study characteristics is presented in Table 1.</w:t>
      </w:r>
    </w:p>
    <w:p w14:paraId="56E99883" w14:textId="77777777" w:rsidR="007B5804" w:rsidRPr="007B5804" w:rsidRDefault="007B5804" w:rsidP="007B5804">
      <w:pPr>
        <w:spacing w:after="240" w:line="360" w:lineRule="auto"/>
        <w:jc w:val="both"/>
        <w:rPr>
          <w:rFonts w:asciiTheme="majorBidi" w:eastAsia="Times New Roman" w:hAnsiTheme="majorBidi" w:cstheme="majorBidi"/>
          <w:lang w:val="en-US"/>
        </w:rPr>
      </w:pPr>
      <w:r w:rsidRPr="007B5804">
        <w:rPr>
          <w:rFonts w:asciiTheme="majorBidi" w:eastAsia="Times New Roman" w:hAnsiTheme="majorBidi" w:cstheme="majorBidi"/>
          <w:lang w:val="en-US"/>
        </w:rPr>
        <w:t xml:space="preserve">Four of the five RCTs used a placebo comparator (El-Haggar et al. 2024; Liao et al. 2022;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and the CREDENCE trial from which Liao et al. derived their post-hoc data), while Mehta et al. (2021) and Adhikari et al. (2025) used active comparators in the form of standard oral </w:t>
      </w:r>
      <w:proofErr w:type="spellStart"/>
      <w:r w:rsidRPr="007B5804">
        <w:rPr>
          <w:rFonts w:asciiTheme="majorBidi" w:eastAsia="Times New Roman" w:hAnsiTheme="majorBidi" w:cstheme="majorBidi"/>
          <w:lang w:val="en-US"/>
        </w:rPr>
        <w:t>hypoglycaemic</w:t>
      </w:r>
      <w:proofErr w:type="spellEnd"/>
      <w:r w:rsidRPr="007B5804">
        <w:rPr>
          <w:rFonts w:asciiTheme="majorBidi" w:eastAsia="Times New Roman" w:hAnsiTheme="majorBidi" w:cstheme="majorBidi"/>
          <w:lang w:val="en-US"/>
        </w:rPr>
        <w:t xml:space="preserve"> agents. Ishibashi et al. (2022) compared SGLT2i therapy added to standard care against standard care alone as a prospective cohort study, and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had no comparator group. SGLT2 inhibitor agents and doses varied across studies: empagliflozin was used at 25 mg once daily in Mehta et al. (2021) and El-Haggar et al. (2024), and at 10 mg once daily in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w:t>
      </w:r>
      <w:proofErr w:type="gramStart"/>
      <w:r w:rsidRPr="007B5804">
        <w:rPr>
          <w:rFonts w:asciiTheme="majorBidi" w:eastAsia="Times New Roman" w:hAnsiTheme="majorBidi" w:cstheme="majorBidi"/>
          <w:lang w:val="en-US"/>
        </w:rPr>
        <w:t>(2025</w:t>
      </w:r>
      <w:proofErr w:type="gramEnd"/>
      <w:r w:rsidRPr="007B5804">
        <w:rPr>
          <w:rFonts w:asciiTheme="majorBidi" w:eastAsia="Times New Roman" w:hAnsiTheme="majorBidi" w:cstheme="majorBidi"/>
          <w:lang w:val="en-US"/>
        </w:rPr>
        <w:t xml:space="preserve">); dapagliflozin 10 mg once daily was used in Adhikari et al. (2025); and canagliflozin 100 mg was used </w:t>
      </w:r>
      <w:r w:rsidRPr="007B5804">
        <w:rPr>
          <w:rFonts w:asciiTheme="majorBidi" w:eastAsia="Times New Roman" w:hAnsiTheme="majorBidi" w:cstheme="majorBidi"/>
          <w:lang w:val="en-US"/>
        </w:rPr>
        <w:lastRenderedPageBreak/>
        <w:t xml:space="preserve">in the CREDENCE trial. The specific SGLT2i agent was not reported in Ishibashi et al. (2022) or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where the choice of agent was determined by the treating clinical team, introducing additional pharmacological heterogeneity into these studies.</w:t>
      </w:r>
    </w:p>
    <w:p w14:paraId="5A8CB29A" w14:textId="17EEE605" w:rsidR="007B5804" w:rsidRPr="007B5804" w:rsidRDefault="007B5804" w:rsidP="007B5804">
      <w:pPr>
        <w:spacing w:after="240" w:line="360" w:lineRule="auto"/>
        <w:jc w:val="both"/>
        <w:rPr>
          <w:rFonts w:asciiTheme="majorBidi" w:eastAsia="Times New Roman" w:hAnsiTheme="majorBidi" w:cstheme="majorBidi"/>
          <w:lang w:val="en-US"/>
        </w:rPr>
      </w:pPr>
      <w:r w:rsidRPr="007B5804">
        <w:rPr>
          <w:rFonts w:asciiTheme="majorBidi" w:eastAsia="Times New Roman" w:hAnsiTheme="majorBidi" w:cstheme="majorBidi"/>
          <w:lang w:val="en-US"/>
        </w:rPr>
        <w:t xml:space="preserve">Follow-up duration varied considerably across included studies, ranging from four weeks in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to three years in Ishibashi et al. (2022), with the remaining studies reporting follow-up periods of three months (El-Haggar et al. 2024), approximately six months (Mehta et al. 2021; Adhikari et al. 2025), approximately 2.62 years (Liao et al. 2022), and 20 weeks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w:t>
      </w:r>
    </w:p>
    <w:p w14:paraId="7B9CC96C" w14:textId="790BE3C6" w:rsidR="007B5804" w:rsidRPr="007B5804" w:rsidRDefault="007B5804" w:rsidP="007B5804">
      <w:pPr>
        <w:spacing w:after="240" w:line="360" w:lineRule="auto"/>
        <w:jc w:val="both"/>
        <w:rPr>
          <w:rFonts w:asciiTheme="majorBidi" w:eastAsia="Times New Roman" w:hAnsiTheme="majorBidi" w:cstheme="majorBidi"/>
          <w:lang w:val="en-US"/>
        </w:rPr>
      </w:pPr>
      <w:r w:rsidRPr="007B5804">
        <w:rPr>
          <w:rFonts w:asciiTheme="majorBidi" w:eastAsia="Times New Roman" w:hAnsiTheme="majorBidi" w:cstheme="majorBidi"/>
          <w:lang w:val="en-US"/>
        </w:rPr>
        <w:t xml:space="preserve">Mean participant age was broadly comparable across studies, ranging from 49.5 years in the intervention arm of Adhikari et al. (2025) to 63.0 years overall in Liao et al. (2022). Baseline </w:t>
      </w:r>
      <w:proofErr w:type="spellStart"/>
      <w:r w:rsidRPr="007B5804">
        <w:rPr>
          <w:rFonts w:asciiTheme="majorBidi" w:eastAsia="Times New Roman" w:hAnsiTheme="majorBidi" w:cstheme="majorBidi"/>
          <w:lang w:val="en-US"/>
        </w:rPr>
        <w:t>glycaemic</w:t>
      </w:r>
      <w:proofErr w:type="spellEnd"/>
      <w:r w:rsidRPr="007B5804">
        <w:rPr>
          <w:rFonts w:asciiTheme="majorBidi" w:eastAsia="Times New Roman" w:hAnsiTheme="majorBidi" w:cstheme="majorBidi"/>
          <w:lang w:val="en-US"/>
        </w:rPr>
        <w:t xml:space="preserve"> control, as reflected by HbA1c, varied meaningfully across the evidence base. Mehta et al. (2021) enrolled patients with markedly elevated HbA1c values of approximately 14% in both groups — substantially higher than all other studies and indicative of severely uncontrolled diabetes — which limits the comparability of this study's population with the remaining evidence. The other RCTs reported mean baseline HbA1c values ranging from 7.30 ± 0.35% in the control group of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to 8.3 ± 1.3% overall in Liao et al. (2022), reflecting populations with more modest </w:t>
      </w:r>
      <w:proofErr w:type="spellStart"/>
      <w:r w:rsidRPr="007B5804">
        <w:rPr>
          <w:rFonts w:asciiTheme="majorBidi" w:eastAsia="Times New Roman" w:hAnsiTheme="majorBidi" w:cstheme="majorBidi"/>
          <w:lang w:val="en-US"/>
        </w:rPr>
        <w:t>glycaemic</w:t>
      </w:r>
      <w:proofErr w:type="spellEnd"/>
      <w:r w:rsidRPr="007B5804">
        <w:rPr>
          <w:rFonts w:asciiTheme="majorBidi" w:eastAsia="Times New Roman" w:hAnsiTheme="majorBidi" w:cstheme="majorBidi"/>
          <w:lang w:val="en-US"/>
        </w:rPr>
        <w:t xml:space="preserve"> dysregulation. HbA1c was not reported in </w:t>
      </w:r>
      <w:proofErr w:type="spellStart"/>
      <w:r w:rsidRPr="007B5804">
        <w:rPr>
          <w:rFonts w:asciiTheme="majorBidi" w:eastAsia="Times New Roman" w:hAnsiTheme="majorBidi" w:cstheme="majorBidi"/>
          <w:lang w:val="en-US"/>
        </w:rPr>
        <w:t>Klabuzai</w:t>
      </w:r>
      <w:proofErr w:type="spellEnd"/>
      <w:r w:rsidRPr="007B5804">
        <w:rPr>
          <w:rFonts w:asciiTheme="majorBidi" w:eastAsia="Times New Roman" w:hAnsiTheme="majorBidi" w:cstheme="majorBidi"/>
          <w:lang w:val="en-US"/>
        </w:rPr>
        <w:t xml:space="preserve"> et al. (2025). Mean BMI was broadly comparable across most studies, ranging from 25.22 ± 1.62 kg/m² to 32.6 ± 4.45 kg/m²; however, a clinically notable imbalance was observed in Ishibashi et al. (2022), where the SGLT2i group had a substantially higher mean BMI compared to the non-treated diabetic group (30.1 ± 0.72 vs 24.8 ± 0.43 kg/m²), representing a potential source of confounding in this observational study given the established relationship between adiposity, nerve compression, and neuropathy severity. Gender distribution was not reported separately by </w:t>
      </w:r>
      <w:proofErr w:type="gramStart"/>
      <w:r w:rsidRPr="007B5804">
        <w:rPr>
          <w:rFonts w:asciiTheme="majorBidi" w:eastAsia="Times New Roman" w:hAnsiTheme="majorBidi" w:cstheme="majorBidi"/>
          <w:lang w:val="en-US"/>
        </w:rPr>
        <w:t>group</w:t>
      </w:r>
      <w:proofErr w:type="gramEnd"/>
      <w:r w:rsidRPr="007B5804">
        <w:rPr>
          <w:rFonts w:asciiTheme="majorBidi" w:eastAsia="Times New Roman" w:hAnsiTheme="majorBidi" w:cstheme="majorBidi"/>
          <w:lang w:val="en-US"/>
        </w:rPr>
        <w:t xml:space="preserve"> in El-Haggar et al. (2024) or </w:t>
      </w:r>
      <w:proofErr w:type="spellStart"/>
      <w:r w:rsidRPr="007B5804">
        <w:rPr>
          <w:rFonts w:asciiTheme="majorBidi" w:eastAsia="Times New Roman" w:hAnsiTheme="majorBidi" w:cstheme="majorBidi"/>
          <w:lang w:val="en-US"/>
        </w:rPr>
        <w:t>Vafaeinasab</w:t>
      </w:r>
      <w:proofErr w:type="spellEnd"/>
      <w:r w:rsidRPr="007B5804">
        <w:rPr>
          <w:rFonts w:asciiTheme="majorBidi" w:eastAsia="Times New Roman" w:hAnsiTheme="majorBidi" w:cstheme="majorBidi"/>
          <w:lang w:val="en-US"/>
        </w:rPr>
        <w:t xml:space="preserve"> et al. (2025), and diabetes duration was similarly not reported in these two studies. Across studies where it was reported, diabetes duration ranged from a median of five years in Adhikari et al. (2025) to a mean of 15.8 ± 8.6 years in Liao et al. (2022), with the longer disease duration in the latter consistent with its population being defined by established diabetic kidney disease rather than neuropathy specifically.</w:t>
      </w:r>
    </w:p>
    <w:p w14:paraId="53A58A67" w14:textId="1FE05154" w:rsidR="00200DF4" w:rsidRPr="00EF4A89" w:rsidRDefault="00ED0F7F" w:rsidP="00C208BC">
      <w:pPr>
        <w:spacing w:after="240" w:line="360" w:lineRule="auto"/>
        <w:rPr>
          <w:rFonts w:asciiTheme="majorBidi" w:eastAsia="Times New Roman" w:hAnsiTheme="majorBidi" w:cstheme="majorBidi"/>
          <w:i/>
          <w:iCs/>
        </w:rPr>
      </w:pPr>
      <w:r w:rsidRPr="00EF4A89">
        <w:rPr>
          <w:rFonts w:asciiTheme="majorBidi" w:eastAsia="Times New Roman" w:hAnsiTheme="majorBidi" w:cstheme="majorBidi"/>
          <w:b/>
          <w:bCs/>
          <w:i/>
          <w:iCs/>
        </w:rPr>
        <w:t>3.3 Risk of bias in studies</w:t>
      </w:r>
      <w:r w:rsidRPr="00EF4A89">
        <w:rPr>
          <w:rFonts w:asciiTheme="majorBidi" w:eastAsia="Times New Roman" w:hAnsiTheme="majorBidi" w:cstheme="majorBidi"/>
          <w:i/>
          <w:iCs/>
        </w:rPr>
        <w:t xml:space="preserve"> </w:t>
      </w:r>
    </w:p>
    <w:p w14:paraId="58BB71CF" w14:textId="30E6CC01" w:rsidR="00200DF4" w:rsidRPr="00EF4A89" w:rsidRDefault="00000000" w:rsidP="002D2BB5">
      <w:pPr>
        <w:spacing w:after="240" w:line="360" w:lineRule="auto"/>
        <w:rPr>
          <w:rFonts w:asciiTheme="majorBidi" w:eastAsia="Times New Roman" w:hAnsiTheme="majorBidi" w:cstheme="majorBidi"/>
        </w:rPr>
      </w:pPr>
      <w:r w:rsidRPr="00EF4A89">
        <w:rPr>
          <w:rFonts w:asciiTheme="majorBidi" w:eastAsia="Times New Roman" w:hAnsiTheme="majorBidi" w:cstheme="majorBidi"/>
        </w:rPr>
        <w:t xml:space="preserve">Risk of bias assessment using the Cochrane </w:t>
      </w:r>
      <w:proofErr w:type="spellStart"/>
      <w:r w:rsidRPr="00EF4A89">
        <w:rPr>
          <w:rFonts w:asciiTheme="majorBidi" w:eastAsia="Times New Roman" w:hAnsiTheme="majorBidi" w:cstheme="majorBidi"/>
        </w:rPr>
        <w:t>RoB</w:t>
      </w:r>
      <w:proofErr w:type="spellEnd"/>
      <w:r w:rsidRPr="00EF4A89">
        <w:rPr>
          <w:rFonts w:asciiTheme="majorBidi" w:eastAsia="Times New Roman" w:hAnsiTheme="majorBidi" w:cstheme="majorBidi"/>
        </w:rPr>
        <w:t xml:space="preserve"> 2</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4D7FCA">
        <w:rPr>
          <w:rFonts w:asciiTheme="majorBidi" w:eastAsia="Times New Roman" w:hAnsiTheme="majorBidi" w:cstheme="majorBidi"/>
        </w:rPr>
        <w:instrText xml:space="preserve"> ADDIN ZOTERO_ITEM CSL_CITATION {"citationID":"a7ICtbrQ","properties":{"unsorted":false,"formattedCitation":"[13]","plainCitation":"[13]","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T"}],"issued":{"date-parts":[["2019",8,28]]}}}],"schema":"https://github.com/citation-style-language/schema/raw/master/csl-citation.json"} </w:instrText>
      </w:r>
      <w:r w:rsidR="00AC58D8" w:rsidRPr="00EF4A89">
        <w:rPr>
          <w:rFonts w:asciiTheme="majorBidi" w:eastAsia="Times New Roman" w:hAnsiTheme="majorBidi" w:cstheme="majorBidi"/>
        </w:rPr>
        <w:fldChar w:fldCharType="separate"/>
      </w:r>
      <w:r w:rsidR="004D7FCA" w:rsidRPr="004D7FCA">
        <w:rPr>
          <w:rFonts w:ascii="Times New Roman" w:hAnsi="Times New Roman" w:cs="Times New Roman"/>
        </w:rPr>
        <w:t>[13]</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tool revealed that one of the five randomized controlled trials (</w:t>
      </w:r>
      <w:proofErr w:type="spellStart"/>
      <w:r w:rsidRPr="00EF4A89">
        <w:rPr>
          <w:rFonts w:asciiTheme="majorBidi" w:eastAsia="Times New Roman" w:hAnsiTheme="majorBidi" w:cstheme="majorBidi"/>
        </w:rPr>
        <w:t>Vafaeinasab</w:t>
      </w:r>
      <w:proofErr w:type="spellEnd"/>
      <w:r w:rsidRPr="00EF4A89">
        <w:rPr>
          <w:rFonts w:asciiTheme="majorBidi" w:eastAsia="Times New Roman" w:hAnsiTheme="majorBidi" w:cstheme="majorBidi"/>
        </w:rPr>
        <w:t xml:space="preserve"> et al., 2025)</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{"citationID":"aNmBOu1G","properties":{"unsorted":false,"formattedCitation":"[13, 21]","plainCitation":"[13, 21]","noteIndex":0},"citationItems":[{"id":"gKHtIfYW/GkBR9chw","uris":["http://zotero.org/users/19709799/items/YJ7EL6YG"],"itemData":{"id":35,"type":"article-journal","container-title":"BMJ","DOI":"10.1136/bmj.l4898","ISSN":"0959-8138, 1756-1833","journalAbbreviation":"BMJ","language":"en","page":"l4898","source":"DOI.org (Crossref)","title":"RoB 2: a revised tool for assessing risk of bias in randomised trials","title-short":"RoB 2","author":[{"family":"Sterne","given":"Jonathan A C"},{"family":"Savović","given":"Jelena"},{"family":"Page","given":"Matthew J"},{"family":"Elbers","given":"Roy G"},{"family":"Blencowe","given":"Natalie S"},{"family":"Boutron","given":"Isabelle"},{"family":"Cates","given":"Christopher J"},{"family":"Cheng","given":"Hung-Yuan"},{"family":"Corbett","given":"Mark S"},{"family":"Eldridge","given":"Sandra M"},{"family":"Emberson","given":"Jonathan R"},{"family":"Hernán","given":"Miguel A"},{"family":"Hopewell","given":"Sally"},{"family":"Hróbjartsson","given":"Asbjørn"},{"family":"Junqueira","given":"Daniela R"},{"family":"Jüni","given":"Peter"},{"family":"Kirkham","given":"Jamie J"},{"family":"Lasserson","given":"Toby"},{"family":"Li","given":"Tianjing"},{"family":"McAleenan","given":"Alexandra"},{"family":"Reeves","given":"Barnaby C"},{"family":"Shepperd","given":"Sasha"},{"family":"Shrier","given":"Ian"},{"family":"Stewart","given":"Lesley A"},{"family":"Tilling","given":"Kate"},{"family":"White","given":"Ian R"},{"family":"Whiting","given":"Penny F"},{"family":"Higgins","given":"Julian P T"}],"issued":{"date-parts":[["2019",8,28]]}}},{"id":"gKHtIfYW/LcUzPYHW","uris":["http://zotero.org/users/19709799/items/R4ADPE66"],"itemData":{"id":9,"type":"article-journal","container-title":"Endocrinology, Diabetes &amp; Metabolism","DOI":"10.1002/edm2.70128","ISSN":"2398-9238, 2398-9238","issue":"6","journalAbbreviation":"Endocrino Diabet &amp;amp; Metabol","language":"en","page":"e70128","source":"DOI.org (Crossref)","title":"The Comparison of the Effect of Adding Empagliflozin to the Medication Regimen on Peripheral Neuropathy in Patients With Type &lt;span style=\"font-variant:small-caps;\"&gt;II&lt;/span&gt; Diabetes: A Double Blind Randomised Clinical Trial","title-short":"The Comparison of the Effect of Adding Empagliflozin to the Medication Regimen on Peripheral Neuropathy in Patients With Type &lt;span style=\"font-variant","volume":"8","author":[{"family":"Vafaeinasab","given":"Mohammadreza"},{"family":"Mirzaei Malekabad","given":"Fatemeh"},{"family":"Khatibi","given":"Amidodin"},{"family":"Ghadiri‐Anari","given":"Akram"},{"family":"Zare Bidaki","given":"Marzieh"},{"family":"Azizi","given":"Raihane"}],"issued":{"date-parts":[["2025",11]]}}}],"schema":"https://github.com/citation-style-language/schema/raw/master/csl-citation.json"}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[13, 21]</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was rated at low risk of bias across all five domains, reflecting its double-blind, placebo-controlled design with confirmed allocation concealment, intention-to-treat analysis, and prospective trial registration.  Three trials — Adhikari et al. (2025)</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2r8pyCOt","properties":{"unsorted":false,"formattedCitation":"[22]","plainCitation":"[22]","noteIndex":0},"citationItems":[{"id":"gKHtIfYW/XnBIwTwA","uris":["http://zotero.org/users/19709799/items/FMCL8PHZ"],"itemData":{"id":8,"type":"article-journal","container-title":"Journal of the Peripheral Nervous System","DOI":"10.1111/jns.70011","ISSN":"1085-9489, 1529-8027","issue":"1","journalAbbreviation":"J Peripheral Nervous Sys","language":"en","page":"e70011","source":"DOI.org (Crossref)","title":"Dapagliflozin for Small Nerve Fibre Regeneration in Diabetic Peripheral Neuropathy: A Randomised Controlled Study ( &lt;span style=\"font-variant:small-caps;\"&gt;DINE&lt;/span&gt; )","title-short":"Dapagliflozin for Small Nerve Fibre Regeneration in Diabetic Peripheral Neuropathy","volume":"30","author":[{"family":"Adhikari","given":"Umanath"},{"family":"Gad","given":"Hoda"},{"family":"Chatterjee","given":"Debajyoti"},{"family":"Malhotra","given":"Chintan"},{"family":"Bhadada","given":"Sanjay Kumar"},{"family":"Malik","given":"Rayaz A."},{"family":"Rastogi","given":"Ashu"}],"issued":{"date-parts":[["2025",3]]}}}],"schema":"https://github.com/citation-style-language/schema/raw/master/csl-citation.json"}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[22]</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El-Haggar et al. (2024)</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FF2754">
        <w:rPr>
          <w:rFonts w:asciiTheme="majorBidi" w:eastAsia="Times New Roman" w:hAnsiTheme="majorBidi" w:cstheme="majorBidi"/>
        </w:rPr>
        <w:instrText xml:space="preserve"> ADDIN ZOTERO_ITEM CSL_CITATION {"citationID":"c1o46jvr","properties":{"unsorted":false,"formattedCitation":"[15]","plainCitation":"[15]","noteIndex":0},"citationItems":[{"id":"gKHtIfYW/9okrCPHP","uris":["http://zotero.org/users/19709799/items/LZ3Q8FUZ"],"itemData":{"id":14,"type":"article-journal","container-title":"Medicina Clínica (English Edition)","DOI":"10.1016/j.medcle.2024.01.028","ISSN":"23870206","issue":"2","journalAbbreviation":"Medicina Clínica (English Edition)","language":"en","page":"53-61","source":"DOI.org (Crossref)","title":"Effect of empagliflozin in peripheral diabetic neuropathy of patients with type 2 diabetes mellitus","volume":"163","author":[{"family":"El-Haggar","given":"Sahar Mohamed"},{"family":"Hafez","given":"Yasser Mostafa"},{"family":"El Sharkawy","given":"Amira Mohamed"},{"family":"Khalifa","given":"Maha"}],"issued":{"date-parts":[["2024",7]]}}}],"schema":"https://github.com/citation-style-language/schema/raw/master/csl-citation.json"} </w:instrText>
      </w:r>
      <w:r w:rsidR="00AC58D8" w:rsidRPr="00EF4A89">
        <w:rPr>
          <w:rFonts w:asciiTheme="majorBidi" w:eastAsia="Times New Roman" w:hAnsiTheme="majorBidi" w:cstheme="majorBidi"/>
        </w:rPr>
        <w:fldChar w:fldCharType="separate"/>
      </w:r>
      <w:r w:rsidR="00FF2754" w:rsidRPr="00FF2754">
        <w:rPr>
          <w:rFonts w:ascii="Times New Roman" w:hAnsi="Times New Roman" w:cs="Times New Roman"/>
        </w:rPr>
        <w:t>[15]</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and Liao et al. (2022)</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0puZMh0A","properties":{"unsorted":false,"formattedCitation":"[23]","plainCitation":"[23]","noteIndex":0},"citationItems":[{"id":"gKHtIfYW/nvX3uWwC","uris":["http://zotero.org/users/19709799/items/NQ3358CH"],"itemData":{"id":11,"type":"article-journal","container-title":"Diabetes &amp; Metabolism","DOI":"10.1016/j.diabet.2022.101331","ISSN":"12623636","issue":"4","journalAbbreviation":"Diabetes &amp; Metabolism","language":"en","page":"101331","source":"DOI.org (Crossref)","title":"The impact of canagliflozin on the risk of neuropathy events: A post-hoc exploratory analysis of the CREDENCE trial","title-short":"The impact of canagliflozin on the risk of neuropathy events","volume":"48","author":[{"family":"Liao","given":"Jinlan"},{"family":"Kang","given":"Amy"},{"family":"Xia","given":"Chao"},{"family":"Young","given":"Tamara"},{"family":"Di Tanna","given":"Gian Luca"},{"family":"Arnott","given":"Clare"},{"family":"Pollock","given":"Carol"},{"family":"Krishnan","given":"Arun V."},{"family":"Agarwal","given":"Rajiv"},{"family":"Bakris","given":"George"},{"family":"Charytan","given":"David M."},{"family":"De Zeeuw","given":"Dick"},{"family":"Heerspink","given":"Hiddo J.L."},{"family":"Levin","given":"Adeera"},{"family":"Neal","given":"Bruce"},{"family":"Wheeler","given":"David C."},{"family":"Zhang","given":"Hong"},{"family":"Zinman","given":"Bernard"},{"family":"Mahaffey","given":"Kenneth W."},{"family":"Perkovic","given":"Vlado"},{"family":"Jardine","given":"Meg J"},{"family":"Smyth","given":"Brendan"}],"issued":{"date-parts":[["2022",7]]}}}],"schema":"https://github.com/citation-style-language/schema/raw/master/csl-citation.json"}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[23]</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 were rated as raising some concerns overall, primarily due to inadequately reported allocation concealment (D1), absence of explicit intention-to-treat confirmation or incomplete blinding of care providers and outcome </w:t>
      </w:r>
      <w:r w:rsidRPr="00EF4A89">
        <w:rPr>
          <w:rFonts w:asciiTheme="majorBidi" w:eastAsia="Times New Roman" w:hAnsiTheme="majorBidi" w:cstheme="majorBidi"/>
        </w:rPr>
        <w:lastRenderedPageBreak/>
        <w:t>assessors (D2), and the inability to fully verify alignment between pre-specified and reported outcomes (D5); notably, the Liao et al. post-hoc analysis of the CREDENCE trial additionally raised concerns in D4 given its reliance on post-hoc MedDRA adverse-event coding rather than a prospectively validated neuropathy instrument. Mehta et al. (2021)</w:t>
      </w:r>
      <w:r w:rsidR="00681DAE">
        <w:rPr>
          <w:rFonts w:asciiTheme="majorBidi" w:eastAsia="Times New Roman" w:hAnsiTheme="majorBidi" w:cstheme="majorBidi"/>
        </w:rPr>
        <w:t xml:space="preserve">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Z8v9dUJD","properties":{"unsorted":false,"formattedCitation":"[24]","plainCitation":"[24]","noteIndex":0},"citationItems":[{"id":"gKHtIfYW/YeNjcDV3","uris":["http://zotero.org/users/19709799/items/AALKKIVG"],"itemData":{"id":10,"type":"article-journal","container-title":"Cureus","DOI":"10.7759/cureus.20208","ISSN":"2168-8184","language":"en","source":"DOI.org (Crossref)","title":"Effectiveness of Empagliflozin With Vitamin D Supplementation in Peripheral Neuropathy in Type 2 Diabetic Patients","URL":"https://www.cureus.com/articles/78182-effectiveness-of-empagliflozin-with-vitamin-d-supplementation-in-peripheral-neuropathy-in-type-2-diabetic-patients","author":[{"family":"Mehta","given":"Sanjana"},{"family":"Nain","given":"Parminder"},{"family":"Agrawal","given":"Bimal K"},{"family":"Singh","given":"Rajinder P"},{"family":"Kaur","given":"Jaspreet"},{"family":"Maity","given":"Sabyasachi"},{"family":"Bhattarcharjee","given":"Aniruddha"},{"family":"Peela","given":"Jagannadha"},{"family":"Nauhria","given":"Shreya"},{"family":"Nauhria","given":"Samal"}],"accessed":{"date-parts":[["2026",2,23]]},"issued":{"date-parts":[["2021",12,6]]}}}],"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[24]</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was the only trial judged to be at high risk of bias overall, a judgement driven by the convergence of some concerns across all five domains — including an open-label design, unreported allocation concealment, undescribed missing-data handling, unblinded assessment of subjective pain outcomes, and the absence of trial registration — which collectively undermined confidence in the trial's findings in accordance with </w:t>
      </w:r>
      <w:proofErr w:type="spellStart"/>
      <w:r w:rsidRPr="00EF4A89">
        <w:rPr>
          <w:rFonts w:asciiTheme="majorBidi" w:eastAsia="Times New Roman" w:hAnsiTheme="majorBidi" w:cstheme="majorBidi"/>
        </w:rPr>
        <w:t>RoB</w:t>
      </w:r>
      <w:proofErr w:type="spellEnd"/>
      <w:r w:rsidRPr="00EF4A89">
        <w:rPr>
          <w:rFonts w:asciiTheme="majorBidi" w:eastAsia="Times New Roman" w:hAnsiTheme="majorBidi" w:cstheme="majorBidi"/>
        </w:rPr>
        <w:t xml:space="preserve"> 2 guidance.  The two non-randomized studies (Ishibashi 2022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WB2nAKu5","properties":{"unsorted":false,"formattedCitation":"[25]","plainCitation":"[25]","noteIndex":0},"citationItems":[{"id":"gKHtIfYW/TrC4Os6M","uris":["http://zotero.org/users/19709799/items/PURWFUB5"],"itemData":{"id":12,"type":"article-journal","container-title":"Frontiers in Endocrinology","DOI":"10.3389/fendo.2022.864332","ISSN":"1664-2392","journalAbbreviation":"Front. Endocrinol.","language":"en","page":"864332","source":"DOI.org (Crossref)","title":"Sodium Glucose Cotransporter-2 Inhibitor Protects Against Diabetic Neuropathy and Nephropathy in Modestly Controlled Type 2 Diabetes: Follow-Up Study","title-short":"Sodium Glucose Cotransporter-2 Inhibitor Protects Against Diabetic Neuropathy and Nephropathy in Modestly Controlled Type 2 Diabetes","volume":"13","author":[{"family":"Ishibashi","given":"Fukashi"},{"family":"Kosaka","given":"Aiko"},{"family":"Tavakoli","given":"Mitra"}],"issued":{"date-parts":[["2022",6,17]]}}}],"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[25]</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and </w:t>
      </w:r>
      <w:proofErr w:type="spellStart"/>
      <w:r w:rsidRPr="00EF4A89">
        <w:rPr>
          <w:rFonts w:asciiTheme="majorBidi" w:eastAsia="Times New Roman" w:hAnsiTheme="majorBidi" w:cstheme="majorBidi"/>
        </w:rPr>
        <w:t>Klabuzai</w:t>
      </w:r>
      <w:proofErr w:type="spellEnd"/>
      <w:r w:rsidRPr="00EF4A89">
        <w:rPr>
          <w:rFonts w:asciiTheme="majorBidi" w:eastAsia="Times New Roman" w:hAnsiTheme="majorBidi" w:cstheme="majorBidi"/>
        </w:rPr>
        <w:t xml:space="preserve"> 2025 </w:t>
      </w:r>
      <w:r w:rsidR="00AC58D8" w:rsidRPr="00EF4A89">
        <w:rPr>
          <w:rFonts w:asciiTheme="majorBidi" w:eastAsia="Times New Roman" w:hAnsiTheme="majorBidi" w:cstheme="majorBidi"/>
        </w:rPr>
        <w:fldChar w:fldCharType="begin"/>
      </w:r>
      <w:r w:rsidR="002D2BB5">
        <w:rPr>
          <w:rFonts w:asciiTheme="majorBidi" w:eastAsia="Times New Roman" w:hAnsiTheme="majorBidi" w:cstheme="majorBidi"/>
        </w:rPr>
        <w:instrText xml:space="preserve"> ADDIN ZOTERO_ITEM CSL_CITATION {"citationID":"y8T910XH","properties":{"unsorted":false,"formattedCitation":"[26]","plainCitation":"[26]","noteIndex":0},"citationItems":[{"id":"gKHtIfYW/boGOmBCL","uris":["http://zotero.org/users/19709799/items/LNHXRLVE"],"itemData":{"id":13,"type":"article-journal","container-title":"Antioxidants","DOI":"10.3390/antiox14030289","ISSN":"2076-3921","issue":"3","journalAbbreviation":"Antioxidants","language":"en","page":"289","source":"DOI.org (Crossref)","title":"The Impact of SGLT-2 Inhibitors on Hydroxyl Radical Markers and Diabetic Neuropathy: A Short-Term Clinical Study","title-short":"The Impact of SGLT-2 Inhibitors on Hydroxyl Radical Markers and Diabetic Neuropathy","volume":"14","author":[{"family":"Klabuzai","given":"Ágnes"},{"family":"Bekő","given":"Viktória"},{"family":"Sütő","given":"Zsófia"},{"family":"Horváth","given":"Marcell"},{"family":"Wágner","given":"Zoltán"},{"family":"Vágási","given":"Katalin"},{"family":"Pfeil","given":"Veronika"},{"family":"Süle","given":"Miklós"},{"family":"Grosz","given":"György"},{"family":"Wittmann","given":"István"},{"family":"Kun","given":"Szilárd"}],"issued":{"date-parts":[["2025",2,28]]}}}],"schema":"https://github.com/citation-style-language/schema/raw/master/csl-citation.json"} </w:instrText>
      </w:r>
      <w:r w:rsidR="00AC58D8" w:rsidRPr="00EF4A89">
        <w:rPr>
          <w:rFonts w:asciiTheme="majorBidi" w:eastAsia="Times New Roman" w:hAnsiTheme="majorBidi" w:cstheme="majorBidi"/>
        </w:rPr>
        <w:fldChar w:fldCharType="separate"/>
      </w:r>
      <w:r w:rsidR="002D2BB5" w:rsidRPr="002D2BB5">
        <w:rPr>
          <w:rFonts w:ascii="Times New Roman" w:hAnsi="Times New Roman" w:cs="Times New Roman"/>
        </w:rPr>
        <w:t>[26]</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 xml:space="preserve">) were assessed using the ROBINS-I tool, with the results reported separately </w:t>
      </w:r>
      <w:r w:rsidR="00AC58D8" w:rsidRPr="00EF4A89">
        <w:rPr>
          <w:rFonts w:asciiTheme="majorBidi" w:eastAsia="Times New Roman" w:hAnsiTheme="majorBidi" w:cstheme="majorBidi"/>
        </w:rPr>
        <w:fldChar w:fldCharType="begin"/>
      </w:r>
      <w:r w:rsidR="00FF2754">
        <w:rPr>
          <w:rFonts w:asciiTheme="majorBidi" w:eastAsia="Times New Roman" w:hAnsiTheme="majorBidi" w:cstheme="majorBidi"/>
        </w:rPr>
        <w:instrText xml:space="preserve"> ADDIN ZOTERO_ITEM CSL_CITATION {"citationID":"jB4e6pZJ","properties":{"unsorted":false,"formattedCitation":"[14]","plainCitation":"[14]","noteIndex":0},"citationItems":[{"id":"gKHtIfYW/4F1NiLW6","uris":["http://zotero.org/users/19709799/items/4BHM8V6D"],"itemData":{"id":34,"type":"article-journal","container-title":"BMJ","DOI":"10.1136/bmj.i4919","ISSN":"1756-1833","journalAbbreviation":"BMJ","language":"en","page":"i4919","source":"DOI.org (Crossref)","title":"ROBINS-I: a tool for assessing risk of bias in non-randomised studies of interventions","title-short":"ROBINS-I","author":[{"family":"Sterne","given":"Jonathan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Pt"}],"issued":{"date-parts":[["2016",10,12]]}}}],"schema":"https://github.com/citation-style-language/schema/raw/master/csl-citation.json"} </w:instrText>
      </w:r>
      <w:r w:rsidR="00AC58D8" w:rsidRPr="00EF4A89">
        <w:rPr>
          <w:rFonts w:asciiTheme="majorBidi" w:eastAsia="Times New Roman" w:hAnsiTheme="majorBidi" w:cstheme="majorBidi"/>
        </w:rPr>
        <w:fldChar w:fldCharType="separate"/>
      </w:r>
      <w:r w:rsidR="00FF2754" w:rsidRPr="00FF2754">
        <w:rPr>
          <w:rFonts w:ascii="Times New Roman" w:hAnsi="Times New Roman" w:cs="Times New Roman"/>
        </w:rPr>
        <w:t>[14]</w:t>
      </w:r>
      <w:r w:rsidR="00AC58D8" w:rsidRPr="00EF4A89">
        <w:rPr>
          <w:rFonts w:asciiTheme="majorBidi" w:eastAsia="Times New Roman" w:hAnsiTheme="majorBidi" w:cstheme="majorBidi"/>
        </w:rPr>
        <w:fldChar w:fldCharType="end"/>
      </w:r>
      <w:r w:rsidRPr="00EF4A89">
        <w:rPr>
          <w:rFonts w:asciiTheme="majorBidi" w:eastAsia="Times New Roman" w:hAnsiTheme="majorBidi" w:cstheme="majorBidi"/>
        </w:rPr>
        <w:t>.</w:t>
      </w:r>
    </w:p>
    <w:p w14:paraId="5C675DF7" w14:textId="77777777" w:rsidR="009F0A3E" w:rsidRPr="00B077A2" w:rsidRDefault="009F0A3E" w:rsidP="00C208BC">
      <w:pPr>
        <w:spacing w:before="100" w:beforeAutospacing="1" w:after="100" w:afterAutospacing="1" w:line="360" w:lineRule="auto"/>
        <w:jc w:val="both"/>
        <w:outlineLvl w:val="3"/>
        <w:rPr>
          <w:rFonts w:asciiTheme="majorBidi" w:eastAsia="Times New Roman" w:hAnsiTheme="majorBidi" w:cstheme="majorBidi"/>
          <w:b/>
          <w:bCs/>
          <w:i/>
          <w:iCs/>
          <w:lang w:val="en-US"/>
        </w:rPr>
      </w:pPr>
      <w:r w:rsidRPr="00B077A2">
        <w:rPr>
          <w:rFonts w:asciiTheme="majorBidi" w:eastAsia="Times New Roman" w:hAnsiTheme="majorBidi" w:cstheme="majorBidi"/>
          <w:b/>
          <w:bCs/>
          <w:i/>
          <w:iCs/>
          <w:lang w:val="en-US"/>
        </w:rPr>
        <w:t>3.4 Quantitative Synthesis</w:t>
      </w:r>
    </w:p>
    <w:p w14:paraId="048CB9E8" w14:textId="7C4F92F0"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3.4.1 Sural Nerve Sensory Conduction Velocity</w:t>
      </w:r>
    </w:p>
    <w:p w14:paraId="25C49F59" w14:textId="678353A0"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Sural nerve sensory conduction velocity (SNCV) was reported in three studies: two RCTs (El-Haggar 2024; </w:t>
      </w:r>
      <w:proofErr w:type="spellStart"/>
      <w:r w:rsidRPr="009F0A3E">
        <w:rPr>
          <w:rFonts w:asciiTheme="majorBidi" w:eastAsia="Times New Roman" w:hAnsiTheme="majorBidi" w:cstheme="majorBidi"/>
          <w:lang w:val="en-US"/>
        </w:rPr>
        <w:t>Vafaeinasab</w:t>
      </w:r>
      <w:proofErr w:type="spellEnd"/>
      <w:r w:rsidRPr="009F0A3E">
        <w:rPr>
          <w:rFonts w:asciiTheme="majorBidi" w:eastAsia="Times New Roman" w:hAnsiTheme="majorBidi" w:cstheme="majorBidi"/>
          <w:lang w:val="en-US"/>
        </w:rPr>
        <w:t xml:space="preserve"> 2025) and one prospective cohort study (Ishibashi 2022). The primary meta-analysis was conducted using data from the two RCTs only, with right limb data from El-Haggar 2024 designated as the primary dataset as described in the methods. This analysis demonstrated a statistically significant improvement in sural SNCV in the SGLT2i group compared to controls (MD 3.38 m/s; 95% CI 1.63 to 5.13; p = 0.0002), with no evidence of statistical heterogeneity (I² = 0%). A sensitivity analysis incorporating data from Ishibashi 2022 alongside the two RCTs yielded a consistent result (MD 2.92 m/s; 95% CI 1.43 to 4.42; p &lt; 0.01; I² = 0%, p = 0.60), confirming the robustness of the pooled estimate to the inclusion of observational data. A further sensitivity analysis substituting left limb data from El-Haggar 2024 also yielded consistent findings (MD 2.84 m/s; 95% CI 1.41 to 4.27; p &lt; 0.01; I² = 0%, p = 0.58), indicating that the primary finding was not materially influenced by the choice of limb in that study. The consistency of results across all sensitivity analyses strengthens confidence in the direction and magnitude of the sural SNCV effect. The forest plot is presented in Figure X.</w:t>
      </w:r>
    </w:p>
    <w:p w14:paraId="0321D74D"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3.4.2 Sural Nerve Sensory Amplitude</w:t>
      </w:r>
    </w:p>
    <w:p w14:paraId="444D60C4"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Sural nerve sensory amplitude was reported in the same three studies as sural SNCV. Unlike the velocity analysis, moderate-to-substantial statistical heterogeneity was detected across studies (I² = 62%, p = 0.07), and a random-effects model was therefore applied. The pooled analysis including both RCTs and Ishibashi 2022 yielded a statistically significant difference </w:t>
      </w:r>
      <w:proofErr w:type="spellStart"/>
      <w:r w:rsidRPr="009F0A3E">
        <w:rPr>
          <w:rFonts w:asciiTheme="majorBidi" w:eastAsia="Times New Roman" w:hAnsiTheme="majorBidi" w:cstheme="majorBidi"/>
          <w:lang w:val="en-US"/>
        </w:rPr>
        <w:t>favouring</w:t>
      </w:r>
      <w:proofErr w:type="spellEnd"/>
      <w:r w:rsidRPr="009F0A3E">
        <w:rPr>
          <w:rFonts w:asciiTheme="majorBidi" w:eastAsia="Times New Roman" w:hAnsiTheme="majorBidi" w:cstheme="majorBidi"/>
          <w:lang w:val="en-US"/>
        </w:rPr>
        <w:t xml:space="preserve"> the SGLT2i group (MD 1.41 µV; 95% CI 0.10 to 2.73; p = 0.03). However, this finding must be interpreted with considerable caution. When the analysis was restricted to RCTs only — removing Ishibashi 2022 — the pooled effect became non-significant (MD 1.15 µV; 95% CI −0.85 to 3.15; p = 0.26), indicating that the overall significant </w:t>
      </w:r>
      <w:r w:rsidRPr="009F0A3E">
        <w:rPr>
          <w:rFonts w:asciiTheme="majorBidi" w:eastAsia="Times New Roman" w:hAnsiTheme="majorBidi" w:cstheme="majorBidi"/>
          <w:lang w:val="en-US"/>
        </w:rPr>
        <w:lastRenderedPageBreak/>
        <w:t xml:space="preserve">result was driven by the observational cohort rather than the RCT evidence. Sensitivity analysis using left limb data from El-Haggar 2024 in the full three-study pool produced consistent results with the primary random-effects analysis (MD 1.52 µV; 95% CI 0.02 to 3.01; p = 0.03; I² = 71%, p = 0.05), though heterogeneity increased marginally. </w:t>
      </w:r>
      <w:proofErr w:type="gramStart"/>
      <w:r w:rsidRPr="009F0A3E">
        <w:rPr>
          <w:rFonts w:asciiTheme="majorBidi" w:eastAsia="Times New Roman" w:hAnsiTheme="majorBidi" w:cstheme="majorBidi"/>
          <w:lang w:val="en-US"/>
        </w:rPr>
        <w:t>On the basis of</w:t>
      </w:r>
      <w:proofErr w:type="gramEnd"/>
      <w:r w:rsidRPr="009F0A3E">
        <w:rPr>
          <w:rFonts w:asciiTheme="majorBidi" w:eastAsia="Times New Roman" w:hAnsiTheme="majorBidi" w:cstheme="majorBidi"/>
          <w:lang w:val="en-US"/>
        </w:rPr>
        <w:t xml:space="preserve"> these findings, the evidence for a significant SGLT2i effect on sural nerve sensory amplitude from RCT data alone is currently insufficient to draw conclusions, and this outcome is considered inconclusive pending larger trials.</w:t>
      </w:r>
    </w:p>
    <w:p w14:paraId="67861718"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3.4.3 Peroneal Nerve Motor Latency</w:t>
      </w:r>
    </w:p>
    <w:p w14:paraId="1E30E709"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Peroneal nerve motor latency was reported in two RCTs: El-Haggar 2024 and </w:t>
      </w:r>
      <w:proofErr w:type="spellStart"/>
      <w:r w:rsidRPr="009F0A3E">
        <w:rPr>
          <w:rFonts w:asciiTheme="majorBidi" w:eastAsia="Times New Roman" w:hAnsiTheme="majorBidi" w:cstheme="majorBidi"/>
          <w:lang w:val="en-US"/>
        </w:rPr>
        <w:t>Vafaeinasab</w:t>
      </w:r>
      <w:proofErr w:type="spellEnd"/>
      <w:r w:rsidRPr="009F0A3E">
        <w:rPr>
          <w:rFonts w:asciiTheme="majorBidi" w:eastAsia="Times New Roman" w:hAnsiTheme="majorBidi" w:cstheme="majorBidi"/>
          <w:lang w:val="en-US"/>
        </w:rPr>
        <w:t xml:space="preserve"> 2025. Meta-analysis using a fixed-effects model demonstrated a statistically significant reduction in peroneal nerve motor latency in the SGLT2i group compared to controls (MD −0.29 </w:t>
      </w:r>
      <w:proofErr w:type="spellStart"/>
      <w:r w:rsidRPr="009F0A3E">
        <w:rPr>
          <w:rFonts w:asciiTheme="majorBidi" w:eastAsia="Times New Roman" w:hAnsiTheme="majorBidi" w:cstheme="majorBidi"/>
          <w:lang w:val="en-US"/>
        </w:rPr>
        <w:t>ms</w:t>
      </w:r>
      <w:proofErr w:type="spellEnd"/>
      <w:r w:rsidRPr="009F0A3E">
        <w:rPr>
          <w:rFonts w:asciiTheme="majorBidi" w:eastAsia="Times New Roman" w:hAnsiTheme="majorBidi" w:cstheme="majorBidi"/>
          <w:lang w:val="en-US"/>
        </w:rPr>
        <w:t xml:space="preserve">; 95% CI −0.38 to −0.20; p &lt; 0.01), with no evidence of heterogeneity (I² = 0%, p = 0.57). A reduction in motor latency reflects faster nerve conduction and is consistent with improvement in peripheral motor nerve function. Sensitivity analysis incorporating left limb data from El-Haggar 2024 confirmed the finding remained statistically significant (MD −0.29 </w:t>
      </w:r>
      <w:proofErr w:type="spellStart"/>
      <w:r w:rsidRPr="009F0A3E">
        <w:rPr>
          <w:rFonts w:asciiTheme="majorBidi" w:eastAsia="Times New Roman" w:hAnsiTheme="majorBidi" w:cstheme="majorBidi"/>
          <w:lang w:val="en-US"/>
        </w:rPr>
        <w:t>ms</w:t>
      </w:r>
      <w:proofErr w:type="spellEnd"/>
      <w:r w:rsidRPr="009F0A3E">
        <w:rPr>
          <w:rFonts w:asciiTheme="majorBidi" w:eastAsia="Times New Roman" w:hAnsiTheme="majorBidi" w:cstheme="majorBidi"/>
          <w:lang w:val="en-US"/>
        </w:rPr>
        <w:t>; 95% CI −0.41 to −0.17; p &lt; 0.01). Despite being based on only two studies, the absence of heterogeneity and the consistency across sensitivity analyses support the reliability of this estimate, though replication in larger trials remains necessary.</w:t>
      </w:r>
    </w:p>
    <w:p w14:paraId="551C0CA6"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3.4.4 Peroneal Nerve Motor Conduction Velocity</w:t>
      </w:r>
    </w:p>
    <w:p w14:paraId="301E27FA"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Peroneal nerve motor conduction velocity was reported in the same two RCTs. Meta-analysis using a random-effects model — applied due to moderate heterogeneity (I² = 57%, p = 0.129) — demonstrated no statistically significant difference between the SGLT2i and control groups (MD 0.85 m/s; 95% CI −0.41 to 2.12; p = 0.19). Sensitivity analysis with left limb data from El-Haggar 2024 did not alter this conclusion. Given that only two studies contributed to this analysis, the result is insufficiently powered to exclude a clinically meaningful treatment effect, and a conclusion of no effect would not be appropriate.</w:t>
      </w:r>
    </w:p>
    <w:p w14:paraId="0FF07C56"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3.4.5 Peroneal Nerve Motor Amplitude</w:t>
      </w:r>
    </w:p>
    <w:p w14:paraId="17DEB2E8" w14:textId="370E7C20"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Peroneal nerve motor </w:t>
      </w:r>
      <w:proofErr w:type="gramStart"/>
      <w:r w:rsidRPr="009F0A3E">
        <w:rPr>
          <w:rFonts w:asciiTheme="majorBidi" w:eastAsia="Times New Roman" w:hAnsiTheme="majorBidi" w:cstheme="majorBidi"/>
          <w:lang w:val="en-US"/>
        </w:rPr>
        <w:t>amplitude was</w:t>
      </w:r>
      <w:proofErr w:type="gramEnd"/>
      <w:r w:rsidRPr="009F0A3E">
        <w:rPr>
          <w:rFonts w:asciiTheme="majorBidi" w:eastAsia="Times New Roman" w:hAnsiTheme="majorBidi" w:cstheme="majorBidi"/>
          <w:lang w:val="en-US"/>
        </w:rPr>
        <w:t xml:space="preserve"> reported in El-Haggar 2024 and </w:t>
      </w:r>
      <w:proofErr w:type="spellStart"/>
      <w:r w:rsidRPr="009F0A3E">
        <w:rPr>
          <w:rFonts w:asciiTheme="majorBidi" w:eastAsia="Times New Roman" w:hAnsiTheme="majorBidi" w:cstheme="majorBidi"/>
          <w:lang w:val="en-US"/>
        </w:rPr>
        <w:t>Vafaeinasab</w:t>
      </w:r>
      <w:proofErr w:type="spellEnd"/>
      <w:r w:rsidRPr="009F0A3E">
        <w:rPr>
          <w:rFonts w:asciiTheme="majorBidi" w:eastAsia="Times New Roman" w:hAnsiTheme="majorBidi" w:cstheme="majorBidi"/>
          <w:lang w:val="en-US"/>
        </w:rPr>
        <w:t xml:space="preserve"> 2025. Extreme statistical heterogeneity was identified across the two studies (I² = 90%, p = 0.0014), indicating fundamental differences in the underlying effect estimates</w:t>
      </w:r>
      <w:r w:rsidR="00090960">
        <w:rPr>
          <w:rFonts w:asciiTheme="majorBidi" w:eastAsia="Times New Roman" w:hAnsiTheme="majorBidi" w:cstheme="majorBidi"/>
          <w:lang w:val="en-US"/>
        </w:rPr>
        <w:t xml:space="preserve">. </w:t>
      </w:r>
      <w:r w:rsidRPr="009F0A3E">
        <w:rPr>
          <w:rFonts w:asciiTheme="majorBidi" w:eastAsia="Times New Roman" w:hAnsiTheme="majorBidi" w:cstheme="majorBidi"/>
          <w:lang w:val="en-US"/>
        </w:rPr>
        <w:t xml:space="preserve">A random-effects meta-analysis was performed (MD 0.54 mV; 95% CI −0.44 to 1.52; p = 0.28), however this pooled estimate should be interpreted with extreme caution given the degree of heterogeneity. Sensitivity analysis with left limb data from El-Haggar 2024 continued to show no significant difference. The source of heterogeneity is likely multifactorial, potentially reflecting differences in disease severity, SGLT2i agent, baseline motor </w:t>
      </w:r>
      <w:r w:rsidRPr="009F0A3E">
        <w:rPr>
          <w:rFonts w:asciiTheme="majorBidi" w:eastAsia="Times New Roman" w:hAnsiTheme="majorBidi" w:cstheme="majorBidi"/>
          <w:lang w:val="en-US"/>
        </w:rPr>
        <w:lastRenderedPageBreak/>
        <w:t>amplitude, or measurement methodology between studies. No firm conclusions can be drawn regarding the effect of SGLT2i therapy on peroneal nerve motor amplitude from the current evidence.</w:t>
      </w:r>
    </w:p>
    <w:p w14:paraId="55822295"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3.4.6 Oxidative Stress — Malondialdehyde</w:t>
      </w:r>
    </w:p>
    <w:p w14:paraId="42B1D4FE" w14:textId="67650492"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Malondialdehyde (MDA), a marker of lipid peroxidation and oxidative stress, was reported in two RCTs: El-Haggar 2024 and Adhikari 2025. Meta-analysis demonstrated </w:t>
      </w:r>
      <w:proofErr w:type="gramStart"/>
      <w:r w:rsidRPr="009F0A3E">
        <w:rPr>
          <w:rFonts w:asciiTheme="majorBidi" w:eastAsia="Times New Roman" w:hAnsiTheme="majorBidi" w:cstheme="majorBidi"/>
          <w:lang w:val="en-US"/>
        </w:rPr>
        <w:t>no</w:t>
      </w:r>
      <w:proofErr w:type="gramEnd"/>
      <w:r w:rsidRPr="009F0A3E">
        <w:rPr>
          <w:rFonts w:asciiTheme="majorBidi" w:eastAsia="Times New Roman" w:hAnsiTheme="majorBidi" w:cstheme="majorBidi"/>
          <w:lang w:val="en-US"/>
        </w:rPr>
        <w:t xml:space="preserve"> statistically significant between-group difference in MDA levels following SGLT2i therapy compared to control (MD: XXX; 95% CI XXX to XXX; p = XXX; I² = XXX%). Notably, in Adhikari 2025, a significant reduction in MDA was observed in both the dapagliflozin and control groups (both p &lt; 0.001), suggesting that standard diabetic care itself may reduce systemic oxidative stress, potentially attenuating any SGLT2i-specific effect on this marker. These findings do not exclude a biologically meaningful antioxidant effect of SGLT2 inhibition but indicate that between-group differences in MDA are not currently detectable with the available evidence.</w:t>
      </w:r>
    </w:p>
    <w:p w14:paraId="3B44E69F" w14:textId="77777777" w:rsidR="009F0A3E" w:rsidRPr="00B077A2" w:rsidRDefault="009F0A3E" w:rsidP="00C208BC">
      <w:pPr>
        <w:spacing w:before="100" w:beforeAutospacing="1" w:after="100" w:afterAutospacing="1" w:line="360" w:lineRule="auto"/>
        <w:jc w:val="both"/>
        <w:outlineLvl w:val="3"/>
        <w:rPr>
          <w:rFonts w:asciiTheme="majorBidi" w:eastAsia="Times New Roman" w:hAnsiTheme="majorBidi" w:cstheme="majorBidi"/>
          <w:b/>
          <w:bCs/>
          <w:i/>
          <w:iCs/>
          <w:lang w:val="en-US"/>
        </w:rPr>
      </w:pPr>
      <w:r w:rsidRPr="00B077A2">
        <w:rPr>
          <w:rFonts w:asciiTheme="majorBidi" w:eastAsia="Times New Roman" w:hAnsiTheme="majorBidi" w:cstheme="majorBidi"/>
          <w:b/>
          <w:bCs/>
          <w:i/>
          <w:iCs/>
          <w:lang w:val="en-US"/>
        </w:rPr>
        <w:t>3.5 Narrative Synthesis of Non-Pooled Outcomes</w:t>
      </w:r>
    </w:p>
    <w:p w14:paraId="5D502D23" w14:textId="36869CB7" w:rsidR="009F0A3E" w:rsidRPr="009F0A3E" w:rsidRDefault="009F0A3E" w:rsidP="00092D99">
      <w:pPr>
        <w:spacing w:before="100" w:beforeAutospacing="1" w:after="100" w:afterAutospacing="1" w:line="360" w:lineRule="auto"/>
        <w:ind w:left="720" w:hanging="720"/>
        <w:jc w:val="both"/>
        <w:rPr>
          <w:rFonts w:asciiTheme="majorBidi" w:eastAsia="Times New Roman" w:hAnsiTheme="majorBidi" w:cstheme="majorBidi"/>
          <w:lang w:val="en-US"/>
        </w:rPr>
      </w:pPr>
      <w:r w:rsidRPr="009F0A3E">
        <w:rPr>
          <w:rFonts w:asciiTheme="majorBidi" w:eastAsia="Times New Roman" w:hAnsiTheme="majorBidi" w:cstheme="majorBidi"/>
          <w:lang w:val="en-US"/>
        </w:rPr>
        <w:t>The following studies and outcomes could not be incorporated into quantitative synthesis due to the absence of a comparator group, incompatibility of study designs, or insufficient number of studies reporting the outcome.</w:t>
      </w:r>
    </w:p>
    <w:p w14:paraId="67E08D93"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3.5.1 Mehta 2021</w:t>
      </w:r>
    </w:p>
    <w:p w14:paraId="2CA435E4" w14:textId="0AE5B66D"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Mehta </w:t>
      </w:r>
      <w:r w:rsidR="00004396">
        <w:rPr>
          <w:rFonts w:asciiTheme="majorBidi" w:eastAsia="Times New Roman" w:hAnsiTheme="majorBidi" w:cstheme="majorBidi"/>
          <w:lang w:val="en-US"/>
        </w:rPr>
        <w:t>et al.</w:t>
      </w:r>
      <w:r w:rsidRPr="009F0A3E">
        <w:rPr>
          <w:rFonts w:asciiTheme="majorBidi" w:eastAsia="Times New Roman" w:hAnsiTheme="majorBidi" w:cstheme="majorBidi"/>
          <w:lang w:val="en-US"/>
        </w:rPr>
        <w:t xml:space="preserve"> was a three-arm open-label RCT comparing empagliflozin monotherapy, </w:t>
      </w:r>
      <w:proofErr w:type="gramStart"/>
      <w:r w:rsidRPr="009F0A3E">
        <w:rPr>
          <w:rFonts w:asciiTheme="majorBidi" w:eastAsia="Times New Roman" w:hAnsiTheme="majorBidi" w:cstheme="majorBidi"/>
          <w:lang w:val="en-US"/>
        </w:rPr>
        <w:t>combined</w:t>
      </w:r>
      <w:proofErr w:type="gramEnd"/>
      <w:r w:rsidRPr="009F0A3E">
        <w:rPr>
          <w:rFonts w:asciiTheme="majorBidi" w:eastAsia="Times New Roman" w:hAnsiTheme="majorBidi" w:cstheme="majorBidi"/>
          <w:lang w:val="en-US"/>
        </w:rPr>
        <w:t xml:space="preserve"> empagliflozin with Vitamin D, and placebo. </w:t>
      </w:r>
      <w:proofErr w:type="gramStart"/>
      <w:r w:rsidRPr="009F0A3E">
        <w:rPr>
          <w:rFonts w:asciiTheme="majorBidi" w:eastAsia="Times New Roman" w:hAnsiTheme="majorBidi" w:cstheme="majorBidi"/>
          <w:lang w:val="en-US"/>
        </w:rPr>
        <w:t>With regard to</w:t>
      </w:r>
      <w:proofErr w:type="gramEnd"/>
      <w:r w:rsidRPr="009F0A3E">
        <w:rPr>
          <w:rFonts w:asciiTheme="majorBidi" w:eastAsia="Times New Roman" w:hAnsiTheme="majorBidi" w:cstheme="majorBidi"/>
          <w:lang w:val="en-US"/>
        </w:rPr>
        <w:t xml:space="preserve"> SGLT2i monotherapy, no significant improvement was observed in neuropathic pain or sensory outcomes compared to placebo. Statistically significant improvements in neuropathic pain scores — as measured by the DN-4, NPSI, and IPSWICH Touch the Toes Test — were observed exclusively in the combination arm (empagliflozin + Vitamin D), and not in the empagliflozin monotherapy arm. These findings therefore do not provide independent evidence of a neuroprotective effect attributable to SGLT2 inhibition alone. Furthermore, the open-label design introduces a substantial risk of performance and detection bias, particularly for patient-reported outcomes, and the findings from the combination arm should not be attributed to SGLT2i therapy in isolation. This study contributes no quantitative data to the pooled </w:t>
      </w:r>
      <w:proofErr w:type="gramStart"/>
      <w:r w:rsidRPr="009F0A3E">
        <w:rPr>
          <w:rFonts w:asciiTheme="majorBidi" w:eastAsia="Times New Roman" w:hAnsiTheme="majorBidi" w:cstheme="majorBidi"/>
          <w:lang w:val="en-US"/>
        </w:rPr>
        <w:t>analyses</w:t>
      </w:r>
      <w:proofErr w:type="gramEnd"/>
      <w:r w:rsidRPr="009F0A3E">
        <w:rPr>
          <w:rFonts w:asciiTheme="majorBidi" w:eastAsia="Times New Roman" w:hAnsiTheme="majorBidi" w:cstheme="majorBidi"/>
          <w:lang w:val="en-US"/>
        </w:rPr>
        <w:t xml:space="preserve"> and its findings are considered hypothesis-generating only.</w:t>
      </w:r>
    </w:p>
    <w:p w14:paraId="32B43E7A"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3.5.2 Liao 2022 (Post-Hoc Analysis of CREDENCE)</w:t>
      </w:r>
    </w:p>
    <w:p w14:paraId="47CD8F35" w14:textId="7C66ED73"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Liao </w:t>
      </w:r>
      <w:r w:rsidR="00004396">
        <w:rPr>
          <w:rFonts w:asciiTheme="majorBidi" w:eastAsia="Times New Roman" w:hAnsiTheme="majorBidi" w:cstheme="majorBidi"/>
          <w:lang w:val="en-US"/>
        </w:rPr>
        <w:t>et al.</w:t>
      </w:r>
      <w:r w:rsidRPr="009F0A3E">
        <w:rPr>
          <w:rFonts w:asciiTheme="majorBidi" w:eastAsia="Times New Roman" w:hAnsiTheme="majorBidi" w:cstheme="majorBidi"/>
          <w:lang w:val="en-US"/>
        </w:rPr>
        <w:t xml:space="preserve"> was a post-hoc analysis of the CREDENCE trial, which was originally designed to evaluate the effect of canagliflozin on renal outcomes in patients with diabetic kidney disease. The primary </w:t>
      </w:r>
      <w:r w:rsidRPr="009F0A3E">
        <w:rPr>
          <w:rFonts w:asciiTheme="majorBidi" w:eastAsia="Times New Roman" w:hAnsiTheme="majorBidi" w:cstheme="majorBidi"/>
          <w:lang w:val="en-US"/>
        </w:rPr>
        <w:lastRenderedPageBreak/>
        <w:t>endpoint of this post-hoc analysis was the first occurrence of an adverse neuropathy event among trial participants. The analysis found no significant effect of canagliflozin on neuropathy event rates. Several important limitations constrain the interpretability of this finding in the context of the present review: neuropathy events as adverse event recordings represent a clinical and administrative endpoint that is methodologically distinct from the objective electrodiagnostic outcomes evaluated in the quantitative synthesis; the CREDENCE population was enriched for kidney disease rather than neuropathy; and post-hoc analyses carry an inherent risk of type II error when the trial was not powered for this endpoint. Nonetheless, this null finding from a large, well-conducted RCT is an important counterpoint and should temper overinterpretation of the positive primary meta-analysis results.</w:t>
      </w:r>
    </w:p>
    <w:p w14:paraId="33FBC9A2"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3.5.3 Ishibashi 2022 — Additional Narrative Outcomes</w:t>
      </w:r>
    </w:p>
    <w:p w14:paraId="5D731C79" w14:textId="2D486F9A" w:rsidR="009F0A3E" w:rsidRPr="009F0A3E" w:rsidRDefault="009F0A3E" w:rsidP="00004396">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Beyond the sural nerve conduction data contribut</w:t>
      </w:r>
      <w:r w:rsidR="00004396">
        <w:rPr>
          <w:rFonts w:asciiTheme="majorBidi" w:eastAsia="Times New Roman" w:hAnsiTheme="majorBidi" w:cstheme="majorBidi"/>
          <w:lang w:val="en-US"/>
        </w:rPr>
        <w:t>ing</w:t>
      </w:r>
      <w:r w:rsidRPr="009F0A3E">
        <w:rPr>
          <w:rFonts w:asciiTheme="majorBidi" w:eastAsia="Times New Roman" w:hAnsiTheme="majorBidi" w:cstheme="majorBidi"/>
          <w:lang w:val="en-US"/>
        </w:rPr>
        <w:t xml:space="preserve"> to the sensitivity analysis, Ishibashi </w:t>
      </w:r>
      <w:r w:rsidR="00004396">
        <w:rPr>
          <w:rFonts w:asciiTheme="majorBidi" w:eastAsia="Times New Roman" w:hAnsiTheme="majorBidi" w:cstheme="majorBidi"/>
          <w:lang w:val="en-US"/>
        </w:rPr>
        <w:t>et al.</w:t>
      </w:r>
      <w:r w:rsidRPr="009F0A3E">
        <w:rPr>
          <w:rFonts w:asciiTheme="majorBidi" w:eastAsia="Times New Roman" w:hAnsiTheme="majorBidi" w:cstheme="majorBidi"/>
          <w:lang w:val="en-US"/>
        </w:rPr>
        <w:t xml:space="preserve"> reported several additional outcomes of relevance. Over a three-year follow-up — the longest among included studies — patients receiving SGLT2 inhibitors demonstrated a significantly improved overall neurophysiological Z-score compared to those not receiving SGLT2i therapy, as well as improvements in the Neuropathy Disability Score (NDS) and warm perception threshold (WPT). Median nerve sensory amplitude also improved significantly in the SGLT2i group. Notably, no significant changes were observed in median motor conduction velocity, vibration perception threshold, current perception threshold, or CVR-R interval. </w:t>
      </w:r>
      <w:proofErr w:type="gramStart"/>
      <w:r w:rsidRPr="009F0A3E">
        <w:rPr>
          <w:rFonts w:asciiTheme="majorBidi" w:eastAsia="Times New Roman" w:hAnsiTheme="majorBidi" w:cstheme="majorBidi"/>
          <w:lang w:val="en-US"/>
        </w:rPr>
        <w:t>With regard to</w:t>
      </w:r>
      <w:proofErr w:type="gramEnd"/>
      <w:r w:rsidRPr="009F0A3E">
        <w:rPr>
          <w:rFonts w:asciiTheme="majorBidi" w:eastAsia="Times New Roman" w:hAnsiTheme="majorBidi" w:cstheme="majorBidi"/>
          <w:lang w:val="en-US"/>
        </w:rPr>
        <w:t xml:space="preserve"> corneal confocal microscopy, both groups demonstrated significantly reduced CNFD, CNFL, and branch frequency at both timepoints, and CNBD was significantly decreased in both groups </w:t>
      </w:r>
      <w:r w:rsidR="001C71F6">
        <w:rPr>
          <w:rFonts w:asciiTheme="majorBidi" w:eastAsia="Times New Roman" w:hAnsiTheme="majorBidi" w:cstheme="majorBidi"/>
          <w:lang w:val="en-US"/>
        </w:rPr>
        <w:t>as well</w:t>
      </w:r>
      <w:r w:rsidRPr="009F0A3E">
        <w:rPr>
          <w:rFonts w:asciiTheme="majorBidi" w:eastAsia="Times New Roman" w:hAnsiTheme="majorBidi" w:cstheme="majorBidi"/>
          <w:lang w:val="en-US"/>
        </w:rPr>
        <w:t>, with no significant between-group difference attributable to SGLT2i treatment. The prevalence of neuropathy showed a non-significant decrease in the SGLT2i group (22.5% to 17.5%) and a non-significant increase in the non-SGLT2i group (20.5% to 28.8%). While these findings are directionally supportive of a neuroprotective effect, the observational design limits causal inference.</w:t>
      </w:r>
    </w:p>
    <w:p w14:paraId="241838E2"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3.5.4 Adhikari 2025 — Additional Narrative Outcomes</w:t>
      </w:r>
    </w:p>
    <w:p w14:paraId="504AF14B"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Beyond its contribution to the MDA meta-analysis, Adhikari 2025 reported several additional outcomes. Significant improvements in CNFD (p = 0.002), CNBD (p &lt; 0.001), and CNFL (p = 0.025) were observed in the dapagliflozin group, alongside a significant increase in the Michigan Neuropathy Screening Instrument (MNSI) score (p = 0.01) and intraepidermal nerve </w:t>
      </w:r>
      <w:proofErr w:type="spellStart"/>
      <w:r w:rsidRPr="009F0A3E">
        <w:rPr>
          <w:rFonts w:asciiTheme="majorBidi" w:eastAsia="Times New Roman" w:hAnsiTheme="majorBidi" w:cstheme="majorBidi"/>
          <w:lang w:val="en-US"/>
        </w:rPr>
        <w:t>fibre</w:t>
      </w:r>
      <w:proofErr w:type="spellEnd"/>
      <w:r w:rsidRPr="009F0A3E">
        <w:rPr>
          <w:rFonts w:asciiTheme="majorBidi" w:eastAsia="Times New Roman" w:hAnsiTheme="majorBidi" w:cstheme="majorBidi"/>
          <w:lang w:val="en-US"/>
        </w:rPr>
        <w:t xml:space="preserve"> density (IENFD) (p = 0.01), though notably IENFD also improved significantly in the control group. Glutathione peroxidase, an endogenous antioxidant enzyme, increased significantly with dapagliflozin (p = 0.02), suggesting a possible antioxidant mechanism. These findings are notable in that Adhikari 2025 is the only RCT to demonstrate significant CCM improvements with SGLT2i therapy. However, as this represents a single </w:t>
      </w:r>
      <w:r w:rsidRPr="009F0A3E">
        <w:rPr>
          <w:rFonts w:asciiTheme="majorBidi" w:eastAsia="Times New Roman" w:hAnsiTheme="majorBidi" w:cstheme="majorBidi"/>
          <w:lang w:val="en-US"/>
        </w:rPr>
        <w:lastRenderedPageBreak/>
        <w:t xml:space="preserve">study, and given the absence of </w:t>
      </w:r>
      <w:proofErr w:type="spellStart"/>
      <w:r w:rsidRPr="009F0A3E">
        <w:rPr>
          <w:rFonts w:asciiTheme="majorBidi" w:eastAsia="Times New Roman" w:hAnsiTheme="majorBidi" w:cstheme="majorBidi"/>
          <w:lang w:val="en-US"/>
        </w:rPr>
        <w:t>poolable</w:t>
      </w:r>
      <w:proofErr w:type="spellEnd"/>
      <w:r w:rsidRPr="009F0A3E">
        <w:rPr>
          <w:rFonts w:asciiTheme="majorBidi" w:eastAsia="Times New Roman" w:hAnsiTheme="majorBidi" w:cstheme="majorBidi"/>
          <w:lang w:val="en-US"/>
        </w:rPr>
        <w:t xml:space="preserve"> CCM data, these findings are considered preliminary and require replication.</w:t>
      </w:r>
    </w:p>
    <w:p w14:paraId="6617B71D"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 xml:space="preserve">3.5.5 </w:t>
      </w:r>
      <w:proofErr w:type="spellStart"/>
      <w:r w:rsidRPr="009F0A3E">
        <w:rPr>
          <w:rFonts w:asciiTheme="majorBidi" w:eastAsia="Times New Roman" w:hAnsiTheme="majorBidi" w:cstheme="majorBidi"/>
          <w:b/>
          <w:bCs/>
          <w:lang w:val="en-US"/>
        </w:rPr>
        <w:t>Klabuzai</w:t>
      </w:r>
      <w:proofErr w:type="spellEnd"/>
      <w:r w:rsidRPr="009F0A3E">
        <w:rPr>
          <w:rFonts w:asciiTheme="majorBidi" w:eastAsia="Times New Roman" w:hAnsiTheme="majorBidi" w:cstheme="majorBidi"/>
          <w:b/>
          <w:bCs/>
          <w:lang w:val="en-US"/>
        </w:rPr>
        <w:t xml:space="preserve"> 2025</w:t>
      </w:r>
    </w:p>
    <w:p w14:paraId="36D8D0D1" w14:textId="21DC22A6"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proofErr w:type="spellStart"/>
      <w:r w:rsidRPr="009F0A3E">
        <w:rPr>
          <w:rFonts w:asciiTheme="majorBidi" w:eastAsia="Times New Roman" w:hAnsiTheme="majorBidi" w:cstheme="majorBidi"/>
          <w:lang w:val="en-US"/>
        </w:rPr>
        <w:t>Klabuzai</w:t>
      </w:r>
      <w:proofErr w:type="spellEnd"/>
      <w:r w:rsidRPr="009F0A3E">
        <w:rPr>
          <w:rFonts w:asciiTheme="majorBidi" w:eastAsia="Times New Roman" w:hAnsiTheme="majorBidi" w:cstheme="majorBidi"/>
          <w:lang w:val="en-US"/>
        </w:rPr>
        <w:t xml:space="preserve"> </w:t>
      </w:r>
      <w:r w:rsidR="001C71F6">
        <w:rPr>
          <w:rFonts w:asciiTheme="majorBidi" w:eastAsia="Times New Roman" w:hAnsiTheme="majorBidi" w:cstheme="majorBidi"/>
          <w:lang w:val="en-US"/>
        </w:rPr>
        <w:t>et al.</w:t>
      </w:r>
      <w:r w:rsidRPr="009F0A3E">
        <w:rPr>
          <w:rFonts w:asciiTheme="majorBidi" w:eastAsia="Times New Roman" w:hAnsiTheme="majorBidi" w:cstheme="majorBidi"/>
          <w:lang w:val="en-US"/>
        </w:rPr>
        <w:t xml:space="preserve"> was a single-arm interventional study and therefore contributes to narrative synthesis only, with no comparator group available for effect estimation. The study found no significant changes in standard neuropathy assessments including monofilament testing, pinprick, </w:t>
      </w:r>
      <w:proofErr w:type="spellStart"/>
      <w:r w:rsidRPr="009F0A3E">
        <w:rPr>
          <w:rFonts w:asciiTheme="majorBidi" w:eastAsia="Times New Roman" w:hAnsiTheme="majorBidi" w:cstheme="majorBidi"/>
          <w:lang w:val="en-US"/>
        </w:rPr>
        <w:t>Tiptherm</w:t>
      </w:r>
      <w:proofErr w:type="spellEnd"/>
      <w:r w:rsidRPr="009F0A3E">
        <w:rPr>
          <w:rFonts w:asciiTheme="majorBidi" w:eastAsia="Times New Roman" w:hAnsiTheme="majorBidi" w:cstheme="majorBidi"/>
          <w:lang w:val="en-US"/>
        </w:rPr>
        <w:t>, calibrated tuning fork, DN4, NTSS, NDS, or current perception threshold (CPT) overall. However, in a pre-specified subgroup of patients with elevated baseline CPT values, SGLT2i treatment was associated with significantly reduced CPT of the peroneal nerve at 2000 Hz on the right side (p = 0.004) and at 250 Hz bilaterally (p &lt; 0.01), as well as improvements in CPT of the median nerve at 2000 Hz and 5 Hz on the left side. A positive correlation between hydroxyl free radical markers and CPT changes was also reported, suggesting a possible mechanistic link between oxidative stress reduction and improved nerve function. The absence of a control group renders these findings uninterpretable as evidence of treatment efficacy, and the subgroup nature of the CPT findings introduces a substantial risk of type I error. These results are considered exploratory only.</w:t>
      </w:r>
    </w:p>
    <w:p w14:paraId="36CFB060"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 xml:space="preserve">3.5.6 </w:t>
      </w:r>
      <w:proofErr w:type="spellStart"/>
      <w:r w:rsidRPr="009F0A3E">
        <w:rPr>
          <w:rFonts w:asciiTheme="majorBidi" w:eastAsia="Times New Roman" w:hAnsiTheme="majorBidi" w:cstheme="majorBidi"/>
          <w:b/>
          <w:bCs/>
          <w:lang w:val="en-US"/>
        </w:rPr>
        <w:t>Vafaeinasab</w:t>
      </w:r>
      <w:proofErr w:type="spellEnd"/>
      <w:r w:rsidRPr="009F0A3E">
        <w:rPr>
          <w:rFonts w:asciiTheme="majorBidi" w:eastAsia="Times New Roman" w:hAnsiTheme="majorBidi" w:cstheme="majorBidi"/>
          <w:b/>
          <w:bCs/>
          <w:lang w:val="en-US"/>
        </w:rPr>
        <w:t xml:space="preserve"> 2025 — Additional Narrative Outcomes</w:t>
      </w:r>
    </w:p>
    <w:p w14:paraId="58AE3388"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Beyond its contributions to the pooled analyses, </w:t>
      </w:r>
      <w:proofErr w:type="spellStart"/>
      <w:r w:rsidRPr="009F0A3E">
        <w:rPr>
          <w:rFonts w:asciiTheme="majorBidi" w:eastAsia="Times New Roman" w:hAnsiTheme="majorBidi" w:cstheme="majorBidi"/>
          <w:lang w:val="en-US"/>
        </w:rPr>
        <w:t>Vafaeinasab</w:t>
      </w:r>
      <w:proofErr w:type="spellEnd"/>
      <w:r w:rsidRPr="009F0A3E">
        <w:rPr>
          <w:rFonts w:asciiTheme="majorBidi" w:eastAsia="Times New Roman" w:hAnsiTheme="majorBidi" w:cstheme="majorBidi"/>
          <w:lang w:val="en-US"/>
        </w:rPr>
        <w:t xml:space="preserve"> 2025 reported that the MNSI oral questionnaire score improved significantly in the SGLT2i treatment group, while no significant difference was observed in MNSI clinical examination scores between groups. No significant between-group difference in nerve amplitude was observed, consistent with the non-significant pooled amplitude findings.</w:t>
      </w:r>
    </w:p>
    <w:p w14:paraId="2DFBCE63"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3.5.7 El-Haggar 2024 — Additional Narrative Outcomes</w:t>
      </w:r>
    </w:p>
    <w:p w14:paraId="3029679C" w14:textId="77777777"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El-Haggar 2024 reported significant reductions in Neuropathic Symptom Evaluator (NSE) scores and MDA levels within the SGLT2i group, alongside a significant improvement in the Brief Pain Inventory Short Form (BPI-SF). However, the Diabetic Neuropathy Score (DNS) did not show significant between-group differences, suggesting that while electrophysiological and biomarker changes were evident, composite clinical neuropathy scoring did not reach significance in this study.</w:t>
      </w:r>
    </w:p>
    <w:p w14:paraId="3F7895A0" w14:textId="77777777" w:rsidR="009F0A3E" w:rsidRPr="009F0A3E" w:rsidRDefault="009F0A3E" w:rsidP="00C208BC">
      <w:pPr>
        <w:spacing w:before="100" w:beforeAutospacing="1" w:after="100" w:afterAutospacing="1" w:line="360" w:lineRule="auto"/>
        <w:jc w:val="both"/>
        <w:outlineLvl w:val="4"/>
        <w:rPr>
          <w:rFonts w:asciiTheme="majorBidi" w:eastAsia="Times New Roman" w:hAnsiTheme="majorBidi" w:cstheme="majorBidi"/>
          <w:b/>
          <w:bCs/>
          <w:lang w:val="en-US"/>
        </w:rPr>
      </w:pPr>
      <w:r w:rsidRPr="009F0A3E">
        <w:rPr>
          <w:rFonts w:asciiTheme="majorBidi" w:eastAsia="Times New Roman" w:hAnsiTheme="majorBidi" w:cstheme="majorBidi"/>
          <w:b/>
          <w:bCs/>
          <w:lang w:val="en-US"/>
        </w:rPr>
        <w:t>3.5.8 Corneal Confocal Microscopy — Narrative Summary</w:t>
      </w:r>
    </w:p>
    <w:p w14:paraId="1010FFAF" w14:textId="2D2C227C" w:rsidR="009F0A3E" w:rsidRPr="009F0A3E" w:rsidRDefault="009F0A3E" w:rsidP="00C208BC">
      <w:pPr>
        <w:spacing w:before="100" w:beforeAutospacing="1" w:after="100" w:afterAutospacing="1" w:line="360" w:lineRule="auto"/>
        <w:jc w:val="both"/>
        <w:rPr>
          <w:rFonts w:asciiTheme="majorBidi" w:eastAsia="Times New Roman" w:hAnsiTheme="majorBidi" w:cstheme="majorBidi"/>
          <w:lang w:val="en-US"/>
        </w:rPr>
      </w:pPr>
      <w:r w:rsidRPr="009F0A3E">
        <w:rPr>
          <w:rFonts w:asciiTheme="majorBidi" w:eastAsia="Times New Roman" w:hAnsiTheme="majorBidi" w:cstheme="majorBidi"/>
          <w:lang w:val="en-US"/>
        </w:rPr>
        <w:t xml:space="preserve">CCM outcomes were reported in two studies: Adhikari 2025 (RCT) and Ishibashi 2022 (prospective cohort). </w:t>
      </w:r>
      <w:r w:rsidR="009767B0">
        <w:rPr>
          <w:rFonts w:asciiTheme="majorBidi" w:eastAsia="Times New Roman" w:hAnsiTheme="majorBidi" w:cstheme="majorBidi"/>
          <w:lang w:val="en-US"/>
        </w:rPr>
        <w:t>T</w:t>
      </w:r>
      <w:r w:rsidRPr="009F0A3E">
        <w:rPr>
          <w:rFonts w:asciiTheme="majorBidi" w:eastAsia="Times New Roman" w:hAnsiTheme="majorBidi" w:cstheme="majorBidi"/>
          <w:lang w:val="en-US"/>
        </w:rPr>
        <w:t xml:space="preserve">hese were not pooled due to incompatible study designs and the inherent confounding risk in the observational estimate. Adhikari 2025 demonstrated significant improvements in CNFD, CNBD, </w:t>
      </w:r>
      <w:r w:rsidRPr="009F0A3E">
        <w:rPr>
          <w:rFonts w:asciiTheme="majorBidi" w:eastAsia="Times New Roman" w:hAnsiTheme="majorBidi" w:cstheme="majorBidi"/>
          <w:lang w:val="en-US"/>
        </w:rPr>
        <w:lastRenderedPageBreak/>
        <w:t xml:space="preserve">and CNFL with dapagliflozin compared to control. In contrast, Ishibashi 2022 found no significant between-group differences in any CCM parameter, with both groups showing significantly reduced corneal nerve measures </w:t>
      </w:r>
      <w:r w:rsidR="009767B0">
        <w:rPr>
          <w:rFonts w:asciiTheme="majorBidi" w:eastAsia="Times New Roman" w:hAnsiTheme="majorBidi" w:cstheme="majorBidi"/>
          <w:lang w:val="en-US"/>
        </w:rPr>
        <w:t xml:space="preserve">at </w:t>
      </w:r>
      <w:r w:rsidRPr="009F0A3E">
        <w:rPr>
          <w:rFonts w:asciiTheme="majorBidi" w:eastAsia="Times New Roman" w:hAnsiTheme="majorBidi" w:cstheme="majorBidi"/>
          <w:lang w:val="en-US"/>
        </w:rPr>
        <w:t>all timepoints. The discordance between these two studies, combined with the differences in study design, follow-up duration, and patient population, precludes any meaningful synthesis of CCM outcomes at this stage. Current evidence is insufficient to determine whether SGLT2 inhibitors meaningfully affect corneal nerve morphology in PDN.</w:t>
      </w:r>
    </w:p>
    <w:p w14:paraId="77E038B2" w14:textId="6EBF6660" w:rsidR="00200DF4" w:rsidRPr="00EF4A89" w:rsidRDefault="00000000" w:rsidP="00C208BC">
      <w:pPr>
        <w:spacing w:after="240" w:line="360" w:lineRule="auto"/>
        <w:rPr>
          <w:rFonts w:asciiTheme="majorBidi" w:eastAsia="Times New Roman" w:hAnsiTheme="majorBidi" w:cstheme="majorBidi"/>
          <w:i/>
          <w:iCs/>
        </w:rPr>
      </w:pPr>
      <w:r w:rsidRPr="00EF4A89">
        <w:rPr>
          <w:rFonts w:asciiTheme="majorBidi" w:hAnsiTheme="majorBidi" w:cstheme="majorBidi"/>
        </w:rPr>
        <w:br w:type="page"/>
      </w:r>
    </w:p>
    <w:p w14:paraId="4C80AA99" w14:textId="73F90ED6" w:rsidR="00200DF4" w:rsidRDefault="00000000" w:rsidP="00C208BC">
      <w:pPr>
        <w:pStyle w:val="Heading1"/>
        <w:spacing w:line="360" w:lineRule="auto"/>
      </w:pPr>
      <w:bookmarkStart w:id="3" w:name="_ruix7xeovzkf" w:colFirst="0" w:colLast="0"/>
      <w:bookmarkEnd w:id="3"/>
      <w:r w:rsidRPr="00ED0F7F">
        <w:lastRenderedPageBreak/>
        <w:t>4. Discussion</w:t>
      </w:r>
    </w:p>
    <w:p w14:paraId="723420DC"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4.1 Summary of Main Findings</w:t>
      </w:r>
    </w:p>
    <w:p w14:paraId="54DD91AE"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This systematic review and meta-analysis </w:t>
      </w:r>
      <w:proofErr w:type="gramStart"/>
      <w:r w:rsidRPr="009F0A3E">
        <w:rPr>
          <w:rFonts w:ascii="Times New Roman" w:eastAsia="Times New Roman" w:hAnsi="Times New Roman" w:cs="Times New Roman"/>
          <w:lang w:val="en-US"/>
        </w:rPr>
        <w:t>is</w:t>
      </w:r>
      <w:proofErr w:type="gramEnd"/>
      <w:r w:rsidRPr="009F0A3E">
        <w:rPr>
          <w:rFonts w:ascii="Times New Roman" w:eastAsia="Times New Roman" w:hAnsi="Times New Roman" w:cs="Times New Roman"/>
          <w:lang w:val="en-US"/>
        </w:rPr>
        <w:t xml:space="preserve"> among the first to quantitatively </w:t>
      </w:r>
      <w:proofErr w:type="spellStart"/>
      <w:r w:rsidRPr="009F0A3E">
        <w:rPr>
          <w:rFonts w:ascii="Times New Roman" w:eastAsia="Times New Roman" w:hAnsi="Times New Roman" w:cs="Times New Roman"/>
          <w:lang w:val="en-US"/>
        </w:rPr>
        <w:t>synthesise</w:t>
      </w:r>
      <w:proofErr w:type="spellEnd"/>
      <w:r w:rsidRPr="009F0A3E">
        <w:rPr>
          <w:rFonts w:ascii="Times New Roman" w:eastAsia="Times New Roman" w:hAnsi="Times New Roman" w:cs="Times New Roman"/>
          <w:lang w:val="en-US"/>
        </w:rPr>
        <w:t xml:space="preserve"> the available evidence on the effect of SGLT2 inhibitors on peripheral nerve function in diabetic peripheral neuropathy. Across seven included studies — five RCTs, one prospective cohort, and one single-arm study — SGLT2i therapy was associated with a statistically significant improvement in sural nerve sensory conduction velocity in the primary RCT-based analysis, representing the most robust finding of this review. Peroneal nerve motor latency was also significantly reduced across two RCTs, consistent with improved motor nerve conduction. Sural nerve sensory amplitude yielded a nominally significant pooled result; however, this finding was not sustained when the analysis was restricted to RCTs, indicating that the observational cohort disproportionately drove this result, and the amplitude evidence is therefore considered inconclusive. No significant between-group differences were identified in peroneal nerve motor conduction velocity or amplitude, though these analyses were severely limited by small study numbers and substantial heterogeneity. The oxidative stress marker MDA showed no significant between-group difference. Corneal confocal microscopy findings were discordant across the two studies reporting them and are considered insufficient to draw conclusions. Taken together, the evidence suggests a potential neuroprotective effect of SGLT2 inhibition on sensory peripheral nerve function, most consistently reflected in conduction velocity outcomes, while acknowledging that the overall certainty of evidence remains low to moderate.</w:t>
      </w:r>
    </w:p>
    <w:p w14:paraId="532AA07E" w14:textId="13C5098F"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4.2 Interpretation of Sural Nerve Sensory Conduction Velocity</w:t>
      </w:r>
    </w:p>
    <w:p w14:paraId="255BEB46"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The significant improvement in sural SNCV (MD 3.38 m/s; 95% CI 1.63 to 5.13) in the RCT-based primary analysis is the most clinically meaningful and methodologically robust finding of this review. Sural SNCV is the most sensitive and reproducible electrodiagnostic marker for the detection and monitoring of PDN, preferentially reflecting the function of large myelinated sensory </w:t>
      </w:r>
      <w:proofErr w:type="spellStart"/>
      <w:r w:rsidRPr="009F0A3E">
        <w:rPr>
          <w:rFonts w:ascii="Times New Roman" w:eastAsia="Times New Roman" w:hAnsi="Times New Roman" w:cs="Times New Roman"/>
          <w:lang w:val="en-US"/>
        </w:rPr>
        <w:t>fibres</w:t>
      </w:r>
      <w:proofErr w:type="spellEnd"/>
      <w:r w:rsidRPr="009F0A3E">
        <w:rPr>
          <w:rFonts w:ascii="Times New Roman" w:eastAsia="Times New Roman" w:hAnsi="Times New Roman" w:cs="Times New Roman"/>
          <w:lang w:val="en-US"/>
        </w:rPr>
        <w:t xml:space="preserve"> in a length-dependent distribution — precisely the pattern of involvement characteristic of diabetic neuropathy. The complete absence of statistical heterogeneity across both the primary and sensitivity analyses is noteworthy, suggesting that the direction and approximate magnitude of the effect is consistent regardless of the SGLT2i agent used or slight differences in study population, lending biological plausibility to a class effect rather than an agent-specific phenomenon. The magnitude of improvement of approximately 3 m/s, while modest in absolute terms, may represent clinically meaningful </w:t>
      </w:r>
      <w:proofErr w:type="spellStart"/>
      <w:r w:rsidRPr="009F0A3E">
        <w:rPr>
          <w:rFonts w:ascii="Times New Roman" w:eastAsia="Times New Roman" w:hAnsi="Times New Roman" w:cs="Times New Roman"/>
          <w:lang w:val="en-US"/>
        </w:rPr>
        <w:t>stabilisation</w:t>
      </w:r>
      <w:proofErr w:type="spellEnd"/>
      <w:r w:rsidRPr="009F0A3E">
        <w:rPr>
          <w:rFonts w:ascii="Times New Roman" w:eastAsia="Times New Roman" w:hAnsi="Times New Roman" w:cs="Times New Roman"/>
          <w:lang w:val="en-US"/>
        </w:rPr>
        <w:t xml:space="preserve"> or partial reversal of conduction slowing in a condition where progressive deterioration is the natural history and disease modification has historically been unachievable with available therapies.</w:t>
      </w:r>
    </w:p>
    <w:p w14:paraId="525DACAD"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lastRenderedPageBreak/>
        <w:t xml:space="preserve">Several mechanistic pathways may </w:t>
      </w:r>
      <w:proofErr w:type="gramStart"/>
      <w:r w:rsidRPr="009F0A3E">
        <w:rPr>
          <w:rFonts w:ascii="Times New Roman" w:eastAsia="Times New Roman" w:hAnsi="Times New Roman" w:cs="Times New Roman"/>
          <w:lang w:val="en-US"/>
        </w:rPr>
        <w:t>underlie</w:t>
      </w:r>
      <w:proofErr w:type="gramEnd"/>
      <w:r w:rsidRPr="009F0A3E">
        <w:rPr>
          <w:rFonts w:ascii="Times New Roman" w:eastAsia="Times New Roman" w:hAnsi="Times New Roman" w:cs="Times New Roman"/>
          <w:lang w:val="en-US"/>
        </w:rPr>
        <w:t xml:space="preserve"> this finding. SGLT2 inhibitors promote a shift toward ketone body </w:t>
      </w:r>
      <w:proofErr w:type="spellStart"/>
      <w:r w:rsidRPr="009F0A3E">
        <w:rPr>
          <w:rFonts w:ascii="Times New Roman" w:eastAsia="Times New Roman" w:hAnsi="Times New Roman" w:cs="Times New Roman"/>
          <w:lang w:val="en-US"/>
        </w:rPr>
        <w:t>utilisation</w:t>
      </w:r>
      <w:proofErr w:type="spellEnd"/>
      <w:r w:rsidRPr="009F0A3E">
        <w:rPr>
          <w:rFonts w:ascii="Times New Roman" w:eastAsia="Times New Roman" w:hAnsi="Times New Roman" w:cs="Times New Roman"/>
          <w:lang w:val="en-US"/>
        </w:rPr>
        <w:t xml:space="preserve"> as an alternative metabolic substrate, and neurons — particularly those with compromised glucose metabolism as in the diabetic milieu — may benefit from this alternative energy source to maintain axonal function and conduction. Additionally, SGLT2 inhibition is associated with reductions in </w:t>
      </w:r>
      <w:proofErr w:type="spellStart"/>
      <w:r w:rsidRPr="009F0A3E">
        <w:rPr>
          <w:rFonts w:ascii="Times New Roman" w:eastAsia="Times New Roman" w:hAnsi="Times New Roman" w:cs="Times New Roman"/>
          <w:lang w:val="en-US"/>
        </w:rPr>
        <w:t>endoneurial</w:t>
      </w:r>
      <w:proofErr w:type="spellEnd"/>
      <w:r w:rsidRPr="009F0A3E">
        <w:rPr>
          <w:rFonts w:ascii="Times New Roman" w:eastAsia="Times New Roman" w:hAnsi="Times New Roman" w:cs="Times New Roman"/>
          <w:lang w:val="en-US"/>
        </w:rPr>
        <w:t xml:space="preserve"> oxidative stress and improvement in </w:t>
      </w:r>
      <w:proofErr w:type="spellStart"/>
      <w:r w:rsidRPr="009F0A3E">
        <w:rPr>
          <w:rFonts w:ascii="Times New Roman" w:eastAsia="Times New Roman" w:hAnsi="Times New Roman" w:cs="Times New Roman"/>
          <w:lang w:val="en-US"/>
        </w:rPr>
        <w:t>endoneurial</w:t>
      </w:r>
      <w:proofErr w:type="spellEnd"/>
      <w:r w:rsidRPr="009F0A3E">
        <w:rPr>
          <w:rFonts w:ascii="Times New Roman" w:eastAsia="Times New Roman" w:hAnsi="Times New Roman" w:cs="Times New Roman"/>
          <w:lang w:val="en-US"/>
        </w:rPr>
        <w:t xml:space="preserve"> blood flow through </w:t>
      </w:r>
      <w:proofErr w:type="spellStart"/>
      <w:r w:rsidRPr="009F0A3E">
        <w:rPr>
          <w:rFonts w:ascii="Times New Roman" w:eastAsia="Times New Roman" w:hAnsi="Times New Roman" w:cs="Times New Roman"/>
          <w:lang w:val="en-US"/>
        </w:rPr>
        <w:t>haemodynamic</w:t>
      </w:r>
      <w:proofErr w:type="spellEnd"/>
      <w:r w:rsidRPr="009F0A3E">
        <w:rPr>
          <w:rFonts w:ascii="Times New Roman" w:eastAsia="Times New Roman" w:hAnsi="Times New Roman" w:cs="Times New Roman"/>
          <w:lang w:val="en-US"/>
        </w:rPr>
        <w:t xml:space="preserve"> effects, both of which are established contributors to conduction slowing in diabetic neuropathy. Activation of AMP-activated protein kinase (AMPK) downstream of SGLT2 inhibition may further confer neuroprotection through mitochondrial biogenesis and suppression of inflammatory pathways including the NLRP3 inflammasome. Whether these improvements reflect true axonal regeneration, remyelination, or improved conduction in surviving </w:t>
      </w:r>
      <w:proofErr w:type="spellStart"/>
      <w:r w:rsidRPr="009F0A3E">
        <w:rPr>
          <w:rFonts w:ascii="Times New Roman" w:eastAsia="Times New Roman" w:hAnsi="Times New Roman" w:cs="Times New Roman"/>
          <w:lang w:val="en-US"/>
        </w:rPr>
        <w:t>fibres</w:t>
      </w:r>
      <w:proofErr w:type="spellEnd"/>
      <w:r w:rsidRPr="009F0A3E">
        <w:rPr>
          <w:rFonts w:ascii="Times New Roman" w:eastAsia="Times New Roman" w:hAnsi="Times New Roman" w:cs="Times New Roman"/>
          <w:lang w:val="en-US"/>
        </w:rPr>
        <w:t xml:space="preserve"> cannot be determined from conduction velocity data alone.</w:t>
      </w:r>
    </w:p>
    <w:p w14:paraId="6EB6574A"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4.3 Sural Nerve Amplitude — An Inconclusive Finding</w:t>
      </w:r>
    </w:p>
    <w:p w14:paraId="643FA80B"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The sural nerve amplitude result warrants particular attention due to its methodological complexity. While the random-effects pooled analysis including Ishibashi 2022 achieved statistical significance, the RCT-restricted analysis was clearly non-significant. Amplitude in nerve conduction studies reflects the number of functioning axons contributing to the response — a decline in amplitude therefore indicates axonal loss, while improvement suggests either axonal regeneration or preservation of </w:t>
      </w:r>
      <w:proofErr w:type="spellStart"/>
      <w:r w:rsidRPr="009F0A3E">
        <w:rPr>
          <w:rFonts w:ascii="Times New Roman" w:eastAsia="Times New Roman" w:hAnsi="Times New Roman" w:cs="Times New Roman"/>
          <w:lang w:val="en-US"/>
        </w:rPr>
        <w:t>fibres</w:t>
      </w:r>
      <w:proofErr w:type="spellEnd"/>
      <w:r w:rsidRPr="009F0A3E">
        <w:rPr>
          <w:rFonts w:ascii="Times New Roman" w:eastAsia="Times New Roman" w:hAnsi="Times New Roman" w:cs="Times New Roman"/>
          <w:lang w:val="en-US"/>
        </w:rPr>
        <w:t xml:space="preserve"> at risk. The fact that this finding did not hold in RCTs alone substantially limits confidence in the result. It is possible that the longer follow-up of Ishibashi 2022 (three years, compared to the shorter duration of the RCTs) allowed sufficient time for amplitude changes to become detectable, as axonal regeneration proceeds considerably more slowly than remyelination. Alternatively, the observational design may have introduced confounding by indication or healthier user bias that inflated the amplitude difference. Future RCTs with follow-up periods of twelve months or greater and pre-specified amplitude endpoints are needed to resolve this uncertainty.</w:t>
      </w:r>
    </w:p>
    <w:p w14:paraId="791E9911"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4.4 Peroneal Nerve Outcomes</w:t>
      </w:r>
    </w:p>
    <w:p w14:paraId="25E310AC"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The significant reduction in peroneal nerve motor latency across two RCTs, in the absence of significant changes in peroneal motor velocity or amplitude, presents an interesting electrophysiological pattern. Latency reduction is consistent with faster conduction through the nerve segment tested, and its significance in the context of non-significant velocity findings may reflect greater sensitivity of latency measures to early conduction improvement, or methodological differences in how these parameters were derived across studies. The non-significant peroneal velocity and amplitude results should not be interpreted as evidence of no effect; with only two contributing studies and extreme heterogeneity in the amplitude analysis (I² = 90%), these analyses are both underpowered and unreliable as summary statistics. The near-uninterpretable heterogeneity in peroneal amplitude </w:t>
      </w:r>
      <w:proofErr w:type="gramStart"/>
      <w:r w:rsidRPr="009F0A3E">
        <w:rPr>
          <w:rFonts w:ascii="Times New Roman" w:eastAsia="Times New Roman" w:hAnsi="Times New Roman" w:cs="Times New Roman"/>
          <w:lang w:val="en-US"/>
        </w:rPr>
        <w:t>in particular likely</w:t>
      </w:r>
      <w:proofErr w:type="gramEnd"/>
      <w:r w:rsidRPr="009F0A3E">
        <w:rPr>
          <w:rFonts w:ascii="Times New Roman" w:eastAsia="Times New Roman" w:hAnsi="Times New Roman" w:cs="Times New Roman"/>
          <w:lang w:val="en-US"/>
        </w:rPr>
        <w:t xml:space="preserve"> reflects </w:t>
      </w:r>
      <w:r w:rsidRPr="009F0A3E">
        <w:rPr>
          <w:rFonts w:ascii="Times New Roman" w:eastAsia="Times New Roman" w:hAnsi="Times New Roman" w:cs="Times New Roman"/>
          <w:lang w:val="en-US"/>
        </w:rPr>
        <w:lastRenderedPageBreak/>
        <w:t>fundamental differences between the two studies in terms of patient severity, nerve pathology, or measurement approach that preclude meaningful pooling.</w:t>
      </w:r>
    </w:p>
    <w:p w14:paraId="130354C1"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 xml:space="preserve">4.5 Discordant and Null Findings — </w:t>
      </w:r>
      <w:proofErr w:type="spellStart"/>
      <w:r w:rsidRPr="009F0A3E">
        <w:rPr>
          <w:rFonts w:ascii="Times New Roman" w:eastAsia="Times New Roman" w:hAnsi="Times New Roman" w:cs="Times New Roman"/>
          <w:b/>
          <w:bCs/>
          <w:lang w:val="en-US"/>
        </w:rPr>
        <w:t>Contextualising</w:t>
      </w:r>
      <w:proofErr w:type="spellEnd"/>
      <w:r w:rsidRPr="009F0A3E">
        <w:rPr>
          <w:rFonts w:ascii="Times New Roman" w:eastAsia="Times New Roman" w:hAnsi="Times New Roman" w:cs="Times New Roman"/>
          <w:b/>
          <w:bCs/>
          <w:lang w:val="en-US"/>
        </w:rPr>
        <w:t xml:space="preserve"> the Counterevidence</w:t>
      </w:r>
    </w:p>
    <w:p w14:paraId="01D7216C"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Not all included studies supported a beneficial effect of SGLT2i therapy on PDN, and these findings deserve equitable discussion. Liao 2022, as a post-hoc analysis of the large and well-conducted CREDENCE trial, found no effect of canagliflozin on clinical neuropathy event rates. Whilst the event-based endpoint used in CREDENCE is less sensitive than electrodiagnostic assessment and the population was not specifically selected for neuropathy, the null result from a trial of this scale and </w:t>
      </w:r>
      <w:proofErr w:type="spellStart"/>
      <w:r w:rsidRPr="009F0A3E">
        <w:rPr>
          <w:rFonts w:ascii="Times New Roman" w:eastAsia="Times New Roman" w:hAnsi="Times New Roman" w:cs="Times New Roman"/>
          <w:lang w:val="en-US"/>
        </w:rPr>
        <w:t>rigour</w:t>
      </w:r>
      <w:proofErr w:type="spellEnd"/>
      <w:r w:rsidRPr="009F0A3E">
        <w:rPr>
          <w:rFonts w:ascii="Times New Roman" w:eastAsia="Times New Roman" w:hAnsi="Times New Roman" w:cs="Times New Roman"/>
          <w:lang w:val="en-US"/>
        </w:rPr>
        <w:t xml:space="preserve"> is an important moderating observation. Similarly, Mehta 2021 demonstrated no significant benefit of empagliflozin monotherapy on neuropathic pain or sensory outcomes, with improvements observed only in the combination therapy arm — a finding that cannot be attributed to SGLT2 inhibition alone. </w:t>
      </w:r>
      <w:proofErr w:type="spellStart"/>
      <w:r w:rsidRPr="009F0A3E">
        <w:rPr>
          <w:rFonts w:ascii="Times New Roman" w:eastAsia="Times New Roman" w:hAnsi="Times New Roman" w:cs="Times New Roman"/>
          <w:lang w:val="en-US"/>
        </w:rPr>
        <w:t>Klabuzai</w:t>
      </w:r>
      <w:proofErr w:type="spellEnd"/>
      <w:r w:rsidRPr="009F0A3E">
        <w:rPr>
          <w:rFonts w:ascii="Times New Roman" w:eastAsia="Times New Roman" w:hAnsi="Times New Roman" w:cs="Times New Roman"/>
          <w:lang w:val="en-US"/>
        </w:rPr>
        <w:t xml:space="preserve"> 2025 found no significant change in any standard neuropathy assessment at the group level, with CPT improvements restricted to a pre-specified subgroup with elevated baseline values, the significance of which is difficult to interpret from a single-arm design. El-Haggar 2024, while contributing positively to the electrophysiological meta-analyses, notably found no significant between-group difference in the DNS composite score. Collectively, these findings suggest that any neuroprotective effect of SGLT2 inhibition is most detectable through objective electrodiagnostic measures of conduction rather than composite clinical scores or symptom-based instruments, which may lack the sensitivity to detect early or subclinical neurophysiological improvements.</w:t>
      </w:r>
    </w:p>
    <w:p w14:paraId="3529CD47"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4.6 Oxidative Stress — Mechanistic Signal Without Clinical Translation</w:t>
      </w:r>
    </w:p>
    <w:p w14:paraId="1FB4FA9C"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The absence of a significant between-group difference in MDA, despite robust preclinical evidence supporting an antioxidant role for SGLT2 inhibition, may partly be explained by the observation from Adhikari 2025 that MDA decreased significantly in both treatment and control groups. This suggests that </w:t>
      </w:r>
      <w:proofErr w:type="spellStart"/>
      <w:r w:rsidRPr="009F0A3E">
        <w:rPr>
          <w:rFonts w:ascii="Times New Roman" w:eastAsia="Times New Roman" w:hAnsi="Times New Roman" w:cs="Times New Roman"/>
          <w:lang w:val="en-US"/>
        </w:rPr>
        <w:t>optimised</w:t>
      </w:r>
      <w:proofErr w:type="spellEnd"/>
      <w:r w:rsidRPr="009F0A3E">
        <w:rPr>
          <w:rFonts w:ascii="Times New Roman" w:eastAsia="Times New Roman" w:hAnsi="Times New Roman" w:cs="Times New Roman"/>
          <w:lang w:val="en-US"/>
        </w:rPr>
        <w:t xml:space="preserve"> standard diabetic care itself may reduce systemic lipid peroxidation sufficiently to obscure an SGLT2i-specific antioxidant signal in a between-group comparison. Conversely, </w:t>
      </w:r>
      <w:proofErr w:type="spellStart"/>
      <w:r w:rsidRPr="009F0A3E">
        <w:rPr>
          <w:rFonts w:ascii="Times New Roman" w:eastAsia="Times New Roman" w:hAnsi="Times New Roman" w:cs="Times New Roman"/>
          <w:lang w:val="en-US"/>
        </w:rPr>
        <w:t>Klabuzai</w:t>
      </w:r>
      <w:proofErr w:type="spellEnd"/>
      <w:r w:rsidRPr="009F0A3E">
        <w:rPr>
          <w:rFonts w:ascii="Times New Roman" w:eastAsia="Times New Roman" w:hAnsi="Times New Roman" w:cs="Times New Roman"/>
          <w:lang w:val="en-US"/>
        </w:rPr>
        <w:t xml:space="preserve"> 2025 reported a positive correlation between hydroxyl free radical markers and CPT changes, providing indirect mechanistic support for oxidative stress as a mediator of SGLT2i-associated nerve function improvement. Glutathione peroxidase also increased significantly with dapagliflozin in Adhikari 2025, suggesting enhancement of endogenous antioxidant capacity as a complementary mechanism. While the MDA meta-analysis was non-significant, the mechanistic picture across studies is directionally consistent with an antioxidant component to SGLT2i neuroprotection, and MDA alone may be an insufficiently specific or sensitive marker to capture this effect.</w:t>
      </w:r>
    </w:p>
    <w:p w14:paraId="7CFEE6AB"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4.7 Corneal Confocal Microscopy</w:t>
      </w:r>
    </w:p>
    <w:p w14:paraId="59E43092"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lastRenderedPageBreak/>
        <w:t xml:space="preserve">The discordance in CCM findings between Adhikari 2025 (significant improvements in CNFD, CNBD, and CNFL) and Ishibashi 2022 (no significant between-group CCM differences) precludes any firm conclusion regarding the effect of SGLT2 inhibitors on corneal nerve morphology. CCM is a validated non-invasive tool for assessing small </w:t>
      </w:r>
      <w:proofErr w:type="spellStart"/>
      <w:r w:rsidRPr="009F0A3E">
        <w:rPr>
          <w:rFonts w:ascii="Times New Roman" w:eastAsia="Times New Roman" w:hAnsi="Times New Roman" w:cs="Times New Roman"/>
          <w:lang w:val="en-US"/>
        </w:rPr>
        <w:t>fibre</w:t>
      </w:r>
      <w:proofErr w:type="spellEnd"/>
      <w:r w:rsidRPr="009F0A3E">
        <w:rPr>
          <w:rFonts w:ascii="Times New Roman" w:eastAsia="Times New Roman" w:hAnsi="Times New Roman" w:cs="Times New Roman"/>
          <w:lang w:val="en-US"/>
        </w:rPr>
        <w:t xml:space="preserve"> neuropathy and is increasingly advocated as a sensitive endpoint in PDN trials. The discordance between studies may reflect differences in disease stage, follow-up duration, SGLT2i agent, or baseline CCM values. CCM findings from these two studies cannot be considered as contributing meaningful evidence in either direction </w:t>
      </w:r>
      <w:proofErr w:type="gramStart"/>
      <w:r w:rsidRPr="009F0A3E">
        <w:rPr>
          <w:rFonts w:ascii="Times New Roman" w:eastAsia="Times New Roman" w:hAnsi="Times New Roman" w:cs="Times New Roman"/>
          <w:lang w:val="en-US"/>
        </w:rPr>
        <w:t>and</w:t>
      </w:r>
      <w:proofErr w:type="gramEnd"/>
      <w:r w:rsidRPr="009F0A3E">
        <w:rPr>
          <w:rFonts w:ascii="Times New Roman" w:eastAsia="Times New Roman" w:hAnsi="Times New Roman" w:cs="Times New Roman"/>
          <w:lang w:val="en-US"/>
        </w:rPr>
        <w:t xml:space="preserve"> should be designated as exploratory pending dedicated trials with CCM as a pre-specified primary endpoint.</w:t>
      </w:r>
    </w:p>
    <w:p w14:paraId="22283405"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4.8 Limitations</w:t>
      </w:r>
    </w:p>
    <w:p w14:paraId="7B607BA1"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Several limitations must be acknowledged. First, the total number of included studies per outcome was small (two to three per meta-analysis), substantially limiting statistical power, precision of effect estimates, and the ability to explore heterogeneity through subgroup analyses or meta-regression. Second, the included studies used different SGLT2i agents — including empagliflozin, dapagliflozin, and canagliflozin — at varying doses and durations, and while a class effect is assumed, agent-specific differences in neuroprotective potency cannot be excluded. Third, follow-up durations were generally short, ranging from XXX to three years (Ishibashi 2022), and the natural time course of meaningful axonal regeneration likely exceeds the observation period of most included trials. Fourth, the inclusion of Ishibashi 2022 in the sural velocity sensitivity analysis introduces design heterogeneity and the possibility of residual confounding inherent to observational study designs, notwithstanding the robustness of the primary RCT-only result. Fifth, the degree to which observed neurophysiological improvements are attributable to SGLT2i-specific mechanisms versus concurrent improvements in </w:t>
      </w:r>
      <w:proofErr w:type="spellStart"/>
      <w:r w:rsidRPr="009F0A3E">
        <w:rPr>
          <w:rFonts w:ascii="Times New Roman" w:eastAsia="Times New Roman" w:hAnsi="Times New Roman" w:cs="Times New Roman"/>
          <w:lang w:val="en-US"/>
        </w:rPr>
        <w:t>glycaemic</w:t>
      </w:r>
      <w:proofErr w:type="spellEnd"/>
      <w:r w:rsidRPr="009F0A3E">
        <w:rPr>
          <w:rFonts w:ascii="Times New Roman" w:eastAsia="Times New Roman" w:hAnsi="Times New Roman" w:cs="Times New Roman"/>
          <w:lang w:val="en-US"/>
        </w:rPr>
        <w:t xml:space="preserve"> control, weight reduction, or blood pressure cannot be fully disentangled from the available data, as most studies did not fully adjust for or match on these covariates. Sixth, the extreme heterogeneity in the peroneal amplitude analysis renders that pooled estimate unreliable, and findings for motor outcomes should be interpreted accordingly. Finally, the possibility of publication bias cannot be excluded given the small evidence base, though funnel plot assessment was not feasible at this scale.</w:t>
      </w:r>
    </w:p>
    <w:p w14:paraId="3F73CB32" w14:textId="77777777" w:rsidR="009F0A3E" w:rsidRPr="009F0A3E" w:rsidRDefault="009F0A3E" w:rsidP="00C208BC">
      <w:pPr>
        <w:spacing w:before="100" w:beforeAutospacing="1" w:after="100" w:afterAutospacing="1" w:line="360" w:lineRule="auto"/>
        <w:jc w:val="both"/>
        <w:outlineLvl w:val="3"/>
        <w:rPr>
          <w:rFonts w:ascii="Times New Roman" w:eastAsia="Times New Roman" w:hAnsi="Times New Roman" w:cs="Times New Roman"/>
          <w:b/>
          <w:bCs/>
          <w:lang w:val="en-US"/>
        </w:rPr>
      </w:pPr>
      <w:r w:rsidRPr="009F0A3E">
        <w:rPr>
          <w:rFonts w:ascii="Times New Roman" w:eastAsia="Times New Roman" w:hAnsi="Times New Roman" w:cs="Times New Roman"/>
          <w:b/>
          <w:bCs/>
          <w:lang w:val="en-US"/>
        </w:rPr>
        <w:t>4.9 Clinical Implications and Future Directions</w:t>
      </w:r>
    </w:p>
    <w:p w14:paraId="584712CE" w14:textId="77777777" w:rsidR="009F0A3E" w:rsidRPr="009F0A3E" w:rsidRDefault="009F0A3E" w:rsidP="00C208BC">
      <w:pPr>
        <w:spacing w:before="100" w:beforeAutospacing="1" w:after="100" w:afterAutospacing="1" w:line="360" w:lineRule="auto"/>
        <w:jc w:val="both"/>
        <w:rPr>
          <w:rFonts w:ascii="Times New Roman" w:eastAsia="Times New Roman" w:hAnsi="Times New Roman" w:cs="Times New Roman"/>
          <w:lang w:val="en-US"/>
        </w:rPr>
      </w:pPr>
      <w:r w:rsidRPr="009F0A3E">
        <w:rPr>
          <w:rFonts w:ascii="Times New Roman" w:eastAsia="Times New Roman" w:hAnsi="Times New Roman" w:cs="Times New Roman"/>
          <w:lang w:val="en-US"/>
        </w:rPr>
        <w:t xml:space="preserve">If confirmed in larger and more rigorously designed trials, the improvement in sural nerve sensory conduction velocity observed in this meta-analysis would represent a meaningful step toward establishing SGLT2 inhibitors as a candidate disease-modifying therapy for PDN — a designation that no currently available agent can claim. The clinical significance of this is substantial: PDN affects up to 50% of people with diabetes, contributes directly to lower-limb amputation, falls, and markedly reduced quality of life, and current management remains largely symptomatic. Future RCTs investigating SGLT2i therapy in PDN should pre-specify electrodiagnostic NCS parameters as primary </w:t>
      </w:r>
      <w:r w:rsidRPr="009F0A3E">
        <w:rPr>
          <w:rFonts w:ascii="Times New Roman" w:eastAsia="Times New Roman" w:hAnsi="Times New Roman" w:cs="Times New Roman"/>
          <w:lang w:val="en-US"/>
        </w:rPr>
        <w:lastRenderedPageBreak/>
        <w:t xml:space="preserve">endpoints, include CCM and IENFD as </w:t>
      </w:r>
      <w:proofErr w:type="spellStart"/>
      <w:r w:rsidRPr="009F0A3E">
        <w:rPr>
          <w:rFonts w:ascii="Times New Roman" w:eastAsia="Times New Roman" w:hAnsi="Times New Roman" w:cs="Times New Roman"/>
          <w:lang w:val="en-US"/>
        </w:rPr>
        <w:t>standardised</w:t>
      </w:r>
      <w:proofErr w:type="spellEnd"/>
      <w:r w:rsidRPr="009F0A3E">
        <w:rPr>
          <w:rFonts w:ascii="Times New Roman" w:eastAsia="Times New Roman" w:hAnsi="Times New Roman" w:cs="Times New Roman"/>
          <w:lang w:val="en-US"/>
        </w:rPr>
        <w:t xml:space="preserve"> secondary measures of small </w:t>
      </w:r>
      <w:proofErr w:type="spellStart"/>
      <w:r w:rsidRPr="009F0A3E">
        <w:rPr>
          <w:rFonts w:ascii="Times New Roman" w:eastAsia="Times New Roman" w:hAnsi="Times New Roman" w:cs="Times New Roman"/>
          <w:lang w:val="en-US"/>
        </w:rPr>
        <w:t>fibre</w:t>
      </w:r>
      <w:proofErr w:type="spellEnd"/>
      <w:r w:rsidRPr="009F0A3E">
        <w:rPr>
          <w:rFonts w:ascii="Times New Roman" w:eastAsia="Times New Roman" w:hAnsi="Times New Roman" w:cs="Times New Roman"/>
          <w:lang w:val="en-US"/>
        </w:rPr>
        <w:t xml:space="preserve"> integrity, recruit participants with confirmed electrodiagnostic evidence of neuropathy at baseline, incorporate follow-up periods of at least twelve months, include active </w:t>
      </w:r>
      <w:proofErr w:type="spellStart"/>
      <w:r w:rsidRPr="009F0A3E">
        <w:rPr>
          <w:rFonts w:ascii="Times New Roman" w:eastAsia="Times New Roman" w:hAnsi="Times New Roman" w:cs="Times New Roman"/>
          <w:lang w:val="en-US"/>
        </w:rPr>
        <w:t>glycaemic</w:t>
      </w:r>
      <w:proofErr w:type="spellEnd"/>
      <w:r w:rsidRPr="009F0A3E">
        <w:rPr>
          <w:rFonts w:ascii="Times New Roman" w:eastAsia="Times New Roman" w:hAnsi="Times New Roman" w:cs="Times New Roman"/>
          <w:lang w:val="en-US"/>
        </w:rPr>
        <w:t xml:space="preserve"> control comparators to isolate SGLT2i-specific effects, and stratify analyses by neuropathy severity, diabetes type, and SGLT2i agent to explore potential sources of treatment effect modification.</w:t>
      </w:r>
    </w:p>
    <w:p w14:paraId="58D20051" w14:textId="11D8B5C8" w:rsidR="00200DF4" w:rsidRDefault="00000000" w:rsidP="00C208BC">
      <w:pPr>
        <w:spacing w:after="240" w:line="360" w:lineRule="auto"/>
        <w:rPr>
          <w:rFonts w:ascii="Times New Roman" w:eastAsia="Times New Roman" w:hAnsi="Times New Roman" w:cs="Times New Roman"/>
        </w:rPr>
      </w:pPr>
      <w:r>
        <w:br w:type="page"/>
      </w:r>
    </w:p>
    <w:p w14:paraId="0B62FB18" w14:textId="77777777" w:rsidR="00200DF4" w:rsidRDefault="00000000" w:rsidP="00C208BC">
      <w:pPr>
        <w:spacing w:after="120" w:line="360" w:lineRule="auto"/>
        <w:rPr>
          <w:rFonts w:ascii="Times New Roman" w:eastAsia="Times New Roman" w:hAnsi="Times New Roman" w:cs="Times New Roman"/>
        </w:rPr>
      </w:pPr>
      <w:r>
        <w:rPr>
          <w:rFonts w:ascii="Times New Roman" w:eastAsia="Times New Roman" w:hAnsi="Times New Roman" w:cs="Times New Roman"/>
        </w:rPr>
        <w:lastRenderedPageBreak/>
        <w:t>Disclosures: The authors have no conflict of interest to disclose.</w:t>
      </w:r>
    </w:p>
    <w:p w14:paraId="6F478F1F" w14:textId="77777777" w:rsidR="00200DF4" w:rsidRDefault="00200DF4" w:rsidP="00C208BC">
      <w:pPr>
        <w:spacing w:after="120" w:line="360" w:lineRule="auto"/>
        <w:rPr>
          <w:rFonts w:ascii="Times New Roman" w:eastAsia="Times New Roman" w:hAnsi="Times New Roman" w:cs="Times New Roman"/>
        </w:rPr>
      </w:pPr>
    </w:p>
    <w:p w14:paraId="274A9C70" w14:textId="01521135" w:rsidR="00200DF4" w:rsidRDefault="00000000" w:rsidP="00C208BC">
      <w:pPr>
        <w:spacing w:after="120" w:line="360" w:lineRule="auto"/>
        <w:rPr>
          <w:rFonts w:ascii="Times New Roman" w:eastAsia="Times New Roman" w:hAnsi="Times New Roman" w:cs="Times New Roman"/>
        </w:rPr>
      </w:pPr>
      <w:r>
        <w:rPr>
          <w:rFonts w:ascii="Times New Roman" w:eastAsia="Times New Roman" w:hAnsi="Times New Roman" w:cs="Times New Roman"/>
        </w:rPr>
        <w:t>Acknowledgments:</w:t>
      </w:r>
      <w:r w:rsidR="0050237C">
        <w:rPr>
          <w:rFonts w:ascii="Times New Roman" w:eastAsia="Times New Roman" w:hAnsi="Times New Roman" w:cs="Times New Roman"/>
        </w:rPr>
        <w:t xml:space="preserve"> The authors would like to thank </w:t>
      </w:r>
      <w:proofErr w:type="spellStart"/>
      <w:r w:rsidR="0050237C">
        <w:rPr>
          <w:rFonts w:ascii="Times New Roman" w:eastAsia="Times New Roman" w:hAnsi="Times New Roman" w:cs="Times New Roman"/>
        </w:rPr>
        <w:t>Saifeldeen</w:t>
      </w:r>
      <w:proofErr w:type="spellEnd"/>
      <w:r w:rsidR="0050237C">
        <w:rPr>
          <w:rFonts w:ascii="Times New Roman" w:eastAsia="Times New Roman" w:hAnsi="Times New Roman" w:cs="Times New Roman"/>
        </w:rPr>
        <w:t xml:space="preserve"> </w:t>
      </w:r>
      <w:proofErr w:type="gramStart"/>
      <w:r w:rsidR="0050237C">
        <w:rPr>
          <w:rFonts w:ascii="Times New Roman" w:eastAsia="Times New Roman" w:hAnsi="Times New Roman" w:cs="Times New Roman"/>
        </w:rPr>
        <w:t>A</w:t>
      </w:r>
      <w:proofErr w:type="gramEnd"/>
      <w:r w:rsidR="0050237C">
        <w:rPr>
          <w:rFonts w:ascii="Times New Roman" w:eastAsia="Times New Roman" w:hAnsi="Times New Roman" w:cs="Times New Roman"/>
        </w:rPr>
        <w:t xml:space="preserve"> Ahmed for assistance with R code which made the meta-analysis possible.</w:t>
      </w:r>
    </w:p>
    <w:p w14:paraId="7460380C" w14:textId="77777777" w:rsidR="00200DF4" w:rsidRDefault="00200DF4" w:rsidP="00C208BC">
      <w:pPr>
        <w:spacing w:after="120" w:line="360" w:lineRule="auto"/>
        <w:rPr>
          <w:rFonts w:ascii="Times New Roman" w:eastAsia="Times New Roman" w:hAnsi="Times New Roman" w:cs="Times New Roman"/>
        </w:rPr>
      </w:pPr>
    </w:p>
    <w:p w14:paraId="2A530984" w14:textId="77777777" w:rsidR="00200DF4" w:rsidRDefault="00000000" w:rsidP="00C208BC">
      <w:pPr>
        <w:spacing w:after="120" w:line="360" w:lineRule="auto"/>
        <w:rPr>
          <w:rFonts w:ascii="Times New Roman" w:eastAsia="Times New Roman" w:hAnsi="Times New Roman" w:cs="Times New Roman"/>
        </w:rPr>
      </w:pPr>
      <w:r>
        <w:rPr>
          <w:rFonts w:ascii="Times New Roman" w:eastAsia="Times New Roman" w:hAnsi="Times New Roman" w:cs="Times New Roman"/>
        </w:rPr>
        <w:t xml:space="preserve">Availability of data: Data </w:t>
      </w:r>
      <w:proofErr w:type="gramStart"/>
      <w:r>
        <w:rPr>
          <w:rFonts w:ascii="Times New Roman" w:eastAsia="Times New Roman" w:hAnsi="Times New Roman" w:cs="Times New Roman"/>
        </w:rPr>
        <w:t>are</w:t>
      </w:r>
      <w:proofErr w:type="gramEnd"/>
      <w:r>
        <w:rPr>
          <w:rFonts w:ascii="Times New Roman" w:eastAsia="Times New Roman" w:hAnsi="Times New Roman" w:cs="Times New Roman"/>
        </w:rPr>
        <w:t xml:space="preserve"> available </w:t>
      </w:r>
      <w:proofErr w:type="gramStart"/>
      <w:r>
        <w:rPr>
          <w:rFonts w:ascii="Times New Roman" w:eastAsia="Times New Roman" w:hAnsi="Times New Roman" w:cs="Times New Roman"/>
        </w:rPr>
        <w:t>upon</w:t>
      </w:r>
      <w:proofErr w:type="gramEnd"/>
      <w:r>
        <w:rPr>
          <w:rFonts w:ascii="Times New Roman" w:eastAsia="Times New Roman" w:hAnsi="Times New Roman" w:cs="Times New Roman"/>
        </w:rPr>
        <w:t xml:space="preserve"> reasonable request from corresponding author.</w:t>
      </w:r>
    </w:p>
    <w:p w14:paraId="4EA0C8D2" w14:textId="77777777" w:rsidR="00200DF4" w:rsidRDefault="00200DF4" w:rsidP="00C208BC">
      <w:pPr>
        <w:spacing w:after="120" w:line="360" w:lineRule="auto"/>
        <w:rPr>
          <w:rFonts w:ascii="Times New Roman" w:eastAsia="Times New Roman" w:hAnsi="Times New Roman" w:cs="Times New Roman"/>
        </w:rPr>
      </w:pPr>
    </w:p>
    <w:p w14:paraId="0944FF27" w14:textId="77777777" w:rsidR="00200DF4" w:rsidRDefault="00000000" w:rsidP="00C208BC">
      <w:pPr>
        <w:spacing w:after="120" w:line="360" w:lineRule="auto"/>
        <w:rPr>
          <w:rFonts w:ascii="Times New Roman" w:eastAsia="Times New Roman" w:hAnsi="Times New Roman" w:cs="Times New Roman"/>
        </w:rPr>
      </w:pPr>
      <w:r>
        <w:rPr>
          <w:rFonts w:ascii="Times New Roman" w:eastAsia="Times New Roman" w:hAnsi="Times New Roman" w:cs="Times New Roman"/>
        </w:rPr>
        <w:t>Funding source: None to declare</w:t>
      </w:r>
    </w:p>
    <w:p w14:paraId="36FD2CFF" w14:textId="77777777" w:rsidR="00200DF4" w:rsidRDefault="00000000" w:rsidP="00C208BC">
      <w:pPr>
        <w:spacing w:after="120" w:line="360" w:lineRule="auto"/>
        <w:rPr>
          <w:rFonts w:ascii="Times New Roman" w:eastAsia="Times New Roman" w:hAnsi="Times New Roman" w:cs="Times New Roman"/>
        </w:rPr>
      </w:pPr>
      <w:r>
        <w:br w:type="page"/>
      </w:r>
    </w:p>
    <w:p w14:paraId="29B40476" w14:textId="77777777" w:rsidR="00200DF4" w:rsidRPr="00C87ADC" w:rsidRDefault="00000000" w:rsidP="00C208BC">
      <w:pPr>
        <w:pStyle w:val="Heading1"/>
        <w:spacing w:line="360" w:lineRule="auto"/>
      </w:pPr>
      <w:bookmarkStart w:id="4" w:name="_6d595nyjjl68" w:colFirst="0" w:colLast="0"/>
      <w:bookmarkEnd w:id="4"/>
      <w:r w:rsidRPr="00C87ADC">
        <w:lastRenderedPageBreak/>
        <w:t>5. References</w:t>
      </w:r>
    </w:p>
    <w:p w14:paraId="1F4DA3D0" w14:textId="77777777" w:rsidR="002D2BB5" w:rsidRPr="002D2BB5" w:rsidRDefault="00AC58D8" w:rsidP="002D2BB5">
      <w:pPr>
        <w:pStyle w:val="Bibliography"/>
      </w:pPr>
      <w:r>
        <w:fldChar w:fldCharType="begin"/>
      </w:r>
      <w:r>
        <w:instrText xml:space="preserve"> ADDIN ZOTERO_BIBL {"uncited":[],"omitted":[],"custom":[]} CSL_BIBLIOGRAPHY </w:instrText>
      </w:r>
      <w:r>
        <w:fldChar w:fldCharType="separate"/>
      </w:r>
      <w:r w:rsidR="002D2BB5" w:rsidRPr="002D2BB5">
        <w:t xml:space="preserve">[1] </w:t>
      </w:r>
      <w:r w:rsidR="002D2BB5" w:rsidRPr="002D2BB5">
        <w:tab/>
        <w:t xml:space="preserve">Kurz FT, Jende JM, Salomir R, et al. Diabetic Peripheral Neuropathy: Current Epidemiology, Diagnostic Advances, Biomarkers, and Management Strategies. </w:t>
      </w:r>
      <w:r w:rsidR="002D2BB5" w:rsidRPr="002D2BB5">
        <w:rPr>
          <w:i/>
          <w:iCs/>
        </w:rPr>
        <w:t>J Diabetes Res</w:t>
      </w:r>
      <w:r w:rsidR="002D2BB5" w:rsidRPr="002D2BB5">
        <w:t xml:space="preserve"> 2026; 2026: 9080699.</w:t>
      </w:r>
    </w:p>
    <w:p w14:paraId="00922421" w14:textId="77777777" w:rsidR="002D2BB5" w:rsidRPr="002D2BB5" w:rsidRDefault="002D2BB5" w:rsidP="002D2BB5">
      <w:pPr>
        <w:pStyle w:val="Bibliography"/>
      </w:pPr>
      <w:r w:rsidRPr="002D2BB5">
        <w:t xml:space="preserve">[2] </w:t>
      </w:r>
      <w:r w:rsidRPr="002D2BB5">
        <w:tab/>
        <w:t xml:space="preserve">Baum P, Toyka KV, Blüher M, et al. Inflammatory Mechanisms in the Pathophysiology of Diabetic Peripheral Neuropathy (DN)—New Aspects. </w:t>
      </w:r>
      <w:r w:rsidRPr="002D2BB5">
        <w:rPr>
          <w:i/>
          <w:iCs/>
        </w:rPr>
        <w:t>Int J Mol Sci</w:t>
      </w:r>
      <w:r w:rsidRPr="002D2BB5">
        <w:t xml:space="preserve"> 2021; 22: 10835.</w:t>
      </w:r>
    </w:p>
    <w:p w14:paraId="0180B6FF" w14:textId="77777777" w:rsidR="002D2BB5" w:rsidRPr="002D2BB5" w:rsidRDefault="002D2BB5" w:rsidP="002D2BB5">
      <w:pPr>
        <w:pStyle w:val="Bibliography"/>
      </w:pPr>
      <w:r w:rsidRPr="002D2BB5">
        <w:t xml:space="preserve">[3] </w:t>
      </w:r>
      <w:r w:rsidRPr="002D2BB5">
        <w:tab/>
        <w:t xml:space="preserve">Fan B, Chopp M, Zhang ZG, et al. Emerging Roles of microRNAs as Biomarkers and Therapeutic Targets for Diabetic Neuropathy. </w:t>
      </w:r>
      <w:r w:rsidRPr="002D2BB5">
        <w:rPr>
          <w:i/>
          <w:iCs/>
        </w:rPr>
        <w:t>Front Neurol</w:t>
      </w:r>
      <w:r w:rsidRPr="002D2BB5">
        <w:t xml:space="preserve"> 2020; 11: 558758.</w:t>
      </w:r>
    </w:p>
    <w:p w14:paraId="41F9002C" w14:textId="77777777" w:rsidR="002D2BB5" w:rsidRPr="002D2BB5" w:rsidRDefault="002D2BB5" w:rsidP="002D2BB5">
      <w:pPr>
        <w:pStyle w:val="Bibliography"/>
      </w:pPr>
      <w:r w:rsidRPr="002D2BB5">
        <w:t xml:space="preserve">[4] </w:t>
      </w:r>
      <w:r w:rsidRPr="002D2BB5">
        <w:tab/>
        <w:t xml:space="preserve">Gavini CK, Bookout AL, Bonomo R, et al. Liver X Receptors Protect Dorsal Root Ganglia from Obesity-Induced Endoplasmic Reticulum Stress and Mechanical Allodynia. </w:t>
      </w:r>
      <w:r w:rsidRPr="002D2BB5">
        <w:rPr>
          <w:i/>
          <w:iCs/>
        </w:rPr>
        <w:t>Cell Rep</w:t>
      </w:r>
      <w:r w:rsidRPr="002D2BB5">
        <w:t xml:space="preserve"> 2018; 25: 271-277.e4.</w:t>
      </w:r>
    </w:p>
    <w:p w14:paraId="08886B6B" w14:textId="77777777" w:rsidR="002D2BB5" w:rsidRPr="002D2BB5" w:rsidRDefault="002D2BB5" w:rsidP="002D2BB5">
      <w:pPr>
        <w:pStyle w:val="Bibliography"/>
      </w:pPr>
      <w:r w:rsidRPr="002D2BB5">
        <w:t xml:space="preserve">[5] </w:t>
      </w:r>
      <w:r w:rsidRPr="002D2BB5">
        <w:tab/>
        <w:t xml:space="preserve">Cowie MR, Fisher M. SGLT2 inhibitors: mechanisms of cardiovascular benefit beyond glycaemic control. </w:t>
      </w:r>
      <w:r w:rsidRPr="002D2BB5">
        <w:rPr>
          <w:i/>
          <w:iCs/>
        </w:rPr>
        <w:t>Nat Rev Cardiol</w:t>
      </w:r>
      <w:r w:rsidRPr="002D2BB5">
        <w:t xml:space="preserve"> 2020; 17: 761–772.</w:t>
      </w:r>
    </w:p>
    <w:p w14:paraId="748DA16A" w14:textId="77777777" w:rsidR="002D2BB5" w:rsidRPr="002D2BB5" w:rsidRDefault="002D2BB5" w:rsidP="002D2BB5">
      <w:pPr>
        <w:pStyle w:val="Bibliography"/>
      </w:pPr>
      <w:r w:rsidRPr="002D2BB5">
        <w:t xml:space="preserve">[6] </w:t>
      </w:r>
      <w:r w:rsidRPr="002D2BB5">
        <w:tab/>
        <w:t xml:space="preserve">Lupsa BC, Kibbey RG, Inzucchi SE. Ketones: the double-edged sword of SGLT2 inhibitors? </w:t>
      </w:r>
      <w:r w:rsidRPr="002D2BB5">
        <w:rPr>
          <w:i/>
          <w:iCs/>
        </w:rPr>
        <w:t>Diabetologia</w:t>
      </w:r>
      <w:r w:rsidRPr="002D2BB5">
        <w:t xml:space="preserve"> 2023; 66: 23–32.</w:t>
      </w:r>
    </w:p>
    <w:p w14:paraId="78764C86" w14:textId="77777777" w:rsidR="002D2BB5" w:rsidRPr="002D2BB5" w:rsidRDefault="002D2BB5" w:rsidP="002D2BB5">
      <w:pPr>
        <w:pStyle w:val="Bibliography"/>
      </w:pPr>
      <w:r w:rsidRPr="002D2BB5">
        <w:t xml:space="preserve">[7] </w:t>
      </w:r>
      <w:r w:rsidRPr="002D2BB5">
        <w:tab/>
        <w:t xml:space="preserve">Hushmandi K, Salarizadeh N, Einollahi B, et al. SGLT2 inhibitors and AMPK crosstalk in diabetes mellitus: mechanistic insights and therapeutic applications. </w:t>
      </w:r>
      <w:r w:rsidRPr="002D2BB5">
        <w:rPr>
          <w:i/>
          <w:iCs/>
        </w:rPr>
        <w:t>J Diabetes Metab Disord</w:t>
      </w:r>
      <w:r w:rsidRPr="002D2BB5">
        <w:t xml:space="preserve"> 2026; 25: 114.</w:t>
      </w:r>
    </w:p>
    <w:p w14:paraId="6D62BBF8" w14:textId="77777777" w:rsidR="002D2BB5" w:rsidRPr="002D2BB5" w:rsidRDefault="002D2BB5" w:rsidP="002D2BB5">
      <w:pPr>
        <w:pStyle w:val="Bibliography"/>
      </w:pPr>
      <w:r w:rsidRPr="002D2BB5">
        <w:t xml:space="preserve">[8] </w:t>
      </w:r>
      <w:r w:rsidRPr="002D2BB5">
        <w:tab/>
        <w:t xml:space="preserve">Patoulias D, Katsimardou A, Fragakis N, et al. Effect of SGLT-2 inhibitors on cardiac autonomic function in type 2 diabetes mellitus: a meta-analysis of randomized controlled trials. </w:t>
      </w:r>
      <w:r w:rsidRPr="002D2BB5">
        <w:rPr>
          <w:i/>
          <w:iCs/>
        </w:rPr>
        <w:t>Acta Diabetol</w:t>
      </w:r>
      <w:r w:rsidRPr="002D2BB5">
        <w:t xml:space="preserve"> 2022; 60: 1–8.</w:t>
      </w:r>
    </w:p>
    <w:p w14:paraId="7FD20CB4" w14:textId="77777777" w:rsidR="002D2BB5" w:rsidRPr="002D2BB5" w:rsidRDefault="002D2BB5" w:rsidP="002D2BB5">
      <w:pPr>
        <w:pStyle w:val="Bibliography"/>
      </w:pPr>
      <w:r w:rsidRPr="002D2BB5">
        <w:t xml:space="preserve">[9] </w:t>
      </w:r>
      <w:r w:rsidRPr="002D2BB5">
        <w:tab/>
        <w:t xml:space="preserve">Kandeel M. The Outcomes of Sodium-Glucose Co-transporter 2 Inhibitors (SGLT2I) on Diabetes-Associated Neuropathy: A Systematic Review and meta-Analysis. </w:t>
      </w:r>
      <w:r w:rsidRPr="002D2BB5">
        <w:rPr>
          <w:i/>
          <w:iCs/>
        </w:rPr>
        <w:t>Front Pharmacol</w:t>
      </w:r>
      <w:r w:rsidRPr="002D2BB5">
        <w:t xml:space="preserve"> 2022; 13: 926717.</w:t>
      </w:r>
    </w:p>
    <w:p w14:paraId="383E6015" w14:textId="77777777" w:rsidR="002D2BB5" w:rsidRPr="002D2BB5" w:rsidRDefault="002D2BB5" w:rsidP="002D2BB5">
      <w:pPr>
        <w:pStyle w:val="Bibliography"/>
      </w:pPr>
      <w:r w:rsidRPr="002D2BB5">
        <w:t xml:space="preserve">[10] </w:t>
      </w:r>
      <w:r w:rsidRPr="002D2BB5">
        <w:tab/>
        <w:t xml:space="preserve">Panou T, Gouveri E, Popovic DS, et al. The Therapeutic Potential of Sodium-Glucose Cotransporter-2 Inhibitors in Diabetic Neuropathy. </w:t>
      </w:r>
      <w:r w:rsidRPr="002D2BB5">
        <w:rPr>
          <w:i/>
          <w:iCs/>
        </w:rPr>
        <w:t>Exp Clin Endocrinol Diabetes</w:t>
      </w:r>
      <w:r w:rsidRPr="002D2BB5">
        <w:t xml:space="preserve"> 2025; 133: 425–436.</w:t>
      </w:r>
    </w:p>
    <w:p w14:paraId="4BF8E7DC" w14:textId="77777777" w:rsidR="002D2BB5" w:rsidRPr="002D2BB5" w:rsidRDefault="002D2BB5" w:rsidP="002D2BB5">
      <w:pPr>
        <w:pStyle w:val="Bibliography"/>
      </w:pPr>
      <w:r w:rsidRPr="002D2BB5">
        <w:t xml:space="preserve">[11] </w:t>
      </w:r>
      <w:r w:rsidRPr="002D2BB5">
        <w:tab/>
        <w:t xml:space="preserve">Higgins JPT, Thomas J, Chandler J, et al. </w:t>
      </w:r>
      <w:r w:rsidRPr="002D2BB5">
        <w:rPr>
          <w:i/>
          <w:iCs/>
        </w:rPr>
        <w:t>Cochrane Handbook for Systematic Reviews of Interventions</w:t>
      </w:r>
      <w:r w:rsidRPr="002D2BB5">
        <w:t>. Version 6.5 (updated August 2024). Cochrane, www.cochrane.org/handbook (2024).</w:t>
      </w:r>
    </w:p>
    <w:p w14:paraId="26E3C1C8" w14:textId="77777777" w:rsidR="002D2BB5" w:rsidRPr="002D2BB5" w:rsidRDefault="002D2BB5" w:rsidP="002D2BB5">
      <w:pPr>
        <w:pStyle w:val="Bibliography"/>
      </w:pPr>
      <w:r w:rsidRPr="002D2BB5">
        <w:t xml:space="preserve">[12] </w:t>
      </w:r>
      <w:r w:rsidRPr="002D2BB5">
        <w:tab/>
        <w:t xml:space="preserve">Page MJ, McKenzie JE, Bossuyt PM, et al. The PRISMA 2020 statement: an updated guideline for reporting systematic reviews. </w:t>
      </w:r>
      <w:r w:rsidRPr="002D2BB5">
        <w:rPr>
          <w:i/>
          <w:iCs/>
        </w:rPr>
        <w:t>BMJ</w:t>
      </w:r>
      <w:r w:rsidRPr="002D2BB5">
        <w:t xml:space="preserve"> 2021; n71.</w:t>
      </w:r>
    </w:p>
    <w:p w14:paraId="0A8DEDDA" w14:textId="77777777" w:rsidR="002D2BB5" w:rsidRPr="002D2BB5" w:rsidRDefault="002D2BB5" w:rsidP="002D2BB5">
      <w:pPr>
        <w:pStyle w:val="Bibliography"/>
      </w:pPr>
      <w:r w:rsidRPr="002D2BB5">
        <w:t xml:space="preserve">[13] </w:t>
      </w:r>
      <w:r w:rsidRPr="002D2BB5">
        <w:tab/>
        <w:t xml:space="preserve">Sterne JAC, Savović J, Page MJ, et al. RoB 2: a revised tool for assessing risk of bias in randomised trials. </w:t>
      </w:r>
      <w:r w:rsidRPr="002D2BB5">
        <w:rPr>
          <w:i/>
          <w:iCs/>
        </w:rPr>
        <w:t>BMJ</w:t>
      </w:r>
      <w:r w:rsidRPr="002D2BB5">
        <w:t xml:space="preserve"> 2019; l4898.</w:t>
      </w:r>
    </w:p>
    <w:p w14:paraId="01EA6FA8" w14:textId="77777777" w:rsidR="002D2BB5" w:rsidRPr="002D2BB5" w:rsidRDefault="002D2BB5" w:rsidP="002D2BB5">
      <w:pPr>
        <w:pStyle w:val="Bibliography"/>
      </w:pPr>
      <w:r w:rsidRPr="002D2BB5">
        <w:t xml:space="preserve">[14] </w:t>
      </w:r>
      <w:r w:rsidRPr="002D2BB5">
        <w:tab/>
        <w:t xml:space="preserve">Sterne JA, Hernán MA, Reeves BC, et al. ROBINS-I: a tool for assessing risk of bias in non-randomised studies of interventions. </w:t>
      </w:r>
      <w:r w:rsidRPr="002D2BB5">
        <w:rPr>
          <w:i/>
          <w:iCs/>
        </w:rPr>
        <w:t>BMJ</w:t>
      </w:r>
      <w:r w:rsidRPr="002D2BB5">
        <w:t xml:space="preserve"> 2016; i4919.</w:t>
      </w:r>
    </w:p>
    <w:p w14:paraId="19CA40FF" w14:textId="77777777" w:rsidR="002D2BB5" w:rsidRPr="002D2BB5" w:rsidRDefault="002D2BB5" w:rsidP="002D2BB5">
      <w:pPr>
        <w:pStyle w:val="Bibliography"/>
      </w:pPr>
      <w:r w:rsidRPr="002D2BB5">
        <w:t xml:space="preserve">[15] </w:t>
      </w:r>
      <w:r w:rsidRPr="002D2BB5">
        <w:tab/>
        <w:t xml:space="preserve">El-Haggar SM, Hafez YM, El Sharkawy AM, et al. Effect of empagliflozin in peripheral diabetic neuropathy of patients with type 2 diabetes mellitus. </w:t>
      </w:r>
      <w:r w:rsidRPr="002D2BB5">
        <w:rPr>
          <w:i/>
          <w:iCs/>
        </w:rPr>
        <w:t>Med Clínica Engl Ed</w:t>
      </w:r>
      <w:r w:rsidRPr="002D2BB5">
        <w:t xml:space="preserve"> 2024; 163: 53–61.</w:t>
      </w:r>
    </w:p>
    <w:p w14:paraId="7F2C3C9E" w14:textId="77777777" w:rsidR="002D2BB5" w:rsidRPr="002D2BB5" w:rsidRDefault="002D2BB5" w:rsidP="002D2BB5">
      <w:pPr>
        <w:pStyle w:val="Bibliography"/>
      </w:pPr>
      <w:r w:rsidRPr="002D2BB5">
        <w:lastRenderedPageBreak/>
        <w:t xml:space="preserve">[16] </w:t>
      </w:r>
      <w:r w:rsidRPr="002D2BB5">
        <w:tab/>
        <w:t xml:space="preserve">Wan X, Wang W, Liu J, et al. Estimating the sample mean and standard deviation from the sample size, median, range and/or interquartile range. </w:t>
      </w:r>
      <w:r w:rsidRPr="002D2BB5">
        <w:rPr>
          <w:i/>
          <w:iCs/>
        </w:rPr>
        <w:t>BMC Med Res Methodol</w:t>
      </w:r>
      <w:r w:rsidRPr="002D2BB5">
        <w:t xml:space="preserve"> 2014; 14: 135.</w:t>
      </w:r>
    </w:p>
    <w:p w14:paraId="5F1E8344" w14:textId="77777777" w:rsidR="002D2BB5" w:rsidRPr="002D2BB5" w:rsidRDefault="002D2BB5" w:rsidP="002D2BB5">
      <w:pPr>
        <w:pStyle w:val="Bibliography"/>
      </w:pPr>
      <w:r w:rsidRPr="002D2BB5">
        <w:t xml:space="preserve">[17] </w:t>
      </w:r>
      <w:r w:rsidRPr="002D2BB5">
        <w:tab/>
        <w:t xml:space="preserve">Luo D, Wan X, Liu J, et al. Optimally estimating the sample mean from the sample size, median, mid-range, and/or mid-quartile range. </w:t>
      </w:r>
      <w:r w:rsidRPr="002D2BB5">
        <w:rPr>
          <w:i/>
          <w:iCs/>
        </w:rPr>
        <w:t>Stat Methods Med Res</w:t>
      </w:r>
      <w:r w:rsidRPr="002D2BB5">
        <w:t xml:space="preserve"> 2018; 27: 1785–1805.</w:t>
      </w:r>
    </w:p>
    <w:p w14:paraId="309EA9EF" w14:textId="77777777" w:rsidR="002D2BB5" w:rsidRPr="002D2BB5" w:rsidRDefault="002D2BB5" w:rsidP="002D2BB5">
      <w:pPr>
        <w:pStyle w:val="Bibliography"/>
      </w:pPr>
      <w:r w:rsidRPr="002D2BB5">
        <w:t xml:space="preserve">[18] </w:t>
      </w:r>
      <w:r w:rsidRPr="002D2BB5">
        <w:tab/>
        <w:t xml:space="preserve">R Core Team. </w:t>
      </w:r>
      <w:r w:rsidRPr="002D2BB5">
        <w:rPr>
          <w:i/>
          <w:iCs/>
        </w:rPr>
        <w:t>R: A Language and Environment for Statistical Computing</w:t>
      </w:r>
      <w:r w:rsidRPr="002D2BB5">
        <w:t>. Vienna, Austria: R Foundation for Statistical Computing, https://www.R-project.org/ (2025).</w:t>
      </w:r>
    </w:p>
    <w:p w14:paraId="51EA14AF" w14:textId="77777777" w:rsidR="002D2BB5" w:rsidRPr="002D2BB5" w:rsidRDefault="002D2BB5" w:rsidP="002D2BB5">
      <w:pPr>
        <w:pStyle w:val="Bibliography"/>
      </w:pPr>
      <w:r w:rsidRPr="002D2BB5">
        <w:t xml:space="preserve">[19] </w:t>
      </w:r>
      <w:r w:rsidRPr="002D2BB5">
        <w:tab/>
        <w:t xml:space="preserve">Balduzzi S, Rücker G, Schwarzer G. How to perform a meta-analysis with R: a practical tutorial. </w:t>
      </w:r>
      <w:r w:rsidRPr="002D2BB5">
        <w:rPr>
          <w:i/>
          <w:iCs/>
        </w:rPr>
        <w:t>Evid Based Ment Health</w:t>
      </w:r>
      <w:r w:rsidRPr="002D2BB5">
        <w:t xml:space="preserve"> 2019; 22: 153–160.</w:t>
      </w:r>
    </w:p>
    <w:p w14:paraId="1C2855C4" w14:textId="77777777" w:rsidR="002D2BB5" w:rsidRPr="002D2BB5" w:rsidRDefault="002D2BB5" w:rsidP="002D2BB5">
      <w:pPr>
        <w:pStyle w:val="Bibliography"/>
      </w:pPr>
      <w:r w:rsidRPr="002D2BB5">
        <w:t xml:space="preserve">[20] </w:t>
      </w:r>
      <w:r w:rsidRPr="002D2BB5">
        <w:tab/>
        <w:t xml:space="preserve">Viechtbauer W. Conducting Meta-Analyses in </w:t>
      </w:r>
      <w:r w:rsidRPr="002D2BB5">
        <w:rPr>
          <w:i/>
          <w:iCs/>
        </w:rPr>
        <w:t>R</w:t>
      </w:r>
      <w:r w:rsidRPr="002D2BB5">
        <w:t xml:space="preserve"> with the </w:t>
      </w:r>
      <w:r w:rsidRPr="002D2BB5">
        <w:rPr>
          <w:b/>
          <w:bCs/>
        </w:rPr>
        <w:t>metafor</w:t>
      </w:r>
      <w:r w:rsidRPr="002D2BB5">
        <w:t xml:space="preserve"> Package. </w:t>
      </w:r>
      <w:r w:rsidRPr="002D2BB5">
        <w:rPr>
          <w:i/>
          <w:iCs/>
        </w:rPr>
        <w:t>J Stat Softw</w:t>
      </w:r>
      <w:r w:rsidRPr="002D2BB5">
        <w:t>; 36. Epub ahead of print 2010. DOI: 10.18637/jss.v036.i03.</w:t>
      </w:r>
    </w:p>
    <w:p w14:paraId="526F1206" w14:textId="77777777" w:rsidR="002D2BB5" w:rsidRPr="002D2BB5" w:rsidRDefault="002D2BB5" w:rsidP="002D2BB5">
      <w:pPr>
        <w:pStyle w:val="Bibliography"/>
      </w:pPr>
      <w:r w:rsidRPr="002D2BB5">
        <w:t xml:space="preserve">[21] </w:t>
      </w:r>
      <w:r w:rsidRPr="002D2BB5">
        <w:tab/>
        <w:t xml:space="preserve">Vafaeinasab M, Mirzaei Malekabad F, Khatibi A, et al. The Comparison of the Effect of Adding Empagliflozin to the Medication Regimen on Peripheral Neuropathy in Patients With Type </w:t>
      </w:r>
      <w:r w:rsidRPr="002D2BB5">
        <w:rPr>
          <w:smallCaps/>
        </w:rPr>
        <w:t>II</w:t>
      </w:r>
      <w:r w:rsidRPr="002D2BB5">
        <w:t xml:space="preserve"> Diabetes: A Double Blind Randomised Clinical Trial. </w:t>
      </w:r>
      <w:r w:rsidRPr="002D2BB5">
        <w:rPr>
          <w:i/>
          <w:iCs/>
        </w:rPr>
        <w:t>Endocrinol Diabetes Metab</w:t>
      </w:r>
      <w:r w:rsidRPr="002D2BB5">
        <w:t xml:space="preserve"> 2025; 8: e70128.</w:t>
      </w:r>
    </w:p>
    <w:p w14:paraId="0A135782" w14:textId="77777777" w:rsidR="002D2BB5" w:rsidRPr="002D2BB5" w:rsidRDefault="002D2BB5" w:rsidP="002D2BB5">
      <w:pPr>
        <w:pStyle w:val="Bibliography"/>
      </w:pPr>
      <w:r w:rsidRPr="002D2BB5">
        <w:t xml:space="preserve">[22] </w:t>
      </w:r>
      <w:r w:rsidRPr="002D2BB5">
        <w:tab/>
        <w:t xml:space="preserve">Adhikari U, Gad H, Chatterjee D, et al. Dapagliflozin for Small Nerve Fibre Regeneration in Diabetic Peripheral Neuropathy: A Randomised Controlled Study ( </w:t>
      </w:r>
      <w:r w:rsidRPr="002D2BB5">
        <w:rPr>
          <w:smallCaps/>
        </w:rPr>
        <w:t>DINE</w:t>
      </w:r>
      <w:r w:rsidRPr="002D2BB5">
        <w:t xml:space="preserve"> ). </w:t>
      </w:r>
      <w:r w:rsidRPr="002D2BB5">
        <w:rPr>
          <w:i/>
          <w:iCs/>
        </w:rPr>
        <w:t>J Peripher Nerv Syst</w:t>
      </w:r>
      <w:r w:rsidRPr="002D2BB5">
        <w:t xml:space="preserve"> 2025; 30: e70011.</w:t>
      </w:r>
    </w:p>
    <w:p w14:paraId="2310DC36" w14:textId="77777777" w:rsidR="002D2BB5" w:rsidRPr="002D2BB5" w:rsidRDefault="002D2BB5" w:rsidP="002D2BB5">
      <w:pPr>
        <w:pStyle w:val="Bibliography"/>
      </w:pPr>
      <w:r w:rsidRPr="002D2BB5">
        <w:t xml:space="preserve">[23] </w:t>
      </w:r>
      <w:r w:rsidRPr="002D2BB5">
        <w:tab/>
        <w:t xml:space="preserve">Liao J, Kang A, Xia C, et al. The impact of canagliflozin on the risk of neuropathy events: A post-hoc exploratory analysis of the CREDENCE trial. </w:t>
      </w:r>
      <w:r w:rsidRPr="002D2BB5">
        <w:rPr>
          <w:i/>
          <w:iCs/>
        </w:rPr>
        <w:t>Diabetes Metab</w:t>
      </w:r>
      <w:r w:rsidRPr="002D2BB5">
        <w:t xml:space="preserve"> 2022; 48: 101331.</w:t>
      </w:r>
    </w:p>
    <w:p w14:paraId="58DCD01E" w14:textId="77777777" w:rsidR="002D2BB5" w:rsidRPr="002D2BB5" w:rsidRDefault="002D2BB5" w:rsidP="002D2BB5">
      <w:pPr>
        <w:pStyle w:val="Bibliography"/>
      </w:pPr>
      <w:r w:rsidRPr="002D2BB5">
        <w:t xml:space="preserve">[24] </w:t>
      </w:r>
      <w:r w:rsidRPr="002D2BB5">
        <w:tab/>
        <w:t xml:space="preserve">Mehta S, Nain P, Agrawal BK, et al. Effectiveness of Empagliflozin With Vitamin D Supplementation in Peripheral Neuropathy in Type 2 Diabetic Patients. </w:t>
      </w:r>
      <w:r w:rsidRPr="002D2BB5">
        <w:rPr>
          <w:i/>
          <w:iCs/>
        </w:rPr>
        <w:t>Cureus</w:t>
      </w:r>
      <w:r w:rsidRPr="002D2BB5">
        <w:t>. Epub ahead of print 6 December 2021. DOI: 10.7759/cureus.20208.</w:t>
      </w:r>
    </w:p>
    <w:p w14:paraId="2A28FA33" w14:textId="77777777" w:rsidR="002D2BB5" w:rsidRPr="002D2BB5" w:rsidRDefault="002D2BB5" w:rsidP="002D2BB5">
      <w:pPr>
        <w:pStyle w:val="Bibliography"/>
      </w:pPr>
      <w:r w:rsidRPr="002D2BB5">
        <w:t xml:space="preserve">[25] </w:t>
      </w:r>
      <w:r w:rsidRPr="002D2BB5">
        <w:tab/>
        <w:t xml:space="preserve">Ishibashi F, Kosaka A, Tavakoli M. Sodium Glucose Cotransporter-2 Inhibitor Protects Against Diabetic Neuropathy and Nephropathy in Modestly Controlled Type 2 Diabetes: Follow-Up Study. </w:t>
      </w:r>
      <w:r w:rsidRPr="002D2BB5">
        <w:rPr>
          <w:i/>
          <w:iCs/>
        </w:rPr>
        <w:t>Front Endocrinol</w:t>
      </w:r>
      <w:r w:rsidRPr="002D2BB5">
        <w:t xml:space="preserve"> 2022; 13: 864332.</w:t>
      </w:r>
    </w:p>
    <w:p w14:paraId="01132E34" w14:textId="77777777" w:rsidR="002D2BB5" w:rsidRPr="002D2BB5" w:rsidRDefault="002D2BB5" w:rsidP="002D2BB5">
      <w:pPr>
        <w:pStyle w:val="Bibliography"/>
      </w:pPr>
      <w:r w:rsidRPr="002D2BB5">
        <w:t xml:space="preserve">[26] </w:t>
      </w:r>
      <w:r w:rsidRPr="002D2BB5">
        <w:tab/>
        <w:t xml:space="preserve">Klabuzai Á, Bekő V, Sütő Z, et al. The Impact of SGLT-2 Inhibitors on Hydroxyl Radical Markers and Diabetic Neuropathy: A Short-Term Clinical Study. </w:t>
      </w:r>
      <w:r w:rsidRPr="002D2BB5">
        <w:rPr>
          <w:i/>
          <w:iCs/>
        </w:rPr>
        <w:t>Antioxidants</w:t>
      </w:r>
      <w:r w:rsidRPr="002D2BB5">
        <w:t xml:space="preserve"> 2025; 14: 289.</w:t>
      </w:r>
    </w:p>
    <w:p w14:paraId="40EFF6E4" w14:textId="37E26C70" w:rsidR="00200DF4" w:rsidRDefault="00AC58D8" w:rsidP="00C53D07">
      <w:pPr>
        <w:spacing w:after="120" w:line="360" w:lineRule="auto"/>
        <w:rPr>
          <w:rFonts w:ascii="Times New Roman" w:eastAsia="Times New Roman" w:hAnsi="Times New Roman" w:cs="Times New Roman"/>
        </w:rPr>
      </w:pPr>
      <w:r>
        <w:fldChar w:fldCharType="end"/>
      </w:r>
      <w:r>
        <w:br w:type="page"/>
      </w:r>
    </w:p>
    <w:p w14:paraId="50DF6FC7" w14:textId="20C2563F" w:rsidR="00200DF4" w:rsidRPr="00C87ADC" w:rsidRDefault="00000000" w:rsidP="00C208BC">
      <w:pPr>
        <w:pStyle w:val="Heading1"/>
        <w:spacing w:line="360" w:lineRule="auto"/>
      </w:pPr>
      <w:bookmarkStart w:id="5" w:name="_e54f6rcfsjny" w:colFirst="0" w:colLast="0"/>
      <w:bookmarkEnd w:id="5"/>
      <w:r w:rsidRPr="00C87ADC">
        <w:lastRenderedPageBreak/>
        <w:t>Figure</w:t>
      </w:r>
      <w:r w:rsidR="00C87ADC">
        <w:t>s and Tables</w:t>
      </w:r>
    </w:p>
    <w:p w14:paraId="1AE31EBA" w14:textId="38D1ED33" w:rsidR="00AA30DB" w:rsidRDefault="00AA30DB" w:rsidP="00AA30DB">
      <w:pPr>
        <w:spacing w:line="480" w:lineRule="auto"/>
        <w:rPr>
          <w:rFonts w:asciiTheme="majorBidi" w:hAnsiTheme="majorBidi" w:cstheme="majorBidi"/>
        </w:rPr>
      </w:pPr>
      <w:r w:rsidRPr="00AA30DB">
        <w:rPr>
          <w:rFonts w:asciiTheme="majorBidi" w:hAnsiTheme="majorBidi" w:cstheme="majorBidi"/>
        </w:rPr>
        <w:t>Figure 1: PRISMA diagram for screening process</w:t>
      </w:r>
    </w:p>
    <w:p w14:paraId="59508676" w14:textId="29075F63" w:rsidR="00AA30DB" w:rsidRDefault="00AA30DB" w:rsidP="00AA30DB">
      <w:pPr>
        <w:spacing w:line="480" w:lineRule="auto"/>
        <w:rPr>
          <w:rFonts w:asciiTheme="majorBidi" w:hAnsiTheme="majorBidi" w:cstheme="majorBidi"/>
        </w:rPr>
      </w:pPr>
      <w:r w:rsidRPr="00AA30DB">
        <w:rPr>
          <w:rFonts w:asciiTheme="majorBidi" w:hAnsiTheme="majorBidi" w:cstheme="majorBidi"/>
        </w:rPr>
        <w:t>Figure 2:</w:t>
      </w:r>
      <w:r>
        <w:rPr>
          <w:rFonts w:asciiTheme="majorBidi" w:hAnsiTheme="majorBidi" w:cstheme="majorBidi"/>
        </w:rPr>
        <w:t xml:space="preserve"> RoB-2 for RCTs </w:t>
      </w:r>
    </w:p>
    <w:p w14:paraId="7A32A604" w14:textId="606B0472" w:rsidR="00AA30DB" w:rsidRDefault="00AA30DB" w:rsidP="00AA30DB">
      <w:pPr>
        <w:spacing w:line="480" w:lineRule="auto"/>
        <w:rPr>
          <w:rFonts w:asciiTheme="majorBidi" w:hAnsiTheme="majorBidi" w:cstheme="majorBidi"/>
        </w:rPr>
      </w:pPr>
      <w:r>
        <w:rPr>
          <w:rFonts w:asciiTheme="majorBidi" w:hAnsiTheme="majorBidi" w:cstheme="majorBidi"/>
        </w:rPr>
        <w:t xml:space="preserve">Figure 3: </w:t>
      </w:r>
      <w:r w:rsidR="008F6A49">
        <w:rPr>
          <w:rFonts w:asciiTheme="majorBidi" w:hAnsiTheme="majorBidi" w:cstheme="majorBidi"/>
        </w:rPr>
        <w:t>Sural Nerve Sensory Parameters</w:t>
      </w:r>
    </w:p>
    <w:p w14:paraId="1ACECABE" w14:textId="164D34E7" w:rsidR="008F6A49" w:rsidRDefault="008F6A49" w:rsidP="00AA30DB">
      <w:pPr>
        <w:spacing w:line="480" w:lineRule="auto"/>
        <w:rPr>
          <w:rFonts w:asciiTheme="majorBidi" w:hAnsiTheme="majorBidi" w:cstheme="majorBidi"/>
        </w:rPr>
      </w:pPr>
      <w:r w:rsidRPr="00D672E5">
        <w:rPr>
          <w:rFonts w:asciiTheme="majorBidi" w:hAnsiTheme="majorBidi" w:cstheme="majorBidi"/>
          <w:b/>
          <w:bCs/>
        </w:rPr>
        <w:t xml:space="preserve">Figure </w:t>
      </w:r>
      <w:r w:rsidRPr="00D672E5">
        <w:rPr>
          <w:rFonts w:asciiTheme="majorBidi" w:hAnsiTheme="majorBidi" w:cstheme="majorBidi"/>
          <w:b/>
          <w:bCs/>
        </w:rPr>
        <w:t>3</w:t>
      </w:r>
      <w:r w:rsidRPr="00D672E5">
        <w:rPr>
          <w:rFonts w:asciiTheme="majorBidi" w:hAnsiTheme="majorBidi" w:cstheme="majorBidi"/>
          <w:b/>
          <w:bCs/>
        </w:rPr>
        <w:t xml:space="preserve">. Forest plots </w:t>
      </w:r>
      <w:proofErr w:type="gramStart"/>
      <w:r w:rsidRPr="00D672E5">
        <w:rPr>
          <w:rFonts w:asciiTheme="majorBidi" w:hAnsiTheme="majorBidi" w:cstheme="majorBidi"/>
          <w:b/>
          <w:bCs/>
        </w:rPr>
        <w:t>showing</w:t>
      </w:r>
      <w:proofErr w:type="gramEnd"/>
      <w:r w:rsidRPr="00D672E5">
        <w:rPr>
          <w:rFonts w:asciiTheme="majorBidi" w:hAnsiTheme="majorBidi" w:cstheme="majorBidi"/>
          <w:b/>
          <w:bCs/>
        </w:rPr>
        <w:t xml:space="preserve"> the effect of SGLT2 inhibitors on sural nerve sensory parameters in patients with peripheral diabetic neuropathy.</w:t>
      </w:r>
      <w:r w:rsidRPr="008F6A49">
        <w:rPr>
          <w:rFonts w:asciiTheme="majorBidi" w:hAnsiTheme="majorBidi" w:cstheme="majorBidi"/>
        </w:rPr>
        <w:t xml:space="preserve"> (A) Sural nerve sensory conduction velocity (m/s). (B) Sural nerve sensory amplitude (µV).</w:t>
      </w:r>
    </w:p>
    <w:p w14:paraId="4EB33C9B" w14:textId="4EA310F6" w:rsidR="008F6A49" w:rsidRDefault="00D672E5" w:rsidP="00D672E5">
      <w:pPr>
        <w:spacing w:line="480" w:lineRule="auto"/>
        <w:rPr>
          <w:rFonts w:asciiTheme="majorBidi" w:hAnsiTheme="majorBidi" w:cstheme="majorBidi"/>
        </w:rPr>
      </w:pPr>
      <w:r>
        <w:rPr>
          <w:rFonts w:asciiTheme="majorBidi" w:hAnsiTheme="majorBidi" w:cstheme="majorBidi"/>
        </w:rPr>
        <w:t xml:space="preserve">Figure 4: </w:t>
      </w:r>
      <w:r w:rsidRPr="00D672E5">
        <w:rPr>
          <w:rFonts w:asciiTheme="majorBidi" w:hAnsiTheme="majorBidi" w:cstheme="majorBidi"/>
        </w:rPr>
        <w:t>Peroneal Nerve Motor Parameters</w:t>
      </w:r>
    </w:p>
    <w:p w14:paraId="70229708" w14:textId="3D3C3B1B" w:rsidR="00D672E5" w:rsidRPr="00AA30DB" w:rsidRDefault="00D672E5" w:rsidP="00D672E5">
      <w:pPr>
        <w:spacing w:line="480" w:lineRule="auto"/>
        <w:rPr>
          <w:rFonts w:asciiTheme="majorBidi" w:hAnsiTheme="majorBidi" w:cstheme="majorBidi"/>
        </w:rPr>
      </w:pPr>
      <w:r w:rsidRPr="00D672E5">
        <w:rPr>
          <w:rFonts w:asciiTheme="majorBidi" w:hAnsiTheme="majorBidi" w:cstheme="majorBidi"/>
          <w:b/>
          <w:bCs/>
        </w:rPr>
        <w:t xml:space="preserve">Figure </w:t>
      </w:r>
      <w:r>
        <w:rPr>
          <w:rFonts w:asciiTheme="majorBidi" w:hAnsiTheme="majorBidi" w:cstheme="majorBidi"/>
          <w:b/>
          <w:bCs/>
        </w:rPr>
        <w:t>4</w:t>
      </w:r>
      <w:r w:rsidRPr="00D672E5">
        <w:rPr>
          <w:rFonts w:asciiTheme="majorBidi" w:hAnsiTheme="majorBidi" w:cstheme="majorBidi"/>
          <w:b/>
          <w:bCs/>
        </w:rPr>
        <w:t>. Forest plots showing the effect of SGLT2 inhibitors on peroneal nerve motor parameters in patients with peripheral diabetic neuropathy.</w:t>
      </w:r>
      <w:r w:rsidRPr="00D672E5">
        <w:rPr>
          <w:rFonts w:asciiTheme="majorBidi" w:hAnsiTheme="majorBidi" w:cstheme="majorBidi"/>
        </w:rPr>
        <w:t xml:space="preserve"> (A) Peroneal nerve motor conduction velocity (m/s). (B) Peroneal nerve motor amplitude (mV). (C) Peroneal nerve motor latency (</w:t>
      </w:r>
      <w:proofErr w:type="spellStart"/>
      <w:r w:rsidRPr="00D672E5">
        <w:rPr>
          <w:rFonts w:asciiTheme="majorBidi" w:hAnsiTheme="majorBidi" w:cstheme="majorBidi"/>
        </w:rPr>
        <w:t>ms</w:t>
      </w:r>
      <w:proofErr w:type="spellEnd"/>
      <w:r w:rsidRPr="00D672E5">
        <w:rPr>
          <w:rFonts w:asciiTheme="majorBidi" w:hAnsiTheme="majorBidi" w:cstheme="majorBidi"/>
        </w:rPr>
        <w:t>).</w:t>
      </w:r>
    </w:p>
    <w:p w14:paraId="1E96E9DD" w14:textId="77777777" w:rsidR="00127A65" w:rsidRPr="00127A65" w:rsidRDefault="00127A65" w:rsidP="00127A65">
      <w:pPr>
        <w:spacing w:line="480" w:lineRule="auto"/>
        <w:rPr>
          <w:rFonts w:asciiTheme="majorBidi" w:hAnsiTheme="majorBidi" w:cstheme="majorBidi"/>
        </w:rPr>
      </w:pPr>
      <w:r w:rsidRPr="00127A65">
        <w:rPr>
          <w:rFonts w:asciiTheme="majorBidi" w:hAnsiTheme="majorBidi" w:cstheme="majorBidi"/>
        </w:rPr>
        <w:t>Figure X — Corneal Confocal Microscopy Outcomes</w:t>
      </w:r>
    </w:p>
    <w:p w14:paraId="1E968A78" w14:textId="5C6C2DC6" w:rsidR="00127A65" w:rsidRDefault="00127A65" w:rsidP="00127A65">
      <w:pPr>
        <w:spacing w:line="480" w:lineRule="auto"/>
        <w:rPr>
          <w:rFonts w:asciiTheme="majorBidi" w:hAnsiTheme="majorBidi" w:cstheme="majorBidi"/>
        </w:rPr>
      </w:pPr>
      <w:r w:rsidRPr="00D7424F">
        <w:rPr>
          <w:rFonts w:asciiTheme="majorBidi" w:hAnsiTheme="majorBidi" w:cstheme="majorBidi"/>
          <w:b/>
          <w:bCs/>
        </w:rPr>
        <w:t>Figure X. Forest plots showing the effect of SGLT2 inhibitors on corneal confocal microscopy parameters in patients with peripheral diabetic neuropathy.</w:t>
      </w:r>
      <w:r w:rsidRPr="00127A65">
        <w:rPr>
          <w:rFonts w:asciiTheme="majorBidi" w:hAnsiTheme="majorBidi" w:cstheme="majorBidi"/>
        </w:rPr>
        <w:t xml:space="preserve"> (A) Corneal nerve </w:t>
      </w:r>
      <w:proofErr w:type="spellStart"/>
      <w:r w:rsidRPr="00127A65">
        <w:rPr>
          <w:rFonts w:asciiTheme="majorBidi" w:hAnsiTheme="majorBidi" w:cstheme="majorBidi"/>
        </w:rPr>
        <w:t>fibre</w:t>
      </w:r>
      <w:proofErr w:type="spellEnd"/>
      <w:r w:rsidRPr="00127A65">
        <w:rPr>
          <w:rFonts w:asciiTheme="majorBidi" w:hAnsiTheme="majorBidi" w:cstheme="majorBidi"/>
        </w:rPr>
        <w:t xml:space="preserve"> density (CNFD; no/mm²). (B) Corneal nerve </w:t>
      </w:r>
      <w:proofErr w:type="spellStart"/>
      <w:r w:rsidRPr="00127A65">
        <w:rPr>
          <w:rFonts w:asciiTheme="majorBidi" w:hAnsiTheme="majorBidi" w:cstheme="majorBidi"/>
        </w:rPr>
        <w:t>fibre</w:t>
      </w:r>
      <w:proofErr w:type="spellEnd"/>
      <w:r w:rsidRPr="00127A65">
        <w:rPr>
          <w:rFonts w:asciiTheme="majorBidi" w:hAnsiTheme="majorBidi" w:cstheme="majorBidi"/>
        </w:rPr>
        <w:t xml:space="preserve"> length (CNFL; mm/mm²). (C) Corneal nerve branch density (CNBD; no/mm²). </w:t>
      </w:r>
    </w:p>
    <w:p w14:paraId="2CDEA238" w14:textId="4B986A10" w:rsidR="006D5FC2" w:rsidRPr="006D5FC2" w:rsidRDefault="006D5FC2" w:rsidP="006D5FC2">
      <w:pPr>
        <w:spacing w:line="480" w:lineRule="auto"/>
        <w:rPr>
          <w:rFonts w:asciiTheme="majorBidi" w:hAnsiTheme="majorBidi" w:cstheme="majorBidi"/>
        </w:rPr>
      </w:pPr>
      <w:r w:rsidRPr="006D5FC2">
        <w:rPr>
          <w:rFonts w:asciiTheme="majorBidi" w:hAnsiTheme="majorBidi" w:cstheme="majorBidi"/>
        </w:rPr>
        <w:t>Figure X — Malondialdehyde</w:t>
      </w:r>
      <w:r>
        <w:rPr>
          <w:rFonts w:asciiTheme="majorBidi" w:hAnsiTheme="majorBidi" w:cstheme="majorBidi"/>
        </w:rPr>
        <w:t xml:space="preserve"> (MDA)</w:t>
      </w:r>
    </w:p>
    <w:p w14:paraId="74021A94" w14:textId="77777777" w:rsidR="006D5FC2" w:rsidRPr="006D5FC2" w:rsidRDefault="006D5FC2" w:rsidP="006D5FC2">
      <w:pPr>
        <w:spacing w:line="480" w:lineRule="auto"/>
        <w:rPr>
          <w:rFonts w:asciiTheme="majorBidi" w:hAnsiTheme="majorBidi" w:cstheme="majorBidi"/>
          <w:b/>
          <w:bCs/>
        </w:rPr>
      </w:pPr>
      <w:r w:rsidRPr="006D5FC2">
        <w:rPr>
          <w:rFonts w:asciiTheme="majorBidi" w:hAnsiTheme="majorBidi" w:cstheme="majorBidi"/>
          <w:b/>
          <w:bCs/>
        </w:rPr>
        <w:t>Figure X. Forest plot showing the effect of SGLT2 inhibitors on malondialdehyde (MDA), a marker of lipid peroxidation and systemic oxidative stress, in patients with peripheral diabetic neuropathy.</w:t>
      </w:r>
    </w:p>
    <w:p w14:paraId="044E0303" w14:textId="77777777" w:rsidR="006D5FC2" w:rsidRPr="00127A65" w:rsidRDefault="006D5FC2" w:rsidP="00127A65">
      <w:pPr>
        <w:spacing w:line="480" w:lineRule="auto"/>
        <w:rPr>
          <w:lang w:val="en-US"/>
        </w:rPr>
      </w:pPr>
    </w:p>
    <w:p w14:paraId="26D0152A" w14:textId="77777777" w:rsidR="00200DF4" w:rsidRPr="00127A65" w:rsidRDefault="00200DF4" w:rsidP="00C208BC">
      <w:pPr>
        <w:spacing w:after="120" w:line="360" w:lineRule="auto"/>
        <w:rPr>
          <w:lang w:val="en-US"/>
        </w:rPr>
      </w:pPr>
    </w:p>
    <w:p w14:paraId="17C8A701" w14:textId="77777777" w:rsidR="00200DF4" w:rsidRDefault="00200DF4" w:rsidP="00C208BC">
      <w:pPr>
        <w:spacing w:after="120" w:line="360" w:lineRule="auto"/>
        <w:sectPr w:rsidR="00200DF4" w:rsidSect="00AC58D8">
          <w:headerReference w:type="default" r:id="rId6"/>
          <w:pgSz w:w="11906" w:h="16838" w:code="9"/>
          <w:pgMar w:top="1440" w:right="1440" w:bottom="1440" w:left="1440" w:header="720" w:footer="720" w:gutter="0"/>
          <w:pgNumType w:start="1"/>
          <w:cols w:space="720"/>
          <w:docGrid w:linePitch="299"/>
        </w:sectPr>
      </w:pPr>
    </w:p>
    <w:p w14:paraId="07BB946E" w14:textId="77777777" w:rsidR="00200DF4" w:rsidRDefault="00000000" w:rsidP="00C208BC">
      <w:pPr>
        <w:pStyle w:val="Heading1"/>
        <w:spacing w:line="360" w:lineRule="auto"/>
        <w:rPr>
          <w:sz w:val="20"/>
          <w:szCs w:val="20"/>
        </w:rPr>
      </w:pPr>
      <w:bookmarkStart w:id="6" w:name="_wxxcre7injtm" w:colFirst="0" w:colLast="0"/>
      <w:bookmarkEnd w:id="6"/>
      <w:r>
        <w:rPr>
          <w:rFonts w:ascii="Times New Roman" w:eastAsia="Times New Roman" w:hAnsi="Times New Roman" w:cs="Times New Roman"/>
          <w:sz w:val="22"/>
          <w:szCs w:val="22"/>
        </w:rPr>
        <w:lastRenderedPageBreak/>
        <w:t>Table 1: Baseline characteristics</w:t>
      </w:r>
    </w:p>
    <w:tbl>
      <w:tblPr>
        <w:tblStyle w:val="a"/>
        <w:tblW w:w="16110" w:type="dxa"/>
        <w:tblInd w:w="-9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990"/>
        <w:gridCol w:w="899"/>
        <w:gridCol w:w="989"/>
        <w:gridCol w:w="1259"/>
        <w:gridCol w:w="1169"/>
        <w:gridCol w:w="1079"/>
        <w:gridCol w:w="790"/>
        <w:gridCol w:w="924"/>
        <w:gridCol w:w="900"/>
        <w:gridCol w:w="989"/>
        <w:gridCol w:w="725"/>
        <w:gridCol w:w="959"/>
        <w:gridCol w:w="640"/>
        <w:gridCol w:w="979"/>
        <w:gridCol w:w="600"/>
        <w:gridCol w:w="859"/>
        <w:gridCol w:w="680"/>
        <w:gridCol w:w="680"/>
      </w:tblGrid>
      <w:tr w:rsidR="009A4123" w:rsidRPr="00381F74" w14:paraId="28822016" w14:textId="77777777" w:rsidTr="00381F74">
        <w:trPr>
          <w:trHeight w:val="180"/>
        </w:trPr>
        <w:tc>
          <w:tcPr>
            <w:tcW w:w="990" w:type="dxa"/>
            <w:vMerge w:val="restart"/>
            <w:shd w:val="clear" w:color="auto" w:fill="F2F2F2"/>
            <w:tcMar>
              <w:top w:w="0" w:type="dxa"/>
              <w:left w:w="0" w:type="dxa"/>
              <w:bottom w:w="0" w:type="dxa"/>
              <w:right w:w="0" w:type="dxa"/>
            </w:tcMar>
          </w:tcPr>
          <w:p w14:paraId="4239E2E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Study ID</w:t>
            </w:r>
          </w:p>
        </w:tc>
        <w:tc>
          <w:tcPr>
            <w:tcW w:w="899" w:type="dxa"/>
            <w:vMerge w:val="restart"/>
            <w:shd w:val="clear" w:color="auto" w:fill="F2F2F2"/>
            <w:tcMar>
              <w:top w:w="0" w:type="dxa"/>
              <w:left w:w="0" w:type="dxa"/>
              <w:bottom w:w="0" w:type="dxa"/>
              <w:right w:w="0" w:type="dxa"/>
            </w:tcMar>
          </w:tcPr>
          <w:p w14:paraId="41C19DF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Study Region</w:t>
            </w:r>
          </w:p>
        </w:tc>
        <w:tc>
          <w:tcPr>
            <w:tcW w:w="989" w:type="dxa"/>
            <w:vMerge w:val="restart"/>
            <w:shd w:val="clear" w:color="auto" w:fill="F2F2F2"/>
            <w:tcMar>
              <w:top w:w="0" w:type="dxa"/>
              <w:left w:w="0" w:type="dxa"/>
              <w:bottom w:w="0" w:type="dxa"/>
              <w:right w:w="0" w:type="dxa"/>
            </w:tcMar>
          </w:tcPr>
          <w:p w14:paraId="3BD4F5F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Study Design</w:t>
            </w:r>
          </w:p>
        </w:tc>
        <w:tc>
          <w:tcPr>
            <w:tcW w:w="1259" w:type="dxa"/>
            <w:vMerge w:val="restart"/>
            <w:shd w:val="clear" w:color="auto" w:fill="F2F2F2"/>
            <w:tcMar>
              <w:top w:w="0" w:type="dxa"/>
              <w:left w:w="0" w:type="dxa"/>
              <w:bottom w:w="0" w:type="dxa"/>
              <w:right w:w="0" w:type="dxa"/>
            </w:tcMar>
          </w:tcPr>
          <w:p w14:paraId="6FBC309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1169" w:type="dxa"/>
            <w:vMerge w:val="restart"/>
            <w:shd w:val="clear" w:color="auto" w:fill="F2F2F2"/>
            <w:tcMar>
              <w:top w:w="0" w:type="dxa"/>
              <w:left w:w="0" w:type="dxa"/>
              <w:bottom w:w="0" w:type="dxa"/>
              <w:right w:w="0" w:type="dxa"/>
            </w:tcMar>
          </w:tcPr>
          <w:p w14:paraId="21A0D18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1869" w:type="dxa"/>
            <w:gridSpan w:val="2"/>
            <w:shd w:val="clear" w:color="auto" w:fill="F2F2F2"/>
            <w:tcMar>
              <w:top w:w="0" w:type="dxa"/>
              <w:left w:w="0" w:type="dxa"/>
              <w:bottom w:w="0" w:type="dxa"/>
              <w:right w:w="0" w:type="dxa"/>
            </w:tcMar>
          </w:tcPr>
          <w:p w14:paraId="3192ABD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Sample Size (N)</w:t>
            </w:r>
          </w:p>
        </w:tc>
        <w:tc>
          <w:tcPr>
            <w:tcW w:w="1824" w:type="dxa"/>
            <w:gridSpan w:val="2"/>
            <w:shd w:val="clear" w:color="auto" w:fill="F2F2F2"/>
            <w:tcMar>
              <w:top w:w="0" w:type="dxa"/>
              <w:left w:w="0" w:type="dxa"/>
              <w:bottom w:w="0" w:type="dxa"/>
              <w:right w:w="0" w:type="dxa"/>
            </w:tcMar>
          </w:tcPr>
          <w:p w14:paraId="62D8213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Age (Years)</w:t>
            </w:r>
          </w:p>
        </w:tc>
        <w:tc>
          <w:tcPr>
            <w:tcW w:w="1714" w:type="dxa"/>
            <w:gridSpan w:val="2"/>
            <w:shd w:val="clear" w:color="auto" w:fill="F2F2F2"/>
            <w:tcMar>
              <w:top w:w="0" w:type="dxa"/>
              <w:left w:w="0" w:type="dxa"/>
              <w:bottom w:w="0" w:type="dxa"/>
              <w:right w:w="0" w:type="dxa"/>
            </w:tcMar>
          </w:tcPr>
          <w:p w14:paraId="188006D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Gender (</w:t>
            </w:r>
            <w:proofErr w:type="gramStart"/>
            <w:r w:rsidRPr="00381F74">
              <w:rPr>
                <w:rFonts w:asciiTheme="majorBidi" w:eastAsia="Lexend" w:hAnsiTheme="majorBidi" w:cstheme="majorBidi"/>
                <w:sz w:val="18"/>
                <w:szCs w:val="18"/>
              </w:rPr>
              <w:t>M:F</w:t>
            </w:r>
            <w:proofErr w:type="gramEnd"/>
            <w:r w:rsidRPr="00381F74">
              <w:rPr>
                <w:rFonts w:asciiTheme="majorBidi" w:eastAsia="Lexend" w:hAnsiTheme="majorBidi" w:cstheme="majorBidi"/>
                <w:sz w:val="18"/>
                <w:szCs w:val="18"/>
              </w:rPr>
              <w:t>)</w:t>
            </w:r>
          </w:p>
        </w:tc>
        <w:tc>
          <w:tcPr>
            <w:tcW w:w="1599" w:type="dxa"/>
            <w:gridSpan w:val="2"/>
            <w:shd w:val="clear" w:color="auto" w:fill="F2F2F2"/>
            <w:tcMar>
              <w:top w:w="0" w:type="dxa"/>
              <w:left w:w="0" w:type="dxa"/>
              <w:bottom w:w="0" w:type="dxa"/>
              <w:right w:w="0" w:type="dxa"/>
            </w:tcMar>
          </w:tcPr>
          <w:p w14:paraId="02932C3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BMI (kg/m²)</w:t>
            </w:r>
          </w:p>
        </w:tc>
        <w:tc>
          <w:tcPr>
            <w:tcW w:w="1579" w:type="dxa"/>
            <w:gridSpan w:val="2"/>
            <w:shd w:val="clear" w:color="auto" w:fill="F2F2F2"/>
            <w:tcMar>
              <w:top w:w="0" w:type="dxa"/>
              <w:left w:w="0" w:type="dxa"/>
              <w:bottom w:w="0" w:type="dxa"/>
              <w:right w:w="0" w:type="dxa"/>
            </w:tcMar>
          </w:tcPr>
          <w:p w14:paraId="6314FA9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HbA1c (%)</w:t>
            </w:r>
          </w:p>
        </w:tc>
        <w:tc>
          <w:tcPr>
            <w:tcW w:w="1539" w:type="dxa"/>
            <w:gridSpan w:val="2"/>
            <w:shd w:val="clear" w:color="auto" w:fill="F2F2F2"/>
            <w:tcMar>
              <w:top w:w="0" w:type="dxa"/>
              <w:left w:w="0" w:type="dxa"/>
              <w:bottom w:w="0" w:type="dxa"/>
              <w:right w:w="0" w:type="dxa"/>
            </w:tcMar>
          </w:tcPr>
          <w:p w14:paraId="16123D0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Duration of Diabetes</w:t>
            </w:r>
          </w:p>
        </w:tc>
        <w:tc>
          <w:tcPr>
            <w:tcW w:w="680" w:type="dxa"/>
            <w:shd w:val="clear" w:color="auto" w:fill="F2F2F2"/>
            <w:tcMar>
              <w:top w:w="0" w:type="dxa"/>
              <w:left w:w="0" w:type="dxa"/>
              <w:bottom w:w="0" w:type="dxa"/>
              <w:right w:w="0" w:type="dxa"/>
            </w:tcMar>
          </w:tcPr>
          <w:p w14:paraId="54BB178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Follow up</w:t>
            </w:r>
          </w:p>
        </w:tc>
      </w:tr>
      <w:tr w:rsidR="009A4123" w:rsidRPr="00381F74" w14:paraId="56EB43AB" w14:textId="77777777" w:rsidTr="00381F74">
        <w:tc>
          <w:tcPr>
            <w:tcW w:w="990" w:type="dxa"/>
            <w:vMerge/>
            <w:shd w:val="clear" w:color="auto" w:fill="F2F2F2"/>
            <w:tcMar>
              <w:top w:w="0" w:type="dxa"/>
              <w:left w:w="0" w:type="dxa"/>
              <w:bottom w:w="0" w:type="dxa"/>
              <w:right w:w="0" w:type="dxa"/>
            </w:tcMar>
          </w:tcPr>
          <w:p w14:paraId="2315AC82"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899" w:type="dxa"/>
            <w:vMerge/>
            <w:shd w:val="clear" w:color="auto" w:fill="F2F2F2"/>
            <w:tcMar>
              <w:top w:w="0" w:type="dxa"/>
              <w:left w:w="0" w:type="dxa"/>
              <w:bottom w:w="0" w:type="dxa"/>
              <w:right w:w="0" w:type="dxa"/>
            </w:tcMar>
          </w:tcPr>
          <w:p w14:paraId="1187B9C4"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989" w:type="dxa"/>
            <w:vMerge/>
            <w:shd w:val="clear" w:color="auto" w:fill="F2F2F2"/>
            <w:tcMar>
              <w:top w:w="0" w:type="dxa"/>
              <w:left w:w="0" w:type="dxa"/>
              <w:bottom w:w="0" w:type="dxa"/>
              <w:right w:w="0" w:type="dxa"/>
            </w:tcMar>
          </w:tcPr>
          <w:p w14:paraId="1EEE5312"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1259" w:type="dxa"/>
            <w:vMerge/>
            <w:shd w:val="clear" w:color="auto" w:fill="F2F2F2"/>
            <w:tcMar>
              <w:top w:w="0" w:type="dxa"/>
              <w:left w:w="0" w:type="dxa"/>
              <w:bottom w:w="0" w:type="dxa"/>
              <w:right w:w="0" w:type="dxa"/>
            </w:tcMar>
          </w:tcPr>
          <w:p w14:paraId="647729DF"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1169" w:type="dxa"/>
            <w:vMerge/>
            <w:shd w:val="clear" w:color="auto" w:fill="F2F2F2"/>
            <w:tcMar>
              <w:top w:w="0" w:type="dxa"/>
              <w:left w:w="0" w:type="dxa"/>
              <w:bottom w:w="0" w:type="dxa"/>
              <w:right w:w="0" w:type="dxa"/>
            </w:tcMar>
          </w:tcPr>
          <w:p w14:paraId="4A8E30D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
        </w:tc>
        <w:tc>
          <w:tcPr>
            <w:tcW w:w="1079" w:type="dxa"/>
            <w:shd w:val="clear" w:color="auto" w:fill="F2F2F2"/>
            <w:tcMar>
              <w:top w:w="0" w:type="dxa"/>
              <w:left w:w="0" w:type="dxa"/>
              <w:bottom w:w="0" w:type="dxa"/>
              <w:right w:w="0" w:type="dxa"/>
            </w:tcMar>
          </w:tcPr>
          <w:p w14:paraId="4BF3B5D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790" w:type="dxa"/>
            <w:shd w:val="clear" w:color="auto" w:fill="F2F2F2"/>
            <w:tcMar>
              <w:top w:w="0" w:type="dxa"/>
              <w:left w:w="0" w:type="dxa"/>
              <w:bottom w:w="0" w:type="dxa"/>
              <w:right w:w="0" w:type="dxa"/>
            </w:tcMar>
          </w:tcPr>
          <w:p w14:paraId="5F93D2D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924" w:type="dxa"/>
            <w:shd w:val="clear" w:color="auto" w:fill="F2F2F2"/>
            <w:tcMar>
              <w:top w:w="0" w:type="dxa"/>
              <w:left w:w="0" w:type="dxa"/>
              <w:bottom w:w="0" w:type="dxa"/>
              <w:right w:w="0" w:type="dxa"/>
            </w:tcMar>
          </w:tcPr>
          <w:p w14:paraId="450D7FB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900" w:type="dxa"/>
            <w:shd w:val="clear" w:color="auto" w:fill="F2F2F2"/>
            <w:tcMar>
              <w:top w:w="0" w:type="dxa"/>
              <w:left w:w="0" w:type="dxa"/>
              <w:bottom w:w="0" w:type="dxa"/>
              <w:right w:w="0" w:type="dxa"/>
            </w:tcMar>
          </w:tcPr>
          <w:p w14:paraId="31E96CF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989" w:type="dxa"/>
            <w:shd w:val="clear" w:color="auto" w:fill="F2F2F2"/>
            <w:tcMar>
              <w:top w:w="0" w:type="dxa"/>
              <w:left w:w="0" w:type="dxa"/>
              <w:bottom w:w="0" w:type="dxa"/>
              <w:right w:w="0" w:type="dxa"/>
            </w:tcMar>
          </w:tcPr>
          <w:p w14:paraId="63071A1F" w14:textId="77777777" w:rsidR="009A4123" w:rsidRPr="00381F74" w:rsidRDefault="009A4123" w:rsidP="009826F5">
            <w:pPr>
              <w:widowControl w:val="0"/>
              <w:spacing w:after="120" w:line="360" w:lineRule="auto"/>
              <w:ind w:right="-10"/>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725" w:type="dxa"/>
            <w:shd w:val="clear" w:color="auto" w:fill="F2F2F2"/>
            <w:tcMar>
              <w:top w:w="0" w:type="dxa"/>
              <w:left w:w="0" w:type="dxa"/>
              <w:bottom w:w="0" w:type="dxa"/>
              <w:right w:w="0" w:type="dxa"/>
            </w:tcMar>
          </w:tcPr>
          <w:p w14:paraId="22820CE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959" w:type="dxa"/>
            <w:shd w:val="clear" w:color="auto" w:fill="F2F2F2"/>
            <w:tcMar>
              <w:top w:w="0" w:type="dxa"/>
              <w:left w:w="0" w:type="dxa"/>
              <w:bottom w:w="0" w:type="dxa"/>
              <w:right w:w="0" w:type="dxa"/>
            </w:tcMar>
          </w:tcPr>
          <w:p w14:paraId="7235B42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640" w:type="dxa"/>
            <w:shd w:val="clear" w:color="auto" w:fill="F2F2F2"/>
            <w:tcMar>
              <w:top w:w="0" w:type="dxa"/>
              <w:left w:w="0" w:type="dxa"/>
              <w:bottom w:w="0" w:type="dxa"/>
              <w:right w:w="0" w:type="dxa"/>
            </w:tcMar>
          </w:tcPr>
          <w:p w14:paraId="114C81B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979" w:type="dxa"/>
            <w:shd w:val="clear" w:color="auto" w:fill="F2F2F2"/>
            <w:tcMar>
              <w:top w:w="0" w:type="dxa"/>
              <w:left w:w="0" w:type="dxa"/>
              <w:bottom w:w="0" w:type="dxa"/>
              <w:right w:w="0" w:type="dxa"/>
            </w:tcMar>
          </w:tcPr>
          <w:p w14:paraId="3F197C5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600" w:type="dxa"/>
            <w:shd w:val="clear" w:color="auto" w:fill="F2F2F2"/>
            <w:tcMar>
              <w:top w:w="0" w:type="dxa"/>
              <w:left w:w="0" w:type="dxa"/>
              <w:bottom w:w="0" w:type="dxa"/>
              <w:right w:w="0" w:type="dxa"/>
            </w:tcMar>
          </w:tcPr>
          <w:p w14:paraId="4FC3B8D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859" w:type="dxa"/>
            <w:shd w:val="clear" w:color="auto" w:fill="F2F2F2"/>
            <w:tcMar>
              <w:top w:w="0" w:type="dxa"/>
              <w:left w:w="0" w:type="dxa"/>
              <w:bottom w:w="0" w:type="dxa"/>
              <w:right w:w="0" w:type="dxa"/>
            </w:tcMar>
          </w:tcPr>
          <w:p w14:paraId="46B7950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Intervention</w:t>
            </w:r>
          </w:p>
        </w:tc>
        <w:tc>
          <w:tcPr>
            <w:tcW w:w="680" w:type="dxa"/>
            <w:shd w:val="clear" w:color="auto" w:fill="F2F2F2"/>
            <w:tcMar>
              <w:top w:w="0" w:type="dxa"/>
              <w:left w:w="0" w:type="dxa"/>
              <w:bottom w:w="0" w:type="dxa"/>
              <w:right w:w="0" w:type="dxa"/>
            </w:tcMar>
          </w:tcPr>
          <w:p w14:paraId="0BDC5CD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Control</w:t>
            </w:r>
          </w:p>
        </w:tc>
        <w:tc>
          <w:tcPr>
            <w:tcW w:w="680" w:type="dxa"/>
            <w:vMerge w:val="restart"/>
            <w:shd w:val="clear" w:color="auto" w:fill="F2F2F2"/>
            <w:tcMar>
              <w:top w:w="0" w:type="dxa"/>
              <w:left w:w="0" w:type="dxa"/>
              <w:bottom w:w="0" w:type="dxa"/>
              <w:right w:w="0" w:type="dxa"/>
            </w:tcMar>
          </w:tcPr>
          <w:p w14:paraId="1FE2B29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
        </w:tc>
      </w:tr>
      <w:tr w:rsidR="009A4123" w:rsidRPr="00381F74" w14:paraId="7437342D" w14:textId="77777777" w:rsidTr="00381F74">
        <w:tc>
          <w:tcPr>
            <w:tcW w:w="990" w:type="dxa"/>
            <w:vMerge/>
            <w:shd w:val="clear" w:color="auto" w:fill="F2F2F2"/>
            <w:tcMar>
              <w:top w:w="0" w:type="dxa"/>
              <w:left w:w="0" w:type="dxa"/>
              <w:bottom w:w="0" w:type="dxa"/>
              <w:right w:w="0" w:type="dxa"/>
            </w:tcMar>
          </w:tcPr>
          <w:p w14:paraId="1A8FE305"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899" w:type="dxa"/>
            <w:vMerge/>
            <w:shd w:val="clear" w:color="auto" w:fill="F2F2F2"/>
            <w:tcMar>
              <w:top w:w="0" w:type="dxa"/>
              <w:left w:w="0" w:type="dxa"/>
              <w:bottom w:w="0" w:type="dxa"/>
              <w:right w:w="0" w:type="dxa"/>
            </w:tcMar>
          </w:tcPr>
          <w:p w14:paraId="1D04FFE0"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989" w:type="dxa"/>
            <w:vMerge/>
            <w:shd w:val="clear" w:color="auto" w:fill="F2F2F2"/>
            <w:tcMar>
              <w:top w:w="0" w:type="dxa"/>
              <w:left w:w="0" w:type="dxa"/>
              <w:bottom w:w="0" w:type="dxa"/>
              <w:right w:w="0" w:type="dxa"/>
            </w:tcMar>
          </w:tcPr>
          <w:p w14:paraId="63D8EBAC"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1259" w:type="dxa"/>
            <w:vMerge/>
            <w:shd w:val="clear" w:color="auto" w:fill="F2F2F2"/>
            <w:tcMar>
              <w:top w:w="0" w:type="dxa"/>
              <w:left w:w="0" w:type="dxa"/>
              <w:bottom w:w="0" w:type="dxa"/>
              <w:right w:w="0" w:type="dxa"/>
            </w:tcMar>
          </w:tcPr>
          <w:p w14:paraId="13FBA177"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c>
          <w:tcPr>
            <w:tcW w:w="1169" w:type="dxa"/>
            <w:vMerge/>
            <w:shd w:val="clear" w:color="auto" w:fill="F2F2F2"/>
            <w:tcMar>
              <w:top w:w="0" w:type="dxa"/>
              <w:left w:w="0" w:type="dxa"/>
              <w:bottom w:w="0" w:type="dxa"/>
              <w:right w:w="0" w:type="dxa"/>
            </w:tcMar>
          </w:tcPr>
          <w:p w14:paraId="376E0D3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
        </w:tc>
        <w:tc>
          <w:tcPr>
            <w:tcW w:w="1079" w:type="dxa"/>
            <w:shd w:val="clear" w:color="auto" w:fill="F2F2F2"/>
            <w:tcMar>
              <w:top w:w="0" w:type="dxa"/>
              <w:left w:w="0" w:type="dxa"/>
              <w:bottom w:w="0" w:type="dxa"/>
              <w:right w:w="0" w:type="dxa"/>
            </w:tcMar>
          </w:tcPr>
          <w:p w14:paraId="13FD357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790" w:type="dxa"/>
            <w:shd w:val="clear" w:color="auto" w:fill="F2F2F2"/>
            <w:tcMar>
              <w:top w:w="0" w:type="dxa"/>
              <w:left w:w="0" w:type="dxa"/>
              <w:bottom w:w="0" w:type="dxa"/>
              <w:right w:w="0" w:type="dxa"/>
            </w:tcMar>
          </w:tcPr>
          <w:p w14:paraId="73FA060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924" w:type="dxa"/>
            <w:shd w:val="clear" w:color="auto" w:fill="F2F2F2"/>
            <w:tcMar>
              <w:top w:w="0" w:type="dxa"/>
              <w:left w:w="0" w:type="dxa"/>
              <w:bottom w:w="0" w:type="dxa"/>
              <w:right w:w="0" w:type="dxa"/>
            </w:tcMar>
          </w:tcPr>
          <w:p w14:paraId="59C7146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900" w:type="dxa"/>
            <w:shd w:val="clear" w:color="auto" w:fill="F2F2F2"/>
            <w:tcMar>
              <w:top w:w="0" w:type="dxa"/>
              <w:left w:w="0" w:type="dxa"/>
              <w:bottom w:w="0" w:type="dxa"/>
              <w:right w:w="0" w:type="dxa"/>
            </w:tcMar>
          </w:tcPr>
          <w:p w14:paraId="4566EB5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989" w:type="dxa"/>
            <w:shd w:val="clear" w:color="auto" w:fill="F2F2F2"/>
            <w:tcMar>
              <w:top w:w="0" w:type="dxa"/>
              <w:left w:w="0" w:type="dxa"/>
              <w:bottom w:w="0" w:type="dxa"/>
              <w:right w:w="0" w:type="dxa"/>
            </w:tcMar>
          </w:tcPr>
          <w:p w14:paraId="18604C3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725" w:type="dxa"/>
            <w:shd w:val="clear" w:color="auto" w:fill="F2F2F2"/>
            <w:tcMar>
              <w:top w:w="0" w:type="dxa"/>
              <w:left w:w="0" w:type="dxa"/>
              <w:bottom w:w="0" w:type="dxa"/>
              <w:right w:w="0" w:type="dxa"/>
            </w:tcMar>
          </w:tcPr>
          <w:p w14:paraId="4158B65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959" w:type="dxa"/>
            <w:shd w:val="clear" w:color="auto" w:fill="F2F2F2"/>
            <w:tcMar>
              <w:top w:w="0" w:type="dxa"/>
              <w:left w:w="0" w:type="dxa"/>
              <w:bottom w:w="0" w:type="dxa"/>
              <w:right w:w="0" w:type="dxa"/>
            </w:tcMar>
          </w:tcPr>
          <w:p w14:paraId="03590C9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640" w:type="dxa"/>
            <w:shd w:val="clear" w:color="auto" w:fill="F2F2F2"/>
            <w:tcMar>
              <w:top w:w="0" w:type="dxa"/>
              <w:left w:w="0" w:type="dxa"/>
              <w:bottom w:w="0" w:type="dxa"/>
              <w:right w:w="0" w:type="dxa"/>
            </w:tcMar>
          </w:tcPr>
          <w:p w14:paraId="0A43D70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979" w:type="dxa"/>
            <w:shd w:val="clear" w:color="auto" w:fill="F2F2F2"/>
            <w:tcMar>
              <w:top w:w="0" w:type="dxa"/>
              <w:left w:w="0" w:type="dxa"/>
              <w:bottom w:w="0" w:type="dxa"/>
              <w:right w:w="0" w:type="dxa"/>
            </w:tcMar>
          </w:tcPr>
          <w:p w14:paraId="679D759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600" w:type="dxa"/>
            <w:shd w:val="clear" w:color="auto" w:fill="F2F2F2"/>
            <w:tcMar>
              <w:top w:w="0" w:type="dxa"/>
              <w:left w:w="0" w:type="dxa"/>
              <w:bottom w:w="0" w:type="dxa"/>
              <w:right w:w="0" w:type="dxa"/>
            </w:tcMar>
          </w:tcPr>
          <w:p w14:paraId="1EB535B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Number</w:t>
            </w:r>
          </w:p>
        </w:tc>
        <w:tc>
          <w:tcPr>
            <w:tcW w:w="859" w:type="dxa"/>
            <w:shd w:val="clear" w:color="auto" w:fill="F2F2F2"/>
            <w:tcMar>
              <w:top w:w="0" w:type="dxa"/>
              <w:left w:w="0" w:type="dxa"/>
              <w:bottom w:w="0" w:type="dxa"/>
              <w:right w:w="0" w:type="dxa"/>
            </w:tcMar>
          </w:tcPr>
          <w:p w14:paraId="18C9B30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680" w:type="dxa"/>
            <w:shd w:val="clear" w:color="auto" w:fill="F2F2F2"/>
            <w:tcMar>
              <w:top w:w="0" w:type="dxa"/>
              <w:left w:w="0" w:type="dxa"/>
              <w:bottom w:w="0" w:type="dxa"/>
              <w:right w:w="0" w:type="dxa"/>
            </w:tcMar>
          </w:tcPr>
          <w:p w14:paraId="0CE590A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Mean ± SD</w:t>
            </w:r>
          </w:p>
        </w:tc>
        <w:tc>
          <w:tcPr>
            <w:tcW w:w="680" w:type="dxa"/>
            <w:vMerge/>
            <w:shd w:val="clear" w:color="auto" w:fill="F2F2F2"/>
            <w:tcMar>
              <w:top w:w="0" w:type="dxa"/>
              <w:left w:w="0" w:type="dxa"/>
              <w:bottom w:w="0" w:type="dxa"/>
              <w:right w:w="0" w:type="dxa"/>
            </w:tcMar>
          </w:tcPr>
          <w:p w14:paraId="5DE9FA61" w14:textId="77777777" w:rsidR="009A4123" w:rsidRPr="00381F74" w:rsidRDefault="009A4123" w:rsidP="00C208BC">
            <w:pPr>
              <w:widowControl w:val="0"/>
              <w:spacing w:after="120" w:line="360" w:lineRule="auto"/>
              <w:rPr>
                <w:rFonts w:asciiTheme="majorBidi" w:eastAsia="Lexend" w:hAnsiTheme="majorBidi" w:cstheme="majorBidi"/>
                <w:sz w:val="18"/>
                <w:szCs w:val="18"/>
              </w:rPr>
            </w:pPr>
          </w:p>
        </w:tc>
      </w:tr>
      <w:tr w:rsidR="00381F74" w:rsidRPr="00381F74" w14:paraId="2D623D79" w14:textId="77777777" w:rsidTr="00381F74">
        <w:trPr>
          <w:trHeight w:val="180"/>
        </w:trPr>
        <w:tc>
          <w:tcPr>
            <w:tcW w:w="990" w:type="dxa"/>
            <w:tcMar>
              <w:top w:w="0" w:type="dxa"/>
              <w:left w:w="0" w:type="dxa"/>
              <w:bottom w:w="0" w:type="dxa"/>
              <w:right w:w="0" w:type="dxa"/>
            </w:tcMar>
          </w:tcPr>
          <w:p w14:paraId="04D9937E"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Mehta 2021</w:t>
            </w:r>
          </w:p>
        </w:tc>
        <w:tc>
          <w:tcPr>
            <w:tcW w:w="899" w:type="dxa"/>
            <w:tcMar>
              <w:top w:w="0" w:type="dxa"/>
              <w:left w:w="0" w:type="dxa"/>
              <w:bottom w:w="0" w:type="dxa"/>
              <w:right w:w="0" w:type="dxa"/>
            </w:tcMar>
          </w:tcPr>
          <w:p w14:paraId="29FC070A"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India</w:t>
            </w:r>
          </w:p>
        </w:tc>
        <w:tc>
          <w:tcPr>
            <w:tcW w:w="989" w:type="dxa"/>
            <w:tcMar>
              <w:top w:w="0" w:type="dxa"/>
              <w:left w:w="0" w:type="dxa"/>
              <w:bottom w:w="0" w:type="dxa"/>
              <w:right w:w="0" w:type="dxa"/>
            </w:tcMar>
          </w:tcPr>
          <w:p w14:paraId="44A6E24D"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RCT</w:t>
            </w:r>
          </w:p>
        </w:tc>
        <w:tc>
          <w:tcPr>
            <w:tcW w:w="1259" w:type="dxa"/>
            <w:tcMar>
              <w:top w:w="0" w:type="dxa"/>
              <w:left w:w="0" w:type="dxa"/>
              <w:bottom w:w="0" w:type="dxa"/>
              <w:right w:w="0" w:type="dxa"/>
            </w:tcMar>
          </w:tcPr>
          <w:p w14:paraId="48D8460C" w14:textId="634494C2"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Empagliflozin 25 mg once daily </w:t>
            </w:r>
          </w:p>
        </w:tc>
        <w:tc>
          <w:tcPr>
            <w:tcW w:w="1169" w:type="dxa"/>
            <w:tcMar>
              <w:top w:w="0" w:type="dxa"/>
              <w:left w:w="0" w:type="dxa"/>
              <w:bottom w:w="0" w:type="dxa"/>
              <w:right w:w="0" w:type="dxa"/>
            </w:tcMar>
          </w:tcPr>
          <w:p w14:paraId="2C042416" w14:textId="5534FD24"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Oral hypoglycemic agents</w:t>
            </w:r>
          </w:p>
        </w:tc>
        <w:tc>
          <w:tcPr>
            <w:tcW w:w="1079" w:type="dxa"/>
            <w:tcMar>
              <w:top w:w="0" w:type="dxa"/>
              <w:left w:w="0" w:type="dxa"/>
              <w:bottom w:w="0" w:type="dxa"/>
              <w:right w:w="0" w:type="dxa"/>
            </w:tcMar>
          </w:tcPr>
          <w:p w14:paraId="35E91EC8" w14:textId="3D8CF0A9"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50</w:t>
            </w:r>
          </w:p>
        </w:tc>
        <w:tc>
          <w:tcPr>
            <w:tcW w:w="790" w:type="dxa"/>
            <w:tcMar>
              <w:top w:w="0" w:type="dxa"/>
              <w:left w:w="0" w:type="dxa"/>
              <w:bottom w:w="0" w:type="dxa"/>
              <w:right w:w="0" w:type="dxa"/>
            </w:tcMar>
          </w:tcPr>
          <w:p w14:paraId="4B4EC0BD"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50</w:t>
            </w:r>
          </w:p>
        </w:tc>
        <w:tc>
          <w:tcPr>
            <w:tcW w:w="1824" w:type="dxa"/>
            <w:gridSpan w:val="2"/>
            <w:tcMar>
              <w:top w:w="0" w:type="dxa"/>
              <w:left w:w="0" w:type="dxa"/>
              <w:bottom w:w="0" w:type="dxa"/>
              <w:right w:w="0" w:type="dxa"/>
            </w:tcMar>
          </w:tcPr>
          <w:p w14:paraId="18DBAB90" w14:textId="241F9716"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50 ± 6.2 (Overall) </w:t>
            </w:r>
          </w:p>
        </w:tc>
        <w:tc>
          <w:tcPr>
            <w:tcW w:w="989" w:type="dxa"/>
            <w:tcMar>
              <w:top w:w="0" w:type="dxa"/>
              <w:left w:w="0" w:type="dxa"/>
              <w:bottom w:w="0" w:type="dxa"/>
              <w:right w:w="0" w:type="dxa"/>
            </w:tcMar>
          </w:tcPr>
          <w:p w14:paraId="3E518463" w14:textId="158672C9"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30:20</w:t>
            </w:r>
          </w:p>
        </w:tc>
        <w:tc>
          <w:tcPr>
            <w:tcW w:w="725" w:type="dxa"/>
            <w:tcMar>
              <w:top w:w="0" w:type="dxa"/>
              <w:left w:w="0" w:type="dxa"/>
              <w:bottom w:w="0" w:type="dxa"/>
              <w:right w:w="0" w:type="dxa"/>
            </w:tcMar>
          </w:tcPr>
          <w:p w14:paraId="585091F8"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29:21</w:t>
            </w:r>
          </w:p>
        </w:tc>
        <w:tc>
          <w:tcPr>
            <w:tcW w:w="959" w:type="dxa"/>
            <w:tcMar>
              <w:top w:w="0" w:type="dxa"/>
              <w:left w:w="0" w:type="dxa"/>
              <w:bottom w:w="0" w:type="dxa"/>
              <w:right w:w="0" w:type="dxa"/>
            </w:tcMar>
          </w:tcPr>
          <w:p w14:paraId="25FCC64A" w14:textId="11889C0B"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28.9 ± 0.7 </w:t>
            </w:r>
          </w:p>
        </w:tc>
        <w:tc>
          <w:tcPr>
            <w:tcW w:w="640" w:type="dxa"/>
            <w:tcMar>
              <w:top w:w="0" w:type="dxa"/>
              <w:left w:w="0" w:type="dxa"/>
              <w:bottom w:w="0" w:type="dxa"/>
              <w:right w:w="0" w:type="dxa"/>
            </w:tcMar>
          </w:tcPr>
          <w:p w14:paraId="6D4FCDA3"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26.9 ± 0.5 </w:t>
            </w:r>
          </w:p>
        </w:tc>
        <w:tc>
          <w:tcPr>
            <w:tcW w:w="979" w:type="dxa"/>
            <w:tcMar>
              <w:top w:w="0" w:type="dxa"/>
              <w:left w:w="0" w:type="dxa"/>
              <w:bottom w:w="0" w:type="dxa"/>
              <w:right w:w="0" w:type="dxa"/>
            </w:tcMar>
          </w:tcPr>
          <w:p w14:paraId="2990CE5E" w14:textId="61EE42CA"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14.04 ± 3.1 </w:t>
            </w:r>
          </w:p>
        </w:tc>
        <w:tc>
          <w:tcPr>
            <w:tcW w:w="600" w:type="dxa"/>
            <w:tcMar>
              <w:top w:w="0" w:type="dxa"/>
              <w:left w:w="0" w:type="dxa"/>
              <w:bottom w:w="0" w:type="dxa"/>
              <w:right w:w="0" w:type="dxa"/>
            </w:tcMar>
          </w:tcPr>
          <w:p w14:paraId="3349B235"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13.78 ± 2.9 </w:t>
            </w:r>
          </w:p>
        </w:tc>
        <w:tc>
          <w:tcPr>
            <w:tcW w:w="1539" w:type="dxa"/>
            <w:gridSpan w:val="2"/>
            <w:tcMar>
              <w:top w:w="0" w:type="dxa"/>
              <w:left w:w="0" w:type="dxa"/>
              <w:bottom w:w="0" w:type="dxa"/>
              <w:right w:w="0" w:type="dxa"/>
            </w:tcMar>
          </w:tcPr>
          <w:p w14:paraId="1E200C03"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15 ± 4.5 (Overall) </w:t>
            </w:r>
          </w:p>
          <w:p w14:paraId="4E79A3D6"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p>
        </w:tc>
        <w:tc>
          <w:tcPr>
            <w:tcW w:w="680" w:type="dxa"/>
            <w:tcMar>
              <w:top w:w="0" w:type="dxa"/>
              <w:left w:w="0" w:type="dxa"/>
              <w:bottom w:w="0" w:type="dxa"/>
              <w:right w:w="0" w:type="dxa"/>
            </w:tcMar>
          </w:tcPr>
          <w:p w14:paraId="2B8F23EE" w14:textId="77777777" w:rsidR="00381F74" w:rsidRPr="00381F74" w:rsidRDefault="00381F74"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6 months</w:t>
            </w:r>
          </w:p>
        </w:tc>
      </w:tr>
      <w:tr w:rsidR="009A4123" w:rsidRPr="00381F74" w14:paraId="75E07455" w14:textId="77777777" w:rsidTr="00381F74">
        <w:trPr>
          <w:trHeight w:val="921"/>
        </w:trPr>
        <w:tc>
          <w:tcPr>
            <w:tcW w:w="990" w:type="dxa"/>
            <w:tcMar>
              <w:top w:w="0" w:type="dxa"/>
              <w:left w:w="0" w:type="dxa"/>
              <w:bottom w:w="0" w:type="dxa"/>
              <w:right w:w="0" w:type="dxa"/>
            </w:tcMar>
          </w:tcPr>
          <w:p w14:paraId="2CDD26E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Liao 2022</w:t>
            </w:r>
          </w:p>
        </w:tc>
        <w:tc>
          <w:tcPr>
            <w:tcW w:w="899" w:type="dxa"/>
            <w:tcMar>
              <w:top w:w="0" w:type="dxa"/>
              <w:left w:w="0" w:type="dxa"/>
              <w:bottom w:w="0" w:type="dxa"/>
              <w:right w:w="0" w:type="dxa"/>
            </w:tcMar>
          </w:tcPr>
          <w:p w14:paraId="3B29F42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34 countries</w:t>
            </w:r>
          </w:p>
        </w:tc>
        <w:tc>
          <w:tcPr>
            <w:tcW w:w="989" w:type="dxa"/>
            <w:tcMar>
              <w:top w:w="0" w:type="dxa"/>
              <w:left w:w="0" w:type="dxa"/>
              <w:bottom w:w="0" w:type="dxa"/>
              <w:right w:w="0" w:type="dxa"/>
            </w:tcMar>
          </w:tcPr>
          <w:p w14:paraId="5388A1F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Post hoc RCT</w:t>
            </w:r>
          </w:p>
        </w:tc>
        <w:tc>
          <w:tcPr>
            <w:tcW w:w="1259" w:type="dxa"/>
            <w:tcMar>
              <w:top w:w="0" w:type="dxa"/>
              <w:left w:w="0" w:type="dxa"/>
              <w:bottom w:w="0" w:type="dxa"/>
              <w:right w:w="0" w:type="dxa"/>
            </w:tcMar>
          </w:tcPr>
          <w:p w14:paraId="13C4FB94"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Canagliflozin 100 mg</w:t>
            </w:r>
          </w:p>
        </w:tc>
        <w:tc>
          <w:tcPr>
            <w:tcW w:w="1169" w:type="dxa"/>
            <w:tcMar>
              <w:top w:w="0" w:type="dxa"/>
              <w:left w:w="0" w:type="dxa"/>
              <w:bottom w:w="0" w:type="dxa"/>
              <w:right w:w="0" w:type="dxa"/>
            </w:tcMar>
          </w:tcPr>
          <w:p w14:paraId="06F4274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Placebo</w:t>
            </w:r>
          </w:p>
        </w:tc>
        <w:tc>
          <w:tcPr>
            <w:tcW w:w="1079" w:type="dxa"/>
            <w:tcMar>
              <w:top w:w="0" w:type="dxa"/>
              <w:left w:w="0" w:type="dxa"/>
              <w:bottom w:w="0" w:type="dxa"/>
              <w:right w:w="0" w:type="dxa"/>
            </w:tcMar>
          </w:tcPr>
          <w:p w14:paraId="5F92647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2202</w:t>
            </w:r>
          </w:p>
        </w:tc>
        <w:tc>
          <w:tcPr>
            <w:tcW w:w="790" w:type="dxa"/>
            <w:tcMar>
              <w:top w:w="0" w:type="dxa"/>
              <w:left w:w="0" w:type="dxa"/>
              <w:bottom w:w="0" w:type="dxa"/>
              <w:right w:w="0" w:type="dxa"/>
            </w:tcMar>
          </w:tcPr>
          <w:p w14:paraId="0E260FF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2199</w:t>
            </w:r>
          </w:p>
        </w:tc>
        <w:tc>
          <w:tcPr>
            <w:tcW w:w="1824" w:type="dxa"/>
            <w:gridSpan w:val="2"/>
            <w:tcMar>
              <w:top w:w="0" w:type="dxa"/>
              <w:left w:w="0" w:type="dxa"/>
              <w:bottom w:w="0" w:type="dxa"/>
              <w:right w:w="0" w:type="dxa"/>
            </w:tcMar>
          </w:tcPr>
          <w:p w14:paraId="65402B0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63.0 ± 9.2 (Overall) </w:t>
            </w:r>
          </w:p>
        </w:tc>
        <w:tc>
          <w:tcPr>
            <w:tcW w:w="1714" w:type="dxa"/>
            <w:gridSpan w:val="2"/>
            <w:tcMar>
              <w:top w:w="0" w:type="dxa"/>
              <w:left w:w="0" w:type="dxa"/>
              <w:bottom w:w="0" w:type="dxa"/>
              <w:right w:w="0" w:type="dxa"/>
            </w:tcMar>
          </w:tcPr>
          <w:p w14:paraId="2402C2AF" w14:textId="2AAE8310"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2907:1494 (Overall)</w:t>
            </w:r>
          </w:p>
        </w:tc>
        <w:tc>
          <w:tcPr>
            <w:tcW w:w="1599" w:type="dxa"/>
            <w:gridSpan w:val="2"/>
            <w:tcMar>
              <w:top w:w="0" w:type="dxa"/>
              <w:left w:w="0" w:type="dxa"/>
              <w:bottom w:w="0" w:type="dxa"/>
              <w:right w:w="0" w:type="dxa"/>
            </w:tcMar>
          </w:tcPr>
          <w:p w14:paraId="4DC503E2" w14:textId="03E6BE61"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31.3 ± 6.2 (Overall) </w:t>
            </w:r>
          </w:p>
        </w:tc>
        <w:tc>
          <w:tcPr>
            <w:tcW w:w="1579" w:type="dxa"/>
            <w:gridSpan w:val="2"/>
            <w:tcMar>
              <w:top w:w="0" w:type="dxa"/>
              <w:left w:w="0" w:type="dxa"/>
              <w:bottom w:w="0" w:type="dxa"/>
              <w:right w:w="0" w:type="dxa"/>
            </w:tcMar>
          </w:tcPr>
          <w:p w14:paraId="2CAF48E7" w14:textId="2B075C6C"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8.3 ± 1.3 (Overall)</w:t>
            </w:r>
          </w:p>
        </w:tc>
        <w:tc>
          <w:tcPr>
            <w:tcW w:w="1539" w:type="dxa"/>
            <w:gridSpan w:val="2"/>
            <w:tcMar>
              <w:top w:w="0" w:type="dxa"/>
              <w:left w:w="0" w:type="dxa"/>
              <w:bottom w:w="0" w:type="dxa"/>
              <w:right w:w="0" w:type="dxa"/>
            </w:tcMar>
          </w:tcPr>
          <w:p w14:paraId="36A7C2A1" w14:textId="1CF62A7C"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15.8 ± 8.6 (Overall) </w:t>
            </w:r>
          </w:p>
        </w:tc>
        <w:tc>
          <w:tcPr>
            <w:tcW w:w="680" w:type="dxa"/>
            <w:tcMar>
              <w:top w:w="0" w:type="dxa"/>
              <w:left w:w="0" w:type="dxa"/>
              <w:bottom w:w="0" w:type="dxa"/>
              <w:right w:w="0" w:type="dxa"/>
            </w:tcMar>
          </w:tcPr>
          <w:p w14:paraId="5CE26F9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2.62 years</w:t>
            </w:r>
          </w:p>
        </w:tc>
      </w:tr>
      <w:tr w:rsidR="009A4123" w:rsidRPr="00381F74" w14:paraId="2B663094" w14:textId="77777777" w:rsidTr="00381F74">
        <w:tc>
          <w:tcPr>
            <w:tcW w:w="990" w:type="dxa"/>
            <w:tcMar>
              <w:top w:w="0" w:type="dxa"/>
              <w:left w:w="0" w:type="dxa"/>
              <w:bottom w:w="0" w:type="dxa"/>
              <w:right w:w="0" w:type="dxa"/>
            </w:tcMar>
          </w:tcPr>
          <w:p w14:paraId="3EDBD7B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Ishibashi 2022</w:t>
            </w:r>
          </w:p>
        </w:tc>
        <w:tc>
          <w:tcPr>
            <w:tcW w:w="899" w:type="dxa"/>
            <w:tcMar>
              <w:top w:w="0" w:type="dxa"/>
              <w:left w:w="0" w:type="dxa"/>
              <w:bottom w:w="0" w:type="dxa"/>
              <w:right w:w="0" w:type="dxa"/>
            </w:tcMar>
          </w:tcPr>
          <w:p w14:paraId="12EF649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Japan</w:t>
            </w:r>
          </w:p>
        </w:tc>
        <w:tc>
          <w:tcPr>
            <w:tcW w:w="989" w:type="dxa"/>
            <w:tcMar>
              <w:top w:w="0" w:type="dxa"/>
              <w:left w:w="0" w:type="dxa"/>
              <w:bottom w:w="0" w:type="dxa"/>
              <w:right w:w="0" w:type="dxa"/>
            </w:tcMar>
          </w:tcPr>
          <w:p w14:paraId="04F3D2C6" w14:textId="7A7678CB"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Prospective Cohort</w:t>
            </w:r>
          </w:p>
        </w:tc>
        <w:tc>
          <w:tcPr>
            <w:tcW w:w="1259" w:type="dxa"/>
            <w:tcMar>
              <w:top w:w="0" w:type="dxa"/>
              <w:left w:w="0" w:type="dxa"/>
              <w:bottom w:w="0" w:type="dxa"/>
              <w:right w:w="0" w:type="dxa"/>
            </w:tcMar>
          </w:tcPr>
          <w:p w14:paraId="5895FB1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SGLT2i inhibitors </w:t>
            </w:r>
          </w:p>
        </w:tc>
        <w:tc>
          <w:tcPr>
            <w:tcW w:w="1169" w:type="dxa"/>
            <w:tcMar>
              <w:top w:w="0" w:type="dxa"/>
              <w:left w:w="0" w:type="dxa"/>
              <w:bottom w:w="0" w:type="dxa"/>
              <w:right w:w="0" w:type="dxa"/>
            </w:tcMar>
          </w:tcPr>
          <w:p w14:paraId="0CCFC4E2" w14:textId="457A3998" w:rsidR="009A4123" w:rsidRPr="00381F74" w:rsidRDefault="009A4123" w:rsidP="009826F5">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 Standard car</w:t>
            </w:r>
            <w:r w:rsidR="009826F5" w:rsidRPr="00381F74">
              <w:rPr>
                <w:rFonts w:asciiTheme="majorBidi" w:eastAsia="Lexend" w:hAnsiTheme="majorBidi" w:cstheme="majorBidi"/>
                <w:sz w:val="18"/>
                <w:szCs w:val="18"/>
              </w:rPr>
              <w:t>e</w:t>
            </w:r>
            <w:r w:rsidRPr="00381F74">
              <w:rPr>
                <w:rFonts w:asciiTheme="majorBidi" w:eastAsia="Lexend" w:hAnsiTheme="majorBidi" w:cstheme="majorBidi"/>
                <w:sz w:val="18"/>
                <w:szCs w:val="18"/>
              </w:rPr>
              <w:t xml:space="preserve"> </w:t>
            </w:r>
          </w:p>
        </w:tc>
        <w:tc>
          <w:tcPr>
            <w:tcW w:w="1079" w:type="dxa"/>
            <w:tcMar>
              <w:top w:w="0" w:type="dxa"/>
              <w:left w:w="0" w:type="dxa"/>
              <w:bottom w:w="0" w:type="dxa"/>
              <w:right w:w="0" w:type="dxa"/>
            </w:tcMar>
          </w:tcPr>
          <w:p w14:paraId="19C0C5C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40</w:t>
            </w:r>
          </w:p>
        </w:tc>
        <w:tc>
          <w:tcPr>
            <w:tcW w:w="790" w:type="dxa"/>
            <w:tcMar>
              <w:top w:w="0" w:type="dxa"/>
              <w:left w:w="0" w:type="dxa"/>
              <w:bottom w:w="0" w:type="dxa"/>
              <w:right w:w="0" w:type="dxa"/>
            </w:tcMar>
          </w:tcPr>
          <w:p w14:paraId="1371300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73</w:t>
            </w:r>
          </w:p>
        </w:tc>
        <w:tc>
          <w:tcPr>
            <w:tcW w:w="924" w:type="dxa"/>
            <w:tcMar>
              <w:top w:w="0" w:type="dxa"/>
              <w:left w:w="0" w:type="dxa"/>
              <w:bottom w:w="0" w:type="dxa"/>
              <w:right w:w="0" w:type="dxa"/>
            </w:tcMar>
          </w:tcPr>
          <w:p w14:paraId="784D2FB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53.5 ± 1.2</w:t>
            </w:r>
          </w:p>
        </w:tc>
        <w:tc>
          <w:tcPr>
            <w:tcW w:w="900" w:type="dxa"/>
            <w:tcMar>
              <w:top w:w="0" w:type="dxa"/>
              <w:left w:w="0" w:type="dxa"/>
              <w:bottom w:w="0" w:type="dxa"/>
              <w:right w:w="0" w:type="dxa"/>
            </w:tcMar>
          </w:tcPr>
          <w:p w14:paraId="442DA81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53.7 ± 0.88</w:t>
            </w:r>
          </w:p>
        </w:tc>
        <w:tc>
          <w:tcPr>
            <w:tcW w:w="989" w:type="dxa"/>
            <w:tcMar>
              <w:top w:w="0" w:type="dxa"/>
              <w:left w:w="0" w:type="dxa"/>
              <w:bottom w:w="0" w:type="dxa"/>
              <w:right w:w="0" w:type="dxa"/>
            </w:tcMar>
          </w:tcPr>
          <w:p w14:paraId="2696AEB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28:12</w:t>
            </w:r>
          </w:p>
        </w:tc>
        <w:tc>
          <w:tcPr>
            <w:tcW w:w="725" w:type="dxa"/>
            <w:tcMar>
              <w:top w:w="0" w:type="dxa"/>
              <w:left w:w="0" w:type="dxa"/>
              <w:bottom w:w="0" w:type="dxa"/>
              <w:right w:w="0" w:type="dxa"/>
            </w:tcMar>
          </w:tcPr>
          <w:p w14:paraId="7DB9379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49:24 </w:t>
            </w:r>
          </w:p>
        </w:tc>
        <w:tc>
          <w:tcPr>
            <w:tcW w:w="959" w:type="dxa"/>
            <w:tcMar>
              <w:top w:w="0" w:type="dxa"/>
              <w:left w:w="0" w:type="dxa"/>
              <w:bottom w:w="0" w:type="dxa"/>
              <w:right w:w="0" w:type="dxa"/>
            </w:tcMar>
          </w:tcPr>
          <w:p w14:paraId="45973E0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30.1 ± 0.72 </w:t>
            </w:r>
          </w:p>
        </w:tc>
        <w:tc>
          <w:tcPr>
            <w:tcW w:w="640" w:type="dxa"/>
            <w:tcMar>
              <w:top w:w="0" w:type="dxa"/>
              <w:left w:w="0" w:type="dxa"/>
              <w:bottom w:w="0" w:type="dxa"/>
              <w:right w:w="0" w:type="dxa"/>
            </w:tcMar>
          </w:tcPr>
          <w:p w14:paraId="5634659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24.8 ± 0.43 </w:t>
            </w:r>
          </w:p>
        </w:tc>
        <w:tc>
          <w:tcPr>
            <w:tcW w:w="979" w:type="dxa"/>
            <w:tcMar>
              <w:top w:w="0" w:type="dxa"/>
              <w:left w:w="0" w:type="dxa"/>
              <w:bottom w:w="0" w:type="dxa"/>
              <w:right w:w="0" w:type="dxa"/>
            </w:tcMar>
          </w:tcPr>
          <w:p w14:paraId="332A4F2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8.2 ± 0.14 </w:t>
            </w:r>
          </w:p>
        </w:tc>
        <w:tc>
          <w:tcPr>
            <w:tcW w:w="600" w:type="dxa"/>
            <w:tcMar>
              <w:top w:w="0" w:type="dxa"/>
              <w:left w:w="0" w:type="dxa"/>
              <w:bottom w:w="0" w:type="dxa"/>
              <w:right w:w="0" w:type="dxa"/>
            </w:tcMar>
          </w:tcPr>
          <w:p w14:paraId="792AC02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8.2 ± 0.19 </w:t>
            </w:r>
          </w:p>
        </w:tc>
        <w:tc>
          <w:tcPr>
            <w:tcW w:w="859" w:type="dxa"/>
            <w:tcMar>
              <w:top w:w="0" w:type="dxa"/>
              <w:left w:w="0" w:type="dxa"/>
              <w:bottom w:w="0" w:type="dxa"/>
              <w:right w:w="0" w:type="dxa"/>
            </w:tcMar>
          </w:tcPr>
          <w:p w14:paraId="1BCA465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12.7 ± 1.1 </w:t>
            </w:r>
          </w:p>
        </w:tc>
        <w:tc>
          <w:tcPr>
            <w:tcW w:w="680" w:type="dxa"/>
            <w:tcMar>
              <w:top w:w="0" w:type="dxa"/>
              <w:left w:w="0" w:type="dxa"/>
              <w:bottom w:w="0" w:type="dxa"/>
              <w:right w:w="0" w:type="dxa"/>
            </w:tcMar>
          </w:tcPr>
          <w:p w14:paraId="39FA733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10.7 ± 0.9 </w:t>
            </w:r>
          </w:p>
        </w:tc>
        <w:tc>
          <w:tcPr>
            <w:tcW w:w="680" w:type="dxa"/>
            <w:tcMar>
              <w:top w:w="0" w:type="dxa"/>
              <w:left w:w="0" w:type="dxa"/>
              <w:bottom w:w="0" w:type="dxa"/>
              <w:right w:w="0" w:type="dxa"/>
            </w:tcMar>
          </w:tcPr>
          <w:p w14:paraId="5821FFF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3 years</w:t>
            </w:r>
          </w:p>
        </w:tc>
      </w:tr>
      <w:tr w:rsidR="009A4123" w:rsidRPr="00381F74" w14:paraId="7937D66D" w14:textId="77777777" w:rsidTr="00381F74">
        <w:tc>
          <w:tcPr>
            <w:tcW w:w="990" w:type="dxa"/>
            <w:tcMar>
              <w:top w:w="0" w:type="dxa"/>
              <w:left w:w="0" w:type="dxa"/>
              <w:bottom w:w="0" w:type="dxa"/>
              <w:right w:w="0" w:type="dxa"/>
            </w:tcMar>
          </w:tcPr>
          <w:p w14:paraId="0A6262E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El-Haggar 2024</w:t>
            </w:r>
          </w:p>
        </w:tc>
        <w:tc>
          <w:tcPr>
            <w:tcW w:w="899" w:type="dxa"/>
            <w:tcMar>
              <w:top w:w="0" w:type="dxa"/>
              <w:left w:w="0" w:type="dxa"/>
              <w:bottom w:w="0" w:type="dxa"/>
              <w:right w:w="0" w:type="dxa"/>
            </w:tcMar>
          </w:tcPr>
          <w:p w14:paraId="7B79EAA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Egypt</w:t>
            </w:r>
          </w:p>
        </w:tc>
        <w:tc>
          <w:tcPr>
            <w:tcW w:w="989" w:type="dxa"/>
            <w:tcMar>
              <w:top w:w="0" w:type="dxa"/>
              <w:left w:w="0" w:type="dxa"/>
              <w:bottom w:w="0" w:type="dxa"/>
              <w:right w:w="0" w:type="dxa"/>
            </w:tcMar>
          </w:tcPr>
          <w:p w14:paraId="0F2CBAC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RCT</w:t>
            </w:r>
          </w:p>
        </w:tc>
        <w:tc>
          <w:tcPr>
            <w:tcW w:w="1259" w:type="dxa"/>
            <w:tcMar>
              <w:top w:w="0" w:type="dxa"/>
              <w:left w:w="0" w:type="dxa"/>
              <w:bottom w:w="0" w:type="dxa"/>
              <w:right w:w="0" w:type="dxa"/>
            </w:tcMar>
          </w:tcPr>
          <w:p w14:paraId="5C51FF44"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Empagliflozin 25 mg</w:t>
            </w:r>
          </w:p>
        </w:tc>
        <w:tc>
          <w:tcPr>
            <w:tcW w:w="1169" w:type="dxa"/>
            <w:tcMar>
              <w:top w:w="0" w:type="dxa"/>
              <w:left w:w="0" w:type="dxa"/>
              <w:bottom w:w="0" w:type="dxa"/>
              <w:right w:w="0" w:type="dxa"/>
            </w:tcMar>
          </w:tcPr>
          <w:p w14:paraId="50BACB3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Placebo</w:t>
            </w:r>
          </w:p>
        </w:tc>
        <w:tc>
          <w:tcPr>
            <w:tcW w:w="1079" w:type="dxa"/>
            <w:tcMar>
              <w:top w:w="0" w:type="dxa"/>
              <w:left w:w="0" w:type="dxa"/>
              <w:bottom w:w="0" w:type="dxa"/>
              <w:right w:w="0" w:type="dxa"/>
            </w:tcMar>
          </w:tcPr>
          <w:p w14:paraId="2912CBF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25</w:t>
            </w:r>
          </w:p>
        </w:tc>
        <w:tc>
          <w:tcPr>
            <w:tcW w:w="790" w:type="dxa"/>
            <w:tcMar>
              <w:top w:w="0" w:type="dxa"/>
              <w:left w:w="0" w:type="dxa"/>
              <w:bottom w:w="0" w:type="dxa"/>
              <w:right w:w="0" w:type="dxa"/>
            </w:tcMar>
          </w:tcPr>
          <w:p w14:paraId="51273AB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25</w:t>
            </w:r>
          </w:p>
        </w:tc>
        <w:tc>
          <w:tcPr>
            <w:tcW w:w="924" w:type="dxa"/>
            <w:tcMar>
              <w:top w:w="0" w:type="dxa"/>
              <w:left w:w="0" w:type="dxa"/>
              <w:bottom w:w="0" w:type="dxa"/>
              <w:right w:w="0" w:type="dxa"/>
            </w:tcMar>
          </w:tcPr>
          <w:p w14:paraId="6904479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52.9 ± 6.29</w:t>
            </w:r>
          </w:p>
        </w:tc>
        <w:tc>
          <w:tcPr>
            <w:tcW w:w="900" w:type="dxa"/>
            <w:tcMar>
              <w:top w:w="0" w:type="dxa"/>
              <w:left w:w="0" w:type="dxa"/>
              <w:bottom w:w="0" w:type="dxa"/>
              <w:right w:w="0" w:type="dxa"/>
            </w:tcMar>
          </w:tcPr>
          <w:p w14:paraId="643C104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53.4 ± 6.16</w:t>
            </w:r>
          </w:p>
        </w:tc>
        <w:tc>
          <w:tcPr>
            <w:tcW w:w="989" w:type="dxa"/>
            <w:tcMar>
              <w:top w:w="0" w:type="dxa"/>
              <w:left w:w="0" w:type="dxa"/>
              <w:bottom w:w="0" w:type="dxa"/>
              <w:right w:w="0" w:type="dxa"/>
            </w:tcMar>
          </w:tcPr>
          <w:p w14:paraId="6F4A31A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725" w:type="dxa"/>
            <w:tcMar>
              <w:top w:w="0" w:type="dxa"/>
              <w:left w:w="0" w:type="dxa"/>
              <w:bottom w:w="0" w:type="dxa"/>
              <w:right w:w="0" w:type="dxa"/>
            </w:tcMar>
          </w:tcPr>
          <w:p w14:paraId="0C5F27F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959" w:type="dxa"/>
            <w:tcMar>
              <w:top w:w="0" w:type="dxa"/>
              <w:left w:w="0" w:type="dxa"/>
              <w:bottom w:w="0" w:type="dxa"/>
              <w:right w:w="0" w:type="dxa"/>
            </w:tcMar>
          </w:tcPr>
          <w:p w14:paraId="398DCC6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40" w:type="dxa"/>
            <w:tcMar>
              <w:top w:w="0" w:type="dxa"/>
              <w:left w:w="0" w:type="dxa"/>
              <w:bottom w:w="0" w:type="dxa"/>
              <w:right w:w="0" w:type="dxa"/>
            </w:tcMar>
          </w:tcPr>
          <w:p w14:paraId="0FE888A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979" w:type="dxa"/>
            <w:tcMar>
              <w:top w:w="0" w:type="dxa"/>
              <w:left w:w="0" w:type="dxa"/>
              <w:bottom w:w="0" w:type="dxa"/>
              <w:right w:w="0" w:type="dxa"/>
            </w:tcMar>
          </w:tcPr>
          <w:p w14:paraId="66CF4FB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8.10 ± 0.67 </w:t>
            </w:r>
          </w:p>
        </w:tc>
        <w:tc>
          <w:tcPr>
            <w:tcW w:w="600" w:type="dxa"/>
            <w:tcMar>
              <w:top w:w="0" w:type="dxa"/>
              <w:left w:w="0" w:type="dxa"/>
              <w:bottom w:w="0" w:type="dxa"/>
              <w:right w:w="0" w:type="dxa"/>
            </w:tcMar>
          </w:tcPr>
          <w:p w14:paraId="3A31687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7.80 ± 0.91 </w:t>
            </w:r>
          </w:p>
        </w:tc>
        <w:tc>
          <w:tcPr>
            <w:tcW w:w="859" w:type="dxa"/>
            <w:tcMar>
              <w:top w:w="0" w:type="dxa"/>
              <w:left w:w="0" w:type="dxa"/>
              <w:bottom w:w="0" w:type="dxa"/>
              <w:right w:w="0" w:type="dxa"/>
            </w:tcMar>
          </w:tcPr>
          <w:p w14:paraId="734B924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80" w:type="dxa"/>
            <w:tcMar>
              <w:top w:w="0" w:type="dxa"/>
              <w:left w:w="0" w:type="dxa"/>
              <w:bottom w:w="0" w:type="dxa"/>
              <w:right w:w="0" w:type="dxa"/>
            </w:tcMar>
          </w:tcPr>
          <w:p w14:paraId="3536A46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80" w:type="dxa"/>
            <w:tcMar>
              <w:top w:w="0" w:type="dxa"/>
              <w:left w:w="0" w:type="dxa"/>
              <w:bottom w:w="0" w:type="dxa"/>
              <w:right w:w="0" w:type="dxa"/>
            </w:tcMar>
          </w:tcPr>
          <w:p w14:paraId="0C4CCBE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3 months</w:t>
            </w:r>
          </w:p>
        </w:tc>
      </w:tr>
      <w:tr w:rsidR="009A4123" w:rsidRPr="00381F74" w14:paraId="1557B095" w14:textId="77777777" w:rsidTr="00381F74">
        <w:tc>
          <w:tcPr>
            <w:tcW w:w="990" w:type="dxa"/>
            <w:tcMar>
              <w:top w:w="0" w:type="dxa"/>
              <w:left w:w="0" w:type="dxa"/>
              <w:bottom w:w="0" w:type="dxa"/>
              <w:right w:w="0" w:type="dxa"/>
            </w:tcMar>
          </w:tcPr>
          <w:p w14:paraId="6E2A0E8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Adhikari 2025</w:t>
            </w:r>
          </w:p>
        </w:tc>
        <w:tc>
          <w:tcPr>
            <w:tcW w:w="899" w:type="dxa"/>
            <w:tcMar>
              <w:top w:w="0" w:type="dxa"/>
              <w:left w:w="0" w:type="dxa"/>
              <w:bottom w:w="0" w:type="dxa"/>
              <w:right w:w="0" w:type="dxa"/>
            </w:tcMar>
          </w:tcPr>
          <w:p w14:paraId="5E7D3A4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India</w:t>
            </w:r>
          </w:p>
        </w:tc>
        <w:tc>
          <w:tcPr>
            <w:tcW w:w="989" w:type="dxa"/>
            <w:tcMar>
              <w:top w:w="0" w:type="dxa"/>
              <w:left w:w="0" w:type="dxa"/>
              <w:bottom w:w="0" w:type="dxa"/>
              <w:right w:w="0" w:type="dxa"/>
            </w:tcMar>
          </w:tcPr>
          <w:p w14:paraId="05315D6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RCT</w:t>
            </w:r>
          </w:p>
        </w:tc>
        <w:tc>
          <w:tcPr>
            <w:tcW w:w="1259" w:type="dxa"/>
            <w:tcMar>
              <w:top w:w="0" w:type="dxa"/>
              <w:left w:w="0" w:type="dxa"/>
              <w:bottom w:w="0" w:type="dxa"/>
              <w:right w:w="0" w:type="dxa"/>
            </w:tcMar>
          </w:tcPr>
          <w:p w14:paraId="385DCA53" w14:textId="06E4682F"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Dapagliflozin 10 mg</w:t>
            </w:r>
            <w:r w:rsidR="009826F5" w:rsidRPr="00381F74">
              <w:rPr>
                <w:rFonts w:asciiTheme="majorBidi" w:eastAsia="Lexend" w:hAnsiTheme="majorBidi" w:cstheme="majorBidi"/>
                <w:sz w:val="18"/>
                <w:szCs w:val="18"/>
              </w:rPr>
              <w:t xml:space="preserve"> once daily</w:t>
            </w:r>
          </w:p>
        </w:tc>
        <w:tc>
          <w:tcPr>
            <w:tcW w:w="1169" w:type="dxa"/>
            <w:tcMar>
              <w:top w:w="0" w:type="dxa"/>
              <w:left w:w="0" w:type="dxa"/>
              <w:bottom w:w="0" w:type="dxa"/>
              <w:right w:w="0" w:type="dxa"/>
            </w:tcMar>
          </w:tcPr>
          <w:p w14:paraId="0127B1E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OADs</w:t>
            </w:r>
          </w:p>
        </w:tc>
        <w:tc>
          <w:tcPr>
            <w:tcW w:w="1079" w:type="dxa"/>
            <w:tcMar>
              <w:top w:w="0" w:type="dxa"/>
              <w:left w:w="0" w:type="dxa"/>
              <w:bottom w:w="0" w:type="dxa"/>
              <w:right w:w="0" w:type="dxa"/>
            </w:tcMar>
          </w:tcPr>
          <w:p w14:paraId="6AE116B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22</w:t>
            </w:r>
          </w:p>
        </w:tc>
        <w:tc>
          <w:tcPr>
            <w:tcW w:w="790" w:type="dxa"/>
            <w:tcMar>
              <w:top w:w="0" w:type="dxa"/>
              <w:left w:w="0" w:type="dxa"/>
              <w:bottom w:w="0" w:type="dxa"/>
              <w:right w:w="0" w:type="dxa"/>
            </w:tcMar>
          </w:tcPr>
          <w:p w14:paraId="5831CAA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18</w:t>
            </w:r>
          </w:p>
        </w:tc>
        <w:tc>
          <w:tcPr>
            <w:tcW w:w="924" w:type="dxa"/>
            <w:tcMar>
              <w:top w:w="0" w:type="dxa"/>
              <w:left w:w="0" w:type="dxa"/>
              <w:bottom w:w="0" w:type="dxa"/>
              <w:right w:w="0" w:type="dxa"/>
            </w:tcMar>
          </w:tcPr>
          <w:p w14:paraId="0938D31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49.5 (45.0, 62.0) </w:t>
            </w:r>
          </w:p>
        </w:tc>
        <w:tc>
          <w:tcPr>
            <w:tcW w:w="900" w:type="dxa"/>
            <w:tcMar>
              <w:top w:w="0" w:type="dxa"/>
              <w:left w:w="0" w:type="dxa"/>
              <w:bottom w:w="0" w:type="dxa"/>
              <w:right w:w="0" w:type="dxa"/>
            </w:tcMar>
          </w:tcPr>
          <w:p w14:paraId="64080D4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56.5 (45.0, 60.0) </w:t>
            </w:r>
          </w:p>
        </w:tc>
        <w:tc>
          <w:tcPr>
            <w:tcW w:w="989" w:type="dxa"/>
            <w:tcMar>
              <w:top w:w="0" w:type="dxa"/>
              <w:left w:w="0" w:type="dxa"/>
              <w:bottom w:w="0" w:type="dxa"/>
              <w:right w:w="0" w:type="dxa"/>
            </w:tcMar>
          </w:tcPr>
          <w:p w14:paraId="23F30FE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11:11</w:t>
            </w:r>
          </w:p>
        </w:tc>
        <w:tc>
          <w:tcPr>
            <w:tcW w:w="725" w:type="dxa"/>
            <w:tcMar>
              <w:top w:w="0" w:type="dxa"/>
              <w:left w:w="0" w:type="dxa"/>
              <w:bottom w:w="0" w:type="dxa"/>
              <w:right w:w="0" w:type="dxa"/>
            </w:tcMar>
          </w:tcPr>
          <w:p w14:paraId="3EB6BF7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5:13</w:t>
            </w:r>
          </w:p>
        </w:tc>
        <w:tc>
          <w:tcPr>
            <w:tcW w:w="959" w:type="dxa"/>
            <w:tcMar>
              <w:top w:w="0" w:type="dxa"/>
              <w:left w:w="0" w:type="dxa"/>
              <w:bottom w:w="0" w:type="dxa"/>
              <w:right w:w="0" w:type="dxa"/>
            </w:tcMar>
          </w:tcPr>
          <w:p w14:paraId="03DC96F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27.3 (25.3, 31.6) </w:t>
            </w:r>
          </w:p>
        </w:tc>
        <w:tc>
          <w:tcPr>
            <w:tcW w:w="640" w:type="dxa"/>
            <w:tcMar>
              <w:top w:w="0" w:type="dxa"/>
              <w:left w:w="0" w:type="dxa"/>
              <w:bottom w:w="0" w:type="dxa"/>
              <w:right w:w="0" w:type="dxa"/>
            </w:tcMar>
          </w:tcPr>
          <w:p w14:paraId="409968C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25.9 (24.2, 28.8) </w:t>
            </w:r>
          </w:p>
        </w:tc>
        <w:tc>
          <w:tcPr>
            <w:tcW w:w="979" w:type="dxa"/>
            <w:tcMar>
              <w:top w:w="0" w:type="dxa"/>
              <w:left w:w="0" w:type="dxa"/>
              <w:bottom w:w="0" w:type="dxa"/>
              <w:right w:w="0" w:type="dxa"/>
            </w:tcMar>
          </w:tcPr>
          <w:p w14:paraId="5855D10B"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7.55 (7.20, 8.0) </w:t>
            </w:r>
          </w:p>
        </w:tc>
        <w:tc>
          <w:tcPr>
            <w:tcW w:w="600" w:type="dxa"/>
            <w:tcMar>
              <w:top w:w="0" w:type="dxa"/>
              <w:left w:w="0" w:type="dxa"/>
              <w:bottom w:w="0" w:type="dxa"/>
              <w:right w:w="0" w:type="dxa"/>
            </w:tcMar>
          </w:tcPr>
          <w:p w14:paraId="6F416DA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7.40 (7.20, 7.60) </w:t>
            </w:r>
          </w:p>
        </w:tc>
        <w:tc>
          <w:tcPr>
            <w:tcW w:w="859" w:type="dxa"/>
            <w:tcMar>
              <w:top w:w="0" w:type="dxa"/>
              <w:left w:w="0" w:type="dxa"/>
              <w:bottom w:w="0" w:type="dxa"/>
              <w:right w:w="0" w:type="dxa"/>
            </w:tcMar>
          </w:tcPr>
          <w:p w14:paraId="0027DDE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5.0 (5.0, 8.0) </w:t>
            </w:r>
          </w:p>
        </w:tc>
        <w:tc>
          <w:tcPr>
            <w:tcW w:w="680" w:type="dxa"/>
            <w:tcMar>
              <w:top w:w="0" w:type="dxa"/>
              <w:left w:w="0" w:type="dxa"/>
              <w:bottom w:w="0" w:type="dxa"/>
              <w:right w:w="0" w:type="dxa"/>
            </w:tcMar>
          </w:tcPr>
          <w:p w14:paraId="1477EE5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5.0 (4.0, 7.0) </w:t>
            </w:r>
          </w:p>
        </w:tc>
        <w:tc>
          <w:tcPr>
            <w:tcW w:w="680" w:type="dxa"/>
            <w:tcMar>
              <w:top w:w="0" w:type="dxa"/>
              <w:left w:w="0" w:type="dxa"/>
              <w:bottom w:w="0" w:type="dxa"/>
              <w:right w:w="0" w:type="dxa"/>
            </w:tcMar>
          </w:tcPr>
          <w:p w14:paraId="58000F4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6 months</w:t>
            </w:r>
          </w:p>
        </w:tc>
      </w:tr>
      <w:tr w:rsidR="009A4123" w:rsidRPr="00381F74" w14:paraId="6CBE22FD" w14:textId="77777777" w:rsidTr="00381F74">
        <w:tc>
          <w:tcPr>
            <w:tcW w:w="990" w:type="dxa"/>
            <w:tcMar>
              <w:top w:w="0" w:type="dxa"/>
              <w:left w:w="0" w:type="dxa"/>
              <w:bottom w:w="0" w:type="dxa"/>
              <w:right w:w="0" w:type="dxa"/>
            </w:tcMar>
          </w:tcPr>
          <w:p w14:paraId="601E053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roofErr w:type="spellStart"/>
            <w:r w:rsidRPr="00381F74">
              <w:rPr>
                <w:rFonts w:asciiTheme="majorBidi" w:eastAsia="Lexend" w:hAnsiTheme="majorBidi" w:cstheme="majorBidi"/>
                <w:sz w:val="18"/>
                <w:szCs w:val="18"/>
              </w:rPr>
              <w:t>Klabuzai</w:t>
            </w:r>
            <w:proofErr w:type="spellEnd"/>
            <w:r w:rsidRPr="00381F74">
              <w:rPr>
                <w:rFonts w:asciiTheme="majorBidi" w:eastAsia="Lexend" w:hAnsiTheme="majorBidi" w:cstheme="majorBidi"/>
                <w:sz w:val="18"/>
                <w:szCs w:val="18"/>
              </w:rPr>
              <w:t xml:space="preserve"> 2025</w:t>
            </w:r>
          </w:p>
        </w:tc>
        <w:tc>
          <w:tcPr>
            <w:tcW w:w="899" w:type="dxa"/>
            <w:tcMar>
              <w:top w:w="0" w:type="dxa"/>
              <w:left w:w="0" w:type="dxa"/>
              <w:bottom w:w="0" w:type="dxa"/>
              <w:right w:w="0" w:type="dxa"/>
            </w:tcMar>
          </w:tcPr>
          <w:p w14:paraId="7ABBEF7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Hungary</w:t>
            </w:r>
          </w:p>
        </w:tc>
        <w:tc>
          <w:tcPr>
            <w:tcW w:w="989" w:type="dxa"/>
            <w:tcMar>
              <w:top w:w="0" w:type="dxa"/>
              <w:left w:w="0" w:type="dxa"/>
              <w:bottom w:w="0" w:type="dxa"/>
              <w:right w:w="0" w:type="dxa"/>
            </w:tcMar>
          </w:tcPr>
          <w:p w14:paraId="16DDACA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roofErr w:type="gramStart"/>
            <w:r w:rsidRPr="00381F74">
              <w:rPr>
                <w:rFonts w:asciiTheme="majorBidi" w:eastAsia="Lexend" w:hAnsiTheme="majorBidi" w:cstheme="majorBidi"/>
                <w:sz w:val="18"/>
                <w:szCs w:val="18"/>
              </w:rPr>
              <w:t>Single-arm</w:t>
            </w:r>
            <w:proofErr w:type="gramEnd"/>
          </w:p>
        </w:tc>
        <w:tc>
          <w:tcPr>
            <w:tcW w:w="1259" w:type="dxa"/>
            <w:tcMar>
              <w:top w:w="0" w:type="dxa"/>
              <w:left w:w="0" w:type="dxa"/>
              <w:bottom w:w="0" w:type="dxa"/>
              <w:right w:w="0" w:type="dxa"/>
            </w:tcMar>
          </w:tcPr>
          <w:p w14:paraId="26A6CE45" w14:textId="1181BC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SGLT-2 inhibitor</w:t>
            </w:r>
            <w:r w:rsidR="009826F5" w:rsidRPr="00381F74">
              <w:rPr>
                <w:rFonts w:asciiTheme="majorBidi" w:eastAsia="Lexend" w:hAnsiTheme="majorBidi" w:cstheme="majorBidi"/>
                <w:sz w:val="18"/>
                <w:szCs w:val="18"/>
              </w:rPr>
              <w:t xml:space="preserve"> determined by clinical team</w:t>
            </w:r>
            <w:r w:rsidRPr="00381F74">
              <w:rPr>
                <w:rFonts w:asciiTheme="majorBidi" w:eastAsia="Lexend" w:hAnsiTheme="majorBidi" w:cstheme="majorBidi"/>
                <w:sz w:val="18"/>
                <w:szCs w:val="18"/>
              </w:rPr>
              <w:t xml:space="preserve"> </w:t>
            </w:r>
          </w:p>
        </w:tc>
        <w:tc>
          <w:tcPr>
            <w:tcW w:w="1169" w:type="dxa"/>
            <w:tcMar>
              <w:top w:w="0" w:type="dxa"/>
              <w:left w:w="0" w:type="dxa"/>
              <w:bottom w:w="0" w:type="dxa"/>
              <w:right w:w="0" w:type="dxa"/>
            </w:tcMar>
          </w:tcPr>
          <w:p w14:paraId="6843FE5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1079" w:type="dxa"/>
            <w:tcMar>
              <w:top w:w="0" w:type="dxa"/>
              <w:left w:w="0" w:type="dxa"/>
              <w:bottom w:w="0" w:type="dxa"/>
              <w:right w:w="0" w:type="dxa"/>
            </w:tcMar>
          </w:tcPr>
          <w:p w14:paraId="138212B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40</w:t>
            </w:r>
          </w:p>
        </w:tc>
        <w:tc>
          <w:tcPr>
            <w:tcW w:w="790" w:type="dxa"/>
            <w:tcMar>
              <w:top w:w="0" w:type="dxa"/>
              <w:left w:w="0" w:type="dxa"/>
              <w:bottom w:w="0" w:type="dxa"/>
              <w:right w:w="0" w:type="dxa"/>
            </w:tcMar>
          </w:tcPr>
          <w:p w14:paraId="0014198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924" w:type="dxa"/>
            <w:tcMar>
              <w:top w:w="0" w:type="dxa"/>
              <w:left w:w="0" w:type="dxa"/>
              <w:bottom w:w="0" w:type="dxa"/>
              <w:right w:w="0" w:type="dxa"/>
            </w:tcMar>
          </w:tcPr>
          <w:p w14:paraId="1E22E705"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61 ± 9</w:t>
            </w:r>
          </w:p>
        </w:tc>
        <w:tc>
          <w:tcPr>
            <w:tcW w:w="900" w:type="dxa"/>
            <w:tcMar>
              <w:top w:w="0" w:type="dxa"/>
              <w:left w:w="0" w:type="dxa"/>
              <w:bottom w:w="0" w:type="dxa"/>
              <w:right w:w="0" w:type="dxa"/>
            </w:tcMar>
          </w:tcPr>
          <w:p w14:paraId="3C05620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989" w:type="dxa"/>
            <w:tcMar>
              <w:top w:w="0" w:type="dxa"/>
              <w:left w:w="0" w:type="dxa"/>
              <w:bottom w:w="0" w:type="dxa"/>
              <w:right w:w="0" w:type="dxa"/>
            </w:tcMar>
          </w:tcPr>
          <w:p w14:paraId="358EFC1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19:21</w:t>
            </w:r>
          </w:p>
        </w:tc>
        <w:tc>
          <w:tcPr>
            <w:tcW w:w="725" w:type="dxa"/>
            <w:tcMar>
              <w:top w:w="0" w:type="dxa"/>
              <w:left w:w="0" w:type="dxa"/>
              <w:bottom w:w="0" w:type="dxa"/>
              <w:right w:w="0" w:type="dxa"/>
            </w:tcMar>
          </w:tcPr>
          <w:p w14:paraId="4969CBC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959" w:type="dxa"/>
            <w:tcMar>
              <w:top w:w="0" w:type="dxa"/>
              <w:left w:w="0" w:type="dxa"/>
              <w:bottom w:w="0" w:type="dxa"/>
              <w:right w:w="0" w:type="dxa"/>
            </w:tcMar>
          </w:tcPr>
          <w:p w14:paraId="7ABA9D4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32.6 ± 4.45 </w:t>
            </w:r>
          </w:p>
        </w:tc>
        <w:tc>
          <w:tcPr>
            <w:tcW w:w="640" w:type="dxa"/>
            <w:tcMar>
              <w:top w:w="0" w:type="dxa"/>
              <w:left w:w="0" w:type="dxa"/>
              <w:bottom w:w="0" w:type="dxa"/>
              <w:right w:w="0" w:type="dxa"/>
            </w:tcMar>
          </w:tcPr>
          <w:p w14:paraId="64318C4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w:t>
            </w:r>
          </w:p>
        </w:tc>
        <w:tc>
          <w:tcPr>
            <w:tcW w:w="979" w:type="dxa"/>
            <w:tcMar>
              <w:top w:w="0" w:type="dxa"/>
              <w:left w:w="0" w:type="dxa"/>
              <w:bottom w:w="0" w:type="dxa"/>
              <w:right w:w="0" w:type="dxa"/>
            </w:tcMar>
          </w:tcPr>
          <w:p w14:paraId="5BDF82FE"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NR </w:t>
            </w:r>
          </w:p>
        </w:tc>
        <w:tc>
          <w:tcPr>
            <w:tcW w:w="600" w:type="dxa"/>
            <w:tcMar>
              <w:top w:w="0" w:type="dxa"/>
              <w:left w:w="0" w:type="dxa"/>
              <w:bottom w:w="0" w:type="dxa"/>
              <w:right w:w="0" w:type="dxa"/>
            </w:tcMar>
          </w:tcPr>
          <w:p w14:paraId="28B1262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N/A </w:t>
            </w:r>
          </w:p>
        </w:tc>
        <w:tc>
          <w:tcPr>
            <w:tcW w:w="859" w:type="dxa"/>
            <w:tcMar>
              <w:top w:w="0" w:type="dxa"/>
              <w:left w:w="0" w:type="dxa"/>
              <w:bottom w:w="0" w:type="dxa"/>
              <w:right w:w="0" w:type="dxa"/>
            </w:tcMar>
          </w:tcPr>
          <w:p w14:paraId="7ECD0DA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8.3 ± 8.0 years </w:t>
            </w:r>
          </w:p>
        </w:tc>
        <w:tc>
          <w:tcPr>
            <w:tcW w:w="680" w:type="dxa"/>
            <w:tcMar>
              <w:top w:w="0" w:type="dxa"/>
              <w:left w:w="0" w:type="dxa"/>
              <w:bottom w:w="0" w:type="dxa"/>
              <w:right w:w="0" w:type="dxa"/>
            </w:tcMar>
          </w:tcPr>
          <w:p w14:paraId="1B912C5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N/A </w:t>
            </w:r>
          </w:p>
        </w:tc>
        <w:tc>
          <w:tcPr>
            <w:tcW w:w="680" w:type="dxa"/>
            <w:tcMar>
              <w:top w:w="0" w:type="dxa"/>
              <w:left w:w="0" w:type="dxa"/>
              <w:bottom w:w="0" w:type="dxa"/>
              <w:right w:w="0" w:type="dxa"/>
            </w:tcMar>
          </w:tcPr>
          <w:p w14:paraId="2B5EBE7A"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4 weeks</w:t>
            </w:r>
          </w:p>
        </w:tc>
      </w:tr>
      <w:tr w:rsidR="009A4123" w:rsidRPr="00381F74" w14:paraId="69AC6F42" w14:textId="77777777" w:rsidTr="00381F74">
        <w:tc>
          <w:tcPr>
            <w:tcW w:w="990" w:type="dxa"/>
            <w:tcMar>
              <w:top w:w="0" w:type="dxa"/>
              <w:left w:w="0" w:type="dxa"/>
              <w:bottom w:w="0" w:type="dxa"/>
              <w:right w:w="0" w:type="dxa"/>
            </w:tcMar>
          </w:tcPr>
          <w:p w14:paraId="5551277D"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proofErr w:type="spellStart"/>
            <w:r w:rsidRPr="00381F74">
              <w:rPr>
                <w:rFonts w:asciiTheme="majorBidi" w:eastAsia="Lexend" w:hAnsiTheme="majorBidi" w:cstheme="majorBidi"/>
                <w:sz w:val="18"/>
                <w:szCs w:val="18"/>
              </w:rPr>
              <w:t>Vafaeinasab</w:t>
            </w:r>
            <w:proofErr w:type="spellEnd"/>
            <w:r w:rsidRPr="00381F74">
              <w:rPr>
                <w:rFonts w:asciiTheme="majorBidi" w:eastAsia="Lexend" w:hAnsiTheme="majorBidi" w:cstheme="majorBidi"/>
                <w:sz w:val="18"/>
                <w:szCs w:val="18"/>
              </w:rPr>
              <w:t xml:space="preserve"> 2025</w:t>
            </w:r>
          </w:p>
        </w:tc>
        <w:tc>
          <w:tcPr>
            <w:tcW w:w="899" w:type="dxa"/>
            <w:tcMar>
              <w:top w:w="0" w:type="dxa"/>
              <w:left w:w="0" w:type="dxa"/>
              <w:bottom w:w="0" w:type="dxa"/>
              <w:right w:w="0" w:type="dxa"/>
            </w:tcMar>
          </w:tcPr>
          <w:p w14:paraId="2564CFB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Iran</w:t>
            </w:r>
          </w:p>
        </w:tc>
        <w:tc>
          <w:tcPr>
            <w:tcW w:w="989" w:type="dxa"/>
            <w:tcMar>
              <w:top w:w="0" w:type="dxa"/>
              <w:left w:w="0" w:type="dxa"/>
              <w:bottom w:w="0" w:type="dxa"/>
              <w:right w:w="0" w:type="dxa"/>
            </w:tcMar>
          </w:tcPr>
          <w:p w14:paraId="27804E4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RCT</w:t>
            </w:r>
          </w:p>
        </w:tc>
        <w:tc>
          <w:tcPr>
            <w:tcW w:w="1259" w:type="dxa"/>
            <w:tcMar>
              <w:top w:w="0" w:type="dxa"/>
              <w:left w:w="0" w:type="dxa"/>
              <w:bottom w:w="0" w:type="dxa"/>
              <w:right w:w="0" w:type="dxa"/>
            </w:tcMar>
          </w:tcPr>
          <w:p w14:paraId="637F869E" w14:textId="3C7AFAC1"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Empagliflozin 10 mg</w:t>
            </w:r>
            <w:r w:rsidR="009826F5" w:rsidRPr="00381F74">
              <w:rPr>
                <w:rFonts w:asciiTheme="majorBidi" w:eastAsia="Lexend" w:hAnsiTheme="majorBidi" w:cstheme="majorBidi"/>
                <w:sz w:val="18"/>
                <w:szCs w:val="18"/>
              </w:rPr>
              <w:t xml:space="preserve"> once daily</w:t>
            </w:r>
          </w:p>
        </w:tc>
        <w:tc>
          <w:tcPr>
            <w:tcW w:w="1169" w:type="dxa"/>
            <w:tcMar>
              <w:top w:w="0" w:type="dxa"/>
              <w:left w:w="0" w:type="dxa"/>
              <w:bottom w:w="0" w:type="dxa"/>
              <w:right w:w="0" w:type="dxa"/>
            </w:tcMar>
          </w:tcPr>
          <w:p w14:paraId="2E5C50F7"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Placebo</w:t>
            </w:r>
          </w:p>
        </w:tc>
        <w:tc>
          <w:tcPr>
            <w:tcW w:w="1079" w:type="dxa"/>
            <w:tcMar>
              <w:top w:w="0" w:type="dxa"/>
              <w:left w:w="0" w:type="dxa"/>
              <w:bottom w:w="0" w:type="dxa"/>
              <w:right w:w="0" w:type="dxa"/>
            </w:tcMar>
          </w:tcPr>
          <w:p w14:paraId="269AD55F"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25</w:t>
            </w:r>
          </w:p>
        </w:tc>
        <w:tc>
          <w:tcPr>
            <w:tcW w:w="790" w:type="dxa"/>
            <w:tcMar>
              <w:top w:w="0" w:type="dxa"/>
              <w:left w:w="0" w:type="dxa"/>
              <w:bottom w:w="0" w:type="dxa"/>
              <w:right w:w="0" w:type="dxa"/>
            </w:tcMar>
          </w:tcPr>
          <w:p w14:paraId="1CF8557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25</w:t>
            </w:r>
          </w:p>
        </w:tc>
        <w:tc>
          <w:tcPr>
            <w:tcW w:w="924" w:type="dxa"/>
            <w:tcMar>
              <w:top w:w="0" w:type="dxa"/>
              <w:left w:w="0" w:type="dxa"/>
              <w:bottom w:w="0" w:type="dxa"/>
              <w:right w:w="0" w:type="dxa"/>
            </w:tcMar>
          </w:tcPr>
          <w:p w14:paraId="7DF443D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53.92 ± 3.02</w:t>
            </w:r>
          </w:p>
        </w:tc>
        <w:tc>
          <w:tcPr>
            <w:tcW w:w="900" w:type="dxa"/>
            <w:tcMar>
              <w:top w:w="0" w:type="dxa"/>
              <w:left w:w="0" w:type="dxa"/>
              <w:bottom w:w="0" w:type="dxa"/>
              <w:right w:w="0" w:type="dxa"/>
            </w:tcMar>
          </w:tcPr>
          <w:p w14:paraId="1EDABDF6"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54.70 ± 3.03</w:t>
            </w:r>
          </w:p>
        </w:tc>
        <w:tc>
          <w:tcPr>
            <w:tcW w:w="989" w:type="dxa"/>
            <w:tcMar>
              <w:top w:w="0" w:type="dxa"/>
              <w:left w:w="0" w:type="dxa"/>
              <w:bottom w:w="0" w:type="dxa"/>
              <w:right w:w="0" w:type="dxa"/>
            </w:tcMar>
          </w:tcPr>
          <w:p w14:paraId="48B644C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725" w:type="dxa"/>
            <w:tcMar>
              <w:top w:w="0" w:type="dxa"/>
              <w:left w:w="0" w:type="dxa"/>
              <w:bottom w:w="0" w:type="dxa"/>
              <w:right w:w="0" w:type="dxa"/>
            </w:tcMar>
          </w:tcPr>
          <w:p w14:paraId="13799243"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959" w:type="dxa"/>
            <w:tcMar>
              <w:top w:w="0" w:type="dxa"/>
              <w:left w:w="0" w:type="dxa"/>
              <w:bottom w:w="0" w:type="dxa"/>
              <w:right w:w="0" w:type="dxa"/>
            </w:tcMar>
          </w:tcPr>
          <w:p w14:paraId="39ECD381"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25.22 ± 1.62 </w:t>
            </w:r>
          </w:p>
        </w:tc>
        <w:tc>
          <w:tcPr>
            <w:tcW w:w="640" w:type="dxa"/>
            <w:tcMar>
              <w:top w:w="0" w:type="dxa"/>
              <w:left w:w="0" w:type="dxa"/>
              <w:bottom w:w="0" w:type="dxa"/>
              <w:right w:w="0" w:type="dxa"/>
            </w:tcMar>
          </w:tcPr>
          <w:p w14:paraId="4D7ADA6C"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25.38 ± 2.07 </w:t>
            </w:r>
          </w:p>
        </w:tc>
        <w:tc>
          <w:tcPr>
            <w:tcW w:w="979" w:type="dxa"/>
            <w:tcMar>
              <w:top w:w="0" w:type="dxa"/>
              <w:left w:w="0" w:type="dxa"/>
              <w:bottom w:w="0" w:type="dxa"/>
              <w:right w:w="0" w:type="dxa"/>
            </w:tcMar>
          </w:tcPr>
          <w:p w14:paraId="7D1A43E9"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7.42 ± 0.30 </w:t>
            </w:r>
          </w:p>
        </w:tc>
        <w:tc>
          <w:tcPr>
            <w:tcW w:w="600" w:type="dxa"/>
            <w:tcMar>
              <w:top w:w="0" w:type="dxa"/>
              <w:left w:w="0" w:type="dxa"/>
              <w:bottom w:w="0" w:type="dxa"/>
              <w:right w:w="0" w:type="dxa"/>
            </w:tcMar>
          </w:tcPr>
          <w:p w14:paraId="73AC4A5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 xml:space="preserve">7.30 ± 0.35 </w:t>
            </w:r>
          </w:p>
        </w:tc>
        <w:tc>
          <w:tcPr>
            <w:tcW w:w="859" w:type="dxa"/>
            <w:tcMar>
              <w:top w:w="0" w:type="dxa"/>
              <w:left w:w="0" w:type="dxa"/>
              <w:bottom w:w="0" w:type="dxa"/>
              <w:right w:w="0" w:type="dxa"/>
            </w:tcMar>
          </w:tcPr>
          <w:p w14:paraId="128953A0"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80" w:type="dxa"/>
            <w:tcMar>
              <w:top w:w="0" w:type="dxa"/>
              <w:left w:w="0" w:type="dxa"/>
              <w:bottom w:w="0" w:type="dxa"/>
              <w:right w:w="0" w:type="dxa"/>
            </w:tcMar>
          </w:tcPr>
          <w:p w14:paraId="3959DA72"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NR</w:t>
            </w:r>
          </w:p>
        </w:tc>
        <w:tc>
          <w:tcPr>
            <w:tcW w:w="680" w:type="dxa"/>
            <w:tcMar>
              <w:top w:w="0" w:type="dxa"/>
              <w:left w:w="0" w:type="dxa"/>
              <w:bottom w:w="0" w:type="dxa"/>
              <w:right w:w="0" w:type="dxa"/>
            </w:tcMar>
          </w:tcPr>
          <w:p w14:paraId="471E1F88" w14:textId="77777777" w:rsidR="009A4123" w:rsidRPr="00381F74" w:rsidRDefault="009A4123" w:rsidP="00C208BC">
            <w:pPr>
              <w:widowControl w:val="0"/>
              <w:spacing w:after="120" w:line="360" w:lineRule="auto"/>
              <w:jc w:val="center"/>
              <w:rPr>
                <w:rFonts w:asciiTheme="majorBidi" w:eastAsia="Lexend" w:hAnsiTheme="majorBidi" w:cstheme="majorBidi"/>
                <w:sz w:val="18"/>
                <w:szCs w:val="18"/>
              </w:rPr>
            </w:pPr>
            <w:r w:rsidRPr="00381F74">
              <w:rPr>
                <w:rFonts w:asciiTheme="majorBidi" w:eastAsia="Lexend" w:hAnsiTheme="majorBidi" w:cstheme="majorBidi"/>
                <w:sz w:val="18"/>
                <w:szCs w:val="18"/>
              </w:rPr>
              <w:t>20 weeks</w:t>
            </w:r>
          </w:p>
        </w:tc>
      </w:tr>
    </w:tbl>
    <w:p w14:paraId="26E65814" w14:textId="77777777" w:rsidR="007F7929" w:rsidRDefault="007F7929" w:rsidP="00381F74">
      <w:pPr>
        <w:tabs>
          <w:tab w:val="left" w:pos="3280"/>
        </w:tabs>
        <w:spacing w:after="120" w:line="360" w:lineRule="auto"/>
        <w:rPr>
          <w:rFonts w:ascii="Times New Roman" w:eastAsia="Times New Roman" w:hAnsi="Times New Roman" w:cs="Times New Roman"/>
        </w:rPr>
      </w:pPr>
    </w:p>
    <w:sectPr w:rsidR="007F7929" w:rsidSect="00381F74">
      <w:pgSz w:w="16838" w:h="11906" w:orient="landscape"/>
      <w:pgMar w:top="810" w:right="1440" w:bottom="5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5999E" w14:textId="77777777" w:rsidR="00315D36" w:rsidRDefault="00315D36">
      <w:pPr>
        <w:spacing w:line="240" w:lineRule="auto"/>
      </w:pPr>
      <w:r>
        <w:separator/>
      </w:r>
    </w:p>
  </w:endnote>
  <w:endnote w:type="continuationSeparator" w:id="0">
    <w:p w14:paraId="57CF2C3C" w14:textId="77777777" w:rsidR="00315D36" w:rsidRDefault="00315D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exend">
    <w:charset w:val="00"/>
    <w:family w:val="auto"/>
    <w:pitch w:val="default"/>
    <w:embedRegular r:id="rId1" w:fontKey="{C17E6AB3-5BCD-4D9B-BD0E-860803DE56FE}"/>
  </w:font>
  <w:font w:name="Calibri">
    <w:panose1 w:val="020F0502020204030204"/>
    <w:charset w:val="00"/>
    <w:family w:val="swiss"/>
    <w:pitch w:val="variable"/>
    <w:sig w:usb0="E4002EFF" w:usb1="C000247B" w:usb2="00000009" w:usb3="00000000" w:csb0="000001FF" w:csb1="00000000"/>
    <w:embedRegular r:id="rId2" w:fontKey="{6D8F401D-5165-4C39-882D-A5838EC5DBC3}"/>
  </w:font>
  <w:font w:name="Cambria">
    <w:panose1 w:val="02040503050406030204"/>
    <w:charset w:val="00"/>
    <w:family w:val="roman"/>
    <w:pitch w:val="variable"/>
    <w:sig w:usb0="E00006FF" w:usb1="420024FF" w:usb2="02000000" w:usb3="00000000" w:csb0="0000019F" w:csb1="00000000"/>
    <w:embedRegular r:id="rId3" w:fontKey="{B2575108-29A7-4F0D-A624-A777591BC385}"/>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D8D8EB" w14:textId="77777777" w:rsidR="00315D36" w:rsidRDefault="00315D36">
      <w:pPr>
        <w:spacing w:line="240" w:lineRule="auto"/>
      </w:pPr>
      <w:r>
        <w:separator/>
      </w:r>
    </w:p>
  </w:footnote>
  <w:footnote w:type="continuationSeparator" w:id="0">
    <w:p w14:paraId="7E782B96" w14:textId="77777777" w:rsidR="00315D36" w:rsidRDefault="00315D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916B8" w14:textId="77777777" w:rsidR="00200DF4" w:rsidRDefault="00200D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0DF4"/>
    <w:rsid w:val="00004396"/>
    <w:rsid w:val="000218A8"/>
    <w:rsid w:val="00090960"/>
    <w:rsid w:val="00092D99"/>
    <w:rsid w:val="000D47E9"/>
    <w:rsid w:val="00127A65"/>
    <w:rsid w:val="001C71F6"/>
    <w:rsid w:val="001E485F"/>
    <w:rsid w:val="00200DF4"/>
    <w:rsid w:val="0024695F"/>
    <w:rsid w:val="00265329"/>
    <w:rsid w:val="002A4D70"/>
    <w:rsid w:val="002D025B"/>
    <w:rsid w:val="002D2BB5"/>
    <w:rsid w:val="002D64EE"/>
    <w:rsid w:val="002E4AFD"/>
    <w:rsid w:val="002E794B"/>
    <w:rsid w:val="00315D36"/>
    <w:rsid w:val="00320191"/>
    <w:rsid w:val="00381F74"/>
    <w:rsid w:val="003B7C24"/>
    <w:rsid w:val="003C18FF"/>
    <w:rsid w:val="004B735C"/>
    <w:rsid w:val="004C04C3"/>
    <w:rsid w:val="004D7FCA"/>
    <w:rsid w:val="0050237C"/>
    <w:rsid w:val="00577F13"/>
    <w:rsid w:val="006351DD"/>
    <w:rsid w:val="00681DAE"/>
    <w:rsid w:val="006A5F7F"/>
    <w:rsid w:val="006B4B0A"/>
    <w:rsid w:val="006D5FC2"/>
    <w:rsid w:val="00765D7B"/>
    <w:rsid w:val="00782C11"/>
    <w:rsid w:val="00783857"/>
    <w:rsid w:val="00787FA5"/>
    <w:rsid w:val="00796E7F"/>
    <w:rsid w:val="007B5804"/>
    <w:rsid w:val="007C7B27"/>
    <w:rsid w:val="007F7929"/>
    <w:rsid w:val="00814CE3"/>
    <w:rsid w:val="0081704E"/>
    <w:rsid w:val="00842493"/>
    <w:rsid w:val="0087250D"/>
    <w:rsid w:val="00896C8B"/>
    <w:rsid w:val="008F6A49"/>
    <w:rsid w:val="00932F44"/>
    <w:rsid w:val="009767B0"/>
    <w:rsid w:val="009826F5"/>
    <w:rsid w:val="00985071"/>
    <w:rsid w:val="009A4123"/>
    <w:rsid w:val="009F0A3E"/>
    <w:rsid w:val="00A1735D"/>
    <w:rsid w:val="00AA30DB"/>
    <w:rsid w:val="00AC58D8"/>
    <w:rsid w:val="00B077A2"/>
    <w:rsid w:val="00B42415"/>
    <w:rsid w:val="00B6051A"/>
    <w:rsid w:val="00B63860"/>
    <w:rsid w:val="00BA7A67"/>
    <w:rsid w:val="00C208BC"/>
    <w:rsid w:val="00C245E3"/>
    <w:rsid w:val="00C37220"/>
    <w:rsid w:val="00C53D07"/>
    <w:rsid w:val="00C56817"/>
    <w:rsid w:val="00C72535"/>
    <w:rsid w:val="00C87ADC"/>
    <w:rsid w:val="00C87F9A"/>
    <w:rsid w:val="00CC260B"/>
    <w:rsid w:val="00CF0565"/>
    <w:rsid w:val="00D672E5"/>
    <w:rsid w:val="00D7424F"/>
    <w:rsid w:val="00D9107A"/>
    <w:rsid w:val="00DA0FE9"/>
    <w:rsid w:val="00DD12E5"/>
    <w:rsid w:val="00ED0F7F"/>
    <w:rsid w:val="00EF4A89"/>
    <w:rsid w:val="00F36624"/>
    <w:rsid w:val="00F63E37"/>
    <w:rsid w:val="00FD79F2"/>
    <w:rsid w:val="00FF275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EA1D1D"/>
  <w15:docId w15:val="{280A9201-6FA8-49C0-83FF-9AE7C2AAE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Bibliography">
    <w:name w:val="Bibliography"/>
    <w:basedOn w:val="Normal"/>
    <w:next w:val="Normal"/>
    <w:uiPriority w:val="37"/>
    <w:unhideWhenUsed/>
    <w:rsid w:val="00AC58D8"/>
    <w:pPr>
      <w:tabs>
        <w:tab w:val="left" w:pos="624"/>
      </w:tabs>
      <w:spacing w:after="240" w:line="240" w:lineRule="auto"/>
      <w:ind w:left="624" w:hanging="624"/>
    </w:pPr>
  </w:style>
  <w:style w:type="table" w:styleId="TableGrid">
    <w:name w:val="Table Grid"/>
    <w:basedOn w:val="TableNormal"/>
    <w:uiPriority w:val="39"/>
    <w:rsid w:val="007F79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CE3"/>
    <w:rPr>
      <w:color w:val="0000FF" w:themeColor="hyperlink"/>
      <w:u w:val="single"/>
    </w:rPr>
  </w:style>
  <w:style w:type="character" w:styleId="UnresolvedMention">
    <w:name w:val="Unresolved Mention"/>
    <w:basedOn w:val="DefaultParagraphFont"/>
    <w:uiPriority w:val="99"/>
    <w:semiHidden/>
    <w:unhideWhenUsed/>
    <w:rsid w:val="00814CE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6803</TotalTime>
  <Pages>26</Pages>
  <Words>15676</Words>
  <Characters>89355</Characters>
  <Application>Microsoft Office Word</Application>
  <DocSecurity>0</DocSecurity>
  <Lines>744</Lines>
  <Paragraphs>209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Youssef Adel</cp:lastModifiedBy>
  <cp:revision>54</cp:revision>
  <dcterms:created xsi:type="dcterms:W3CDTF">2026-05-18T19:48:00Z</dcterms:created>
  <dcterms:modified xsi:type="dcterms:W3CDTF">2026-05-24T21:42:00Z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{"style":{"styleID":"http://www.zotero.org/styles/sage-vancouver-brackets","hasBibliography":true,"bibliographyStyleHasBeenSet":true},"prefs":{"fieldType":"Field","automaticJournalAbbreviations":true,"delayCitationUpdates":false,"noteType":0},"sessionID":</vt:lpwstr>
  </property>
  <property fmtid="{D5CDD505-2E9C-101B-9397-08002B2CF9AE}" pid="3" name="ZOTERO_PREF_2">
    <vt:lpwstr>"gKHtIfYW","zoteroVersion":"7.0.32","dataVersion":4}</vt:lpwstr>
  </property>
</Properties>
</file>