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f1f8b7752303ed3cae11a800565db25998581"/>
    <w:p>
      <w:pPr>
        <w:pStyle w:val="Heading1"/>
      </w:pPr>
      <w:r>
        <w:t xml:space="preserve">Senior QC Automation Assessment – End-to-End Submission</w:t>
      </w:r>
    </w:p>
    <w:p>
      <w:pPr>
        <w:pStyle w:val="FirstParagraph"/>
      </w:pPr>
      <w:r>
        <w:t xml:space="preserve">Author: Youssef Mohamed El-Azabawi</w:t>
      </w:r>
      <w:r>
        <w:br/>
      </w:r>
      <w:r>
        <w:t xml:space="preserve">Date: February 4, 2026</w:t>
      </w:r>
    </w:p>
    <w:p>
      <w:pPr>
        <w:pStyle w:val="BodyText"/>
      </w:pPr>
      <w:r>
        <w:t xml:space="preserve">This document outlines the complete automation strategy, framework architecture, CI/CD integration, and practical implementation for the Senior QC Automation Assessment.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2026-02-02T15:34:36Z</dcterms:created>
  <dcterms:modified xsi:type="dcterms:W3CDTF">2026-02-02T15:34:36Z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