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p>
    <w:p>
      <w:pPr>
        <w:spacing w:after="80"/>
        <w:jc w:val="center"/>
      </w:pPr>
      <w:r>
        <w:rPr>
          <w:rFonts w:ascii="Arial" w:cs="Arial" w:eastAsia="Arial" w:hAnsi="Arial"/>
          <w:b/>
          <w:bCs/>
          <w:color w:val="1B4F72"/>
          <w:sz w:val="52"/>
          <w:szCs w:val="52"/>
        </w:rPr>
        <w:t xml:space="preserve">THE OASIS</w:t>
      </w:r>
    </w:p>
    <w:p>
      <w:pPr>
        <w:spacing w:after="80"/>
        <w:jc w:val="center"/>
      </w:pPr>
      <w:r>
        <w:rPr>
          <w:rFonts w:ascii="Arial" w:cs="Arial" w:eastAsia="Arial" w:hAnsi="Arial"/>
          <w:color w:val="2E86C1"/>
          <w:sz w:val="28"/>
          <w:szCs w:val="28"/>
        </w:rPr>
        <w:t xml:space="preserve">Pre-Deployment Security &amp; Configuration Review</w:t>
      </w:r>
    </w:p>
    <w:p>
      <w:pPr>
        <w:spacing w:after="400"/>
        <w:jc w:val="center"/>
      </w:pPr>
      <w:r>
        <w:rPr>
          <w:rFonts w:ascii="Arial" w:cs="Arial" w:eastAsia="Arial" w:hAnsi="Arial"/>
          <w:i/>
          <w:iCs/>
          <w:color w:val="555555"/>
          <w:sz w:val="20"/>
          <w:szCs w:val="20"/>
        </w:rPr>
        <w:t xml:space="preserve">May 2026  ·  Engineering Team  ·  Confidential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5D8E8" w:sz="4"/>
              <w:left w:val="single" w:color="C5D8E8" w:sz="4"/>
              <w:bottom w:val="single" w:color="C5D8E8" w:sz="4"/>
              <w:right w:val="single" w:color="C5D8E8" w:sz="4"/>
            </w:tcBorders>
            <w:shd w:fill="1B4F72" w:val="clear"/>
            <w:tcMar>
              <w:top w:type="dxa" w:w="80"/>
              <w:left w:type="dxa" w:w="140"/>
              <w:bottom w:type="dxa" w:w="80"/>
              <w:right w:type="dxa" w:w="140"/>
            </w:tcMar>
          </w:tcPr>
          <w:p>
            <w:r>
              <w:rPr>
                <w:rFonts w:ascii="Arial" w:cs="Arial" w:eastAsia="Arial" w:hAnsi="Arial"/>
                <w:b/>
                <w:bCs/>
                <w:color w:val="FFFFFF"/>
                <w:sz w:val="18"/>
                <w:szCs w:val="18"/>
              </w:rPr>
              <w:t xml:space="preserve">Project</w:t>
            </w:r>
          </w:p>
        </w:tc>
        <w:tc>
          <w:tcPr>
            <w:tcW w:type="dxa" w:w="7200"/>
            <w:tcBorders>
              <w:top w:val="single" w:color="C5D8E8" w:sz="4"/>
              <w:left w:val="single" w:color="C5D8E8" w:sz="4"/>
              <w:bottom w:val="single" w:color="C5D8E8" w:sz="4"/>
              <w:right w:val="single" w:color="C5D8E8" w:sz="4"/>
            </w:tcBorders>
            <w:shd w:fill="2471A3" w:val="clear"/>
            <w:tcMar>
              <w:top w:type="dxa" w:w="80"/>
              <w:left w:type="dxa" w:w="140"/>
              <w:bottom w:type="dxa" w:w="80"/>
              <w:right w:type="dxa" w:w="140"/>
            </w:tcMar>
          </w:tcPr>
          <w:p>
            <w:r>
              <w:rPr>
                <w:rFonts w:ascii="Arial" w:cs="Arial" w:eastAsia="Arial" w:hAnsi="Arial"/>
                <w:color w:val="FFFFFF"/>
                <w:sz w:val="18"/>
                <w:szCs w:val="18"/>
              </w:rPr>
              <w:t xml:space="preserve">The Oasis — Animal Trading Platform</w:t>
            </w:r>
          </w:p>
        </w:tc>
      </w:tr>
      <w:tr>
        <w:tc>
          <w:tcPr>
            <w:tcW w:type="dxa" w:w="2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r>
              <w:rPr>
                <w:rFonts w:ascii="Arial" w:cs="Arial" w:eastAsia="Arial" w:hAnsi="Arial"/>
                <w:b/>
                <w:bCs/>
                <w:color w:val="1B4F72"/>
                <w:sz w:val="18"/>
                <w:szCs w:val="18"/>
              </w:rPr>
              <w:t xml:space="preserve">Stack</w:t>
            </w:r>
          </w:p>
        </w:tc>
        <w:tc>
          <w:tcPr>
            <w:tcW w:type="dxa" w:w="7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r>
              <w:rPr>
                <w:rFonts w:ascii="Arial" w:cs="Arial" w:eastAsia="Arial" w:hAnsi="Arial"/>
                <w:color w:val="555555"/>
                <w:sz w:val="18"/>
                <w:szCs w:val="18"/>
              </w:rPr>
              <w:t xml:space="preserve">Laravel 11 + React (backend/frontend)  ·  Flutter (mobile)</w:t>
            </w:r>
          </w:p>
        </w:tc>
      </w:tr>
      <w:tr>
        <w:tc>
          <w:tcPr>
            <w:tcW w:type="dxa" w:w="2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r>
              <w:rPr>
                <w:rFonts w:ascii="Arial" w:cs="Arial" w:eastAsia="Arial" w:hAnsi="Arial"/>
                <w:b/>
                <w:bCs/>
                <w:color w:val="1B4F72"/>
                <w:sz w:val="18"/>
                <w:szCs w:val="18"/>
              </w:rPr>
              <w:t xml:space="preserve">Deployment</w:t>
            </w:r>
          </w:p>
        </w:tc>
        <w:tc>
          <w:tcPr>
            <w:tcW w:type="dxa" w:w="7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r>
              <w:rPr>
                <w:rFonts w:ascii="Arial" w:cs="Arial" w:eastAsia="Arial" w:hAnsi="Arial"/>
                <w:color w:val="555555"/>
                <w:sz w:val="18"/>
                <w:szCs w:val="18"/>
              </w:rPr>
              <w:t xml:space="preserve">Railway.app (backend)  ·  Netlify (Flutter web)</w:t>
            </w:r>
          </w:p>
        </w:tc>
      </w:tr>
      <w:tr>
        <w:tc>
          <w:tcPr>
            <w:tcW w:type="dxa" w:w="2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r>
              <w:rPr>
                <w:rFonts w:ascii="Arial" w:cs="Arial" w:eastAsia="Arial" w:hAnsi="Arial"/>
                <w:b/>
                <w:bCs/>
                <w:color w:val="1B4F72"/>
                <w:sz w:val="18"/>
                <w:szCs w:val="18"/>
              </w:rPr>
              <w:t xml:space="preserve">Review Date</w:t>
            </w:r>
          </w:p>
        </w:tc>
        <w:tc>
          <w:tcPr>
            <w:tcW w:type="dxa" w:w="7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r>
              <w:rPr>
                <w:rFonts w:ascii="Arial" w:cs="Arial" w:eastAsia="Arial" w:hAnsi="Arial"/>
                <w:color w:val="555555"/>
                <w:sz w:val="18"/>
                <w:szCs w:val="18"/>
              </w:rPr>
              <w:t xml:space="preserve">May 2026</w:t>
            </w:r>
          </w:p>
        </w:tc>
      </w:tr>
      <w:tr>
        <w:tc>
          <w:tcPr>
            <w:tcW w:type="dxa" w:w="2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r>
              <w:rPr>
                <w:rFonts w:ascii="Arial" w:cs="Arial" w:eastAsia="Arial" w:hAnsi="Arial"/>
                <w:b/>
                <w:bCs/>
                <w:color w:val="1B4F72"/>
                <w:sz w:val="18"/>
                <w:szCs w:val="18"/>
              </w:rPr>
              <w:t xml:space="preserve">Prepared By</w:t>
            </w:r>
          </w:p>
        </w:tc>
        <w:tc>
          <w:tcPr>
            <w:tcW w:type="dxa" w:w="7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r>
              <w:rPr>
                <w:rFonts w:ascii="Arial" w:cs="Arial" w:eastAsia="Arial" w:hAnsi="Arial"/>
                <w:color w:val="555555"/>
                <w:sz w:val="18"/>
                <w:szCs w:val="18"/>
              </w:rPr>
              <w:t xml:space="preserve">Engineering Team</w:t>
            </w:r>
          </w:p>
        </w:tc>
      </w:tr>
      <w:tr>
        <w:tc>
          <w:tcPr>
            <w:tcW w:type="dxa" w:w="2160"/>
            <w:tcBorders>
              <w:top w:val="single" w:color="C5D8E8" w:sz="4"/>
              <w:left w:val="single" w:color="C5D8E8" w:sz="4"/>
              <w:bottom w:val="single" w:color="C5D8E8" w:sz="4"/>
              <w:right w:val="single" w:color="C5D8E8" w:sz="4"/>
            </w:tcBorders>
            <w:shd w:fill="EBF5FB" w:val="clear"/>
            <w:tcMar>
              <w:top w:type="dxa" w:w="80"/>
              <w:left w:type="dxa" w:w="140"/>
              <w:bottom w:type="dxa" w:w="80"/>
              <w:right w:type="dxa" w:w="140"/>
            </w:tcMar>
          </w:tcPr>
          <w:p>
            <w:r>
              <w:rPr>
                <w:rFonts w:ascii="Arial" w:cs="Arial" w:eastAsia="Arial" w:hAnsi="Arial"/>
                <w:b/>
                <w:bCs/>
                <w:color w:val="1B4F72"/>
                <w:sz w:val="18"/>
                <w:szCs w:val="18"/>
              </w:rPr>
              <w:t xml:space="preserve">Status</w:t>
            </w:r>
          </w:p>
        </w:tc>
        <w:tc>
          <w:tcPr>
            <w:tcW w:type="dxa" w:w="7200"/>
            <w:tcBorders>
              <w:top w:val="single" w:color="C5D8E8" w:sz="4"/>
              <w:left w:val="single" w:color="C5D8E8" w:sz="4"/>
              <w:bottom w:val="single" w:color="C5D8E8" w:sz="4"/>
              <w:right w:val="single" w:color="C5D8E8" w:sz="4"/>
            </w:tcBorders>
            <w:shd w:fill="FFFFFF" w:val="clear"/>
            <w:tcMar>
              <w:top w:type="dxa" w:w="80"/>
              <w:left w:type="dxa" w:w="140"/>
              <w:bottom w:type="dxa" w:w="80"/>
              <w:right w:type="dxa" w:w="140"/>
            </w:tcMar>
          </w:tcPr>
          <w:p>
            <w:r>
              <w:rPr>
                <w:rFonts w:ascii="Arial" w:cs="Arial" w:eastAsia="Arial" w:hAnsi="Arial"/>
                <w:color w:val="555555"/>
                <w:sz w:val="18"/>
                <w:szCs w:val="18"/>
              </w:rPr>
              <w:t xml:space="preserve">✓  Ready for Client Preview Deployment</w:t>
            </w:r>
          </w:p>
        </w:tc>
      </w:tr>
    </w:tbl>
    <w:p>
      <w:pPr>
        <w:spacing w:after="400"/>
      </w:pPr>
    </w:p>
    <w:p>
      <w:pPr>
        <w:pStyle w:val="Heading1"/>
        <w:pBdr>
          <w:bottom w:val="single" w:color="2E86C1" w:sz="6" w:space="4"/>
        </w:pBdr>
        <w:spacing w:after="160" w:before="360"/>
      </w:pPr>
      <w:r>
        <w:rPr>
          <w:rFonts w:ascii="Arial" w:cs="Arial" w:eastAsia="Arial" w:hAnsi="Arial"/>
          <w:b/>
          <w:bCs/>
          <w:color w:val="1B4F72"/>
          <w:sz w:val="28"/>
          <w:szCs w:val="28"/>
        </w:rPr>
        <w:t xml:space="preserve">Executive Summary</w:t>
      </w:r>
    </w:p>
    <w:p>
      <w:pPr>
        <w:spacing w:after="120"/>
      </w:pPr>
      <w:r>
        <w:rPr>
          <w:rFonts w:ascii="Arial" w:cs="Arial" w:eastAsia="Arial" w:hAnsi="Arial"/>
          <w:color w:val="555555"/>
          <w:sz w:val="20"/>
          <w:szCs w:val="20"/>
        </w:rPr>
        <w:t xml:space="preserve">Prior to deploying The Oasis platform to a client-accessible environment, the engineering team conducted a targeted security and configuration review of the Laravel backend API. The review identified six vulnerabilities ranging from critical (unauthenticated database mutation) to high (information disclosure). All six issues were remediated before this deployment.</w:t>
      </w:r>
    </w:p>
    <w:p>
      <w:pPr>
        <w:spacing w:after="120"/>
      </w:pPr>
      <w:r>
        <w:rPr>
          <w:rFonts w:ascii="Arial" w:cs="Arial" w:eastAsia="Arial" w:hAnsi="Arial"/>
          <w:color w:val="555555"/>
          <w:sz w:val="20"/>
          <w:szCs w:val="20"/>
        </w:rPr>
        <w:t xml:space="preserve">This document provides a complete record of each finding: what was observed, why it posed a risk, the specific fix applied, and the resulting security posture. It is intended for technical stakeholders and project owners who need confidence that the platform meets baseline security standards before client access is granted.</w:t>
      </w:r>
    </w:p>
    <w:p>
      <w:pPr>
        <w:spacing w:after="80"/>
      </w:pPr>
    </w:p>
    <w:p>
      <w:pPr>
        <w:pStyle w:val="Heading2"/>
        <w:spacing w:after="100" w:before="280"/>
      </w:pPr>
      <w:r>
        <w:rPr>
          <w:rFonts w:ascii="Arial" w:cs="Arial" w:eastAsia="Arial" w:hAnsi="Arial"/>
          <w:b/>
          <w:bCs/>
          <w:color w:val="2E86C1"/>
          <w:sz w:val="24"/>
          <w:szCs w:val="24"/>
        </w:rPr>
        <w:t xml:space="preserve">Findings at a Glance</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360"/>
        <w:gridCol w:w="1400"/>
        <w:gridCol w:w="1400"/>
        <w:gridCol w:w="1800"/>
      </w:tblGrid>
      <w:tr>
        <w:tc>
          <w:tcPr>
            <w:tcW w:type="dxa" w:w="400"/>
            <w:tcBorders>
              <w:top w:val="single" w:color="2E86C1" w:sz="4"/>
              <w:left w:val="single" w:color="2E86C1" w:sz="4"/>
              <w:bottom w:val="single" w:color="2E86C1" w:sz="4"/>
              <w:right w:val="single" w:color="2E86C1" w:sz="4"/>
            </w:tcBorders>
            <w:shd w:fill="1B4F72" w:val="clear"/>
            <w:tcMar>
              <w:top w:type="dxa" w:w="70"/>
              <w:left w:type="dxa" w:w="100"/>
              <w:bottom w:type="dxa" w:w="70"/>
              <w:right w:type="dxa" w:w="100"/>
            </w:tcMar>
          </w:tcPr>
          <w:p>
            <w:r>
              <w:rPr>
                <w:rFonts w:ascii="Arial" w:cs="Arial" w:eastAsia="Arial" w:hAnsi="Arial"/>
                <w:b/>
                <w:bCs/>
                <w:color w:val="FFFFFF"/>
                <w:sz w:val="18"/>
                <w:szCs w:val="18"/>
              </w:rPr>
              <w:t xml:space="preserve">#</w:t>
            </w:r>
          </w:p>
        </w:tc>
        <w:tc>
          <w:tcPr>
            <w:tcW w:type="dxa" w:w="4360"/>
            <w:tcBorders>
              <w:top w:val="single" w:color="2E86C1" w:sz="4"/>
              <w:left w:val="single" w:color="2E86C1" w:sz="4"/>
              <w:bottom w:val="single" w:color="2E86C1" w:sz="4"/>
              <w:right w:val="single" w:color="2E86C1" w:sz="4"/>
            </w:tcBorders>
            <w:shd w:fill="1B4F72" w:val="clear"/>
            <w:tcMar>
              <w:top w:type="dxa" w:w="70"/>
              <w:left w:type="dxa" w:w="100"/>
              <w:bottom w:type="dxa" w:w="70"/>
              <w:right w:type="dxa" w:w="100"/>
            </w:tcMar>
          </w:tcPr>
          <w:p>
            <w:r>
              <w:rPr>
                <w:rFonts w:ascii="Arial" w:cs="Arial" w:eastAsia="Arial" w:hAnsi="Arial"/>
                <w:b/>
                <w:bCs/>
                <w:color w:val="FFFFFF"/>
                <w:sz w:val="18"/>
                <w:szCs w:val="18"/>
              </w:rPr>
              <w:t xml:space="preserve">Title</w:t>
            </w:r>
          </w:p>
        </w:tc>
        <w:tc>
          <w:tcPr>
            <w:tcW w:type="dxa" w:w="1400"/>
            <w:tcBorders>
              <w:top w:val="single" w:color="2E86C1" w:sz="4"/>
              <w:left w:val="single" w:color="2E86C1" w:sz="4"/>
              <w:bottom w:val="single" w:color="2E86C1" w:sz="4"/>
              <w:right w:val="single" w:color="2E86C1" w:sz="4"/>
            </w:tcBorders>
            <w:shd w:fill="1B4F72" w:val="clear"/>
            <w:tcMar>
              <w:top w:type="dxa" w:w="70"/>
              <w:left w:type="dxa" w:w="100"/>
              <w:bottom w:type="dxa" w:w="70"/>
              <w:right w:type="dxa" w:w="100"/>
            </w:tcMar>
          </w:tcPr>
          <w:p>
            <w:r>
              <w:rPr>
                <w:rFonts w:ascii="Arial" w:cs="Arial" w:eastAsia="Arial" w:hAnsi="Arial"/>
                <w:b/>
                <w:bCs/>
                <w:color w:val="FFFFFF"/>
                <w:sz w:val="18"/>
                <w:szCs w:val="18"/>
              </w:rPr>
              <w:t xml:space="preserve">Severity</w:t>
            </w:r>
          </w:p>
        </w:tc>
        <w:tc>
          <w:tcPr>
            <w:tcW w:type="dxa" w:w="1400"/>
            <w:tcBorders>
              <w:top w:val="single" w:color="2E86C1" w:sz="4"/>
              <w:left w:val="single" w:color="2E86C1" w:sz="4"/>
              <w:bottom w:val="single" w:color="2E86C1" w:sz="4"/>
              <w:right w:val="single" w:color="2E86C1" w:sz="4"/>
            </w:tcBorders>
            <w:shd w:fill="1B4F72" w:val="clear"/>
            <w:tcMar>
              <w:top w:type="dxa" w:w="70"/>
              <w:left w:type="dxa" w:w="100"/>
              <w:bottom w:type="dxa" w:w="70"/>
              <w:right w:type="dxa" w:w="100"/>
            </w:tcMar>
          </w:tcPr>
          <w:p>
            <w:r>
              <w:rPr>
                <w:rFonts w:ascii="Arial" w:cs="Arial" w:eastAsia="Arial" w:hAnsi="Arial"/>
                <w:b/>
                <w:bCs/>
                <w:color w:val="FFFFFF"/>
                <w:sz w:val="18"/>
                <w:szCs w:val="18"/>
              </w:rPr>
              <w:t xml:space="preserve">Component</w:t>
            </w:r>
          </w:p>
        </w:tc>
        <w:tc>
          <w:tcPr>
            <w:tcW w:type="dxa" w:w="1800"/>
            <w:tcBorders>
              <w:top w:val="single" w:color="2E86C1" w:sz="4"/>
              <w:left w:val="single" w:color="2E86C1" w:sz="4"/>
              <w:bottom w:val="single" w:color="2E86C1" w:sz="4"/>
              <w:right w:val="single" w:color="2E86C1" w:sz="4"/>
            </w:tcBorders>
            <w:shd w:fill="1B4F72" w:val="clear"/>
            <w:tcMar>
              <w:top w:type="dxa" w:w="70"/>
              <w:left w:type="dxa" w:w="100"/>
              <w:bottom w:type="dxa" w:w="70"/>
              <w:right w:type="dxa" w:w="100"/>
            </w:tcMar>
          </w:tcPr>
          <w:p>
            <w:r>
              <w:rPr>
                <w:rFonts w:ascii="Arial" w:cs="Arial" w:eastAsia="Arial" w:hAnsi="Arial"/>
                <w:b/>
                <w:bCs/>
                <w:color w:val="FFFFFF"/>
                <w:sz w:val="18"/>
                <w:szCs w:val="18"/>
              </w:rPr>
              <w:t xml:space="preserve">Status</w:t>
            </w:r>
          </w:p>
        </w:tc>
      </w:tr>
      <w:tr>
        <w:tc>
          <w:tcPr>
            <w:tcW w:type="dxa" w:w="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1</w:t>
            </w:r>
          </w:p>
        </w:tc>
        <w:tc>
          <w:tcPr>
            <w:tcW w:type="dxa" w:w="436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Public Route — Database Schema Mutation</w:t>
            </w:r>
          </w:p>
        </w:tc>
        <w:tc>
          <w:tcPr>
            <w:tcW w:type="dxa" w:w="1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bCs/>
                <w:color w:val="922B21"/>
                <w:sz w:val="18"/>
                <w:szCs w:val="18"/>
              </w:rPr>
              <w:t xml:space="preserve">Critical</w:t>
            </w:r>
          </w:p>
        </w:tc>
        <w:tc>
          <w:tcPr>
            <w:tcW w:type="dxa" w:w="1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routes/api.php</w:t>
            </w:r>
          </w:p>
        </w:tc>
        <w:tc>
          <w:tcPr>
            <w:tcW w:type="dxa" w:w="18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bCs/>
                <w:color w:val="1E8449"/>
                <w:sz w:val="18"/>
                <w:szCs w:val="18"/>
              </w:rPr>
              <w:t xml:space="preserve">✓ Fixed</w:t>
            </w:r>
          </w:p>
        </w:tc>
      </w:tr>
      <w:tr>
        <w:tc>
          <w:tcPr>
            <w:tcW w:type="dxa" w:w="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2</w:t>
            </w:r>
          </w:p>
        </w:tc>
        <w:tc>
          <w:tcPr>
            <w:tcW w:type="dxa" w:w="436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Core Resources Without Authentication</w:t>
            </w:r>
          </w:p>
        </w:tc>
        <w:tc>
          <w:tcPr>
            <w:tcW w:type="dxa" w:w="1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bCs/>
                <w:color w:val="922B21"/>
                <w:sz w:val="18"/>
                <w:szCs w:val="18"/>
              </w:rPr>
              <w:t xml:space="preserve">Critical</w:t>
            </w:r>
          </w:p>
        </w:tc>
        <w:tc>
          <w:tcPr>
            <w:tcW w:type="dxa" w:w="1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routes/api.php</w:t>
            </w:r>
          </w:p>
        </w:tc>
        <w:tc>
          <w:tcPr>
            <w:tcW w:type="dxa" w:w="18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bCs/>
                <w:color w:val="1E8449"/>
                <w:sz w:val="18"/>
                <w:szCs w:val="18"/>
              </w:rPr>
              <w:t xml:space="preserve">✓ Fixed</w:t>
            </w:r>
          </w:p>
        </w:tc>
      </w:tr>
      <w:tr>
        <w:tc>
          <w:tcPr>
            <w:tcW w:type="dxa" w:w="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3</w:t>
            </w:r>
          </w:p>
        </w:tc>
        <w:tc>
          <w:tcPr>
            <w:tcW w:type="dxa" w:w="436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AI Chat Endpoint Publicly Accessible</w:t>
            </w:r>
          </w:p>
        </w:tc>
        <w:tc>
          <w:tcPr>
            <w:tcW w:type="dxa" w:w="1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bCs/>
                <w:color w:val="922B21"/>
                <w:sz w:val="18"/>
                <w:szCs w:val="18"/>
              </w:rPr>
              <w:t xml:space="preserve">Critical</w:t>
            </w:r>
          </w:p>
        </w:tc>
        <w:tc>
          <w:tcPr>
            <w:tcW w:type="dxa" w:w="1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routes/api.php</w:t>
            </w:r>
          </w:p>
        </w:tc>
        <w:tc>
          <w:tcPr>
            <w:tcW w:type="dxa" w:w="18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bCs/>
                <w:color w:val="1E8449"/>
                <w:sz w:val="18"/>
                <w:szCs w:val="18"/>
              </w:rPr>
              <w:t xml:space="preserve">✓ Fixed</w:t>
            </w:r>
          </w:p>
        </w:tc>
      </w:tr>
      <w:tr>
        <w:tc>
          <w:tcPr>
            <w:tcW w:type="dxa" w:w="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4</w:t>
            </w:r>
          </w:p>
        </w:tc>
        <w:tc>
          <w:tcPr>
            <w:tcW w:type="dxa" w:w="436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Reports Endpoint Publicly Accessible</w:t>
            </w:r>
          </w:p>
        </w:tc>
        <w:tc>
          <w:tcPr>
            <w:tcW w:type="dxa" w:w="1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bCs/>
                <w:color w:val="784212"/>
                <w:sz w:val="18"/>
                <w:szCs w:val="18"/>
              </w:rPr>
              <w:t xml:space="preserve">High</w:t>
            </w:r>
          </w:p>
        </w:tc>
        <w:tc>
          <w:tcPr>
            <w:tcW w:type="dxa" w:w="1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routes/api.php</w:t>
            </w:r>
          </w:p>
        </w:tc>
        <w:tc>
          <w:tcPr>
            <w:tcW w:type="dxa" w:w="18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bCs/>
                <w:color w:val="1E8449"/>
                <w:sz w:val="18"/>
                <w:szCs w:val="18"/>
              </w:rPr>
              <w:t xml:space="preserve">✓ Fixed</w:t>
            </w:r>
          </w:p>
        </w:tc>
      </w:tr>
      <w:tr>
        <w:tc>
          <w:tcPr>
            <w:tcW w:type="dxa" w:w="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5</w:t>
            </w:r>
          </w:p>
        </w:tc>
        <w:tc>
          <w:tcPr>
            <w:tcW w:type="dxa" w:w="436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Password Reset Token in API Response</w:t>
            </w:r>
          </w:p>
        </w:tc>
        <w:tc>
          <w:tcPr>
            <w:tcW w:type="dxa" w:w="1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bCs/>
                <w:color w:val="784212"/>
                <w:sz w:val="18"/>
                <w:szCs w:val="18"/>
              </w:rPr>
              <w:t xml:space="preserve">High</w:t>
            </w:r>
          </w:p>
        </w:tc>
        <w:tc>
          <w:tcPr>
            <w:tcW w:type="dxa" w:w="14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val="false"/>
                <w:bCs w:val="false"/>
                <w:color w:val="555555"/>
                <w:sz w:val="18"/>
                <w:szCs w:val="18"/>
              </w:rPr>
              <w:t xml:space="preserve">AuthController.php</w:t>
            </w:r>
          </w:p>
        </w:tc>
        <w:tc>
          <w:tcPr>
            <w:tcW w:type="dxa" w:w="1800"/>
            <w:tcBorders>
              <w:top w:val="single" w:color="C5D8E8" w:sz="4"/>
              <w:left w:val="single" w:color="C5D8E8" w:sz="4"/>
              <w:bottom w:val="single" w:color="C5D8E8" w:sz="4"/>
              <w:right w:val="single" w:color="C5D8E8" w:sz="4"/>
            </w:tcBorders>
            <w:shd w:fill="FFFFFF" w:val="clear"/>
            <w:tcMar>
              <w:top w:type="dxa" w:w="60"/>
              <w:left w:type="dxa" w:w="100"/>
              <w:bottom w:type="dxa" w:w="60"/>
              <w:right w:type="dxa" w:w="100"/>
            </w:tcMar>
          </w:tcPr>
          <w:p>
            <w:r>
              <w:rPr>
                <w:rFonts w:ascii="Arial" w:cs="Arial" w:eastAsia="Arial" w:hAnsi="Arial"/>
                <w:b/>
                <w:bCs/>
                <w:color w:val="1E8449"/>
                <w:sz w:val="18"/>
                <w:szCs w:val="18"/>
              </w:rPr>
              <w:t xml:space="preserve">✓ Fixed</w:t>
            </w:r>
          </w:p>
        </w:tc>
      </w:tr>
      <w:tr>
        <w:tc>
          <w:tcPr>
            <w:tcW w:type="dxa" w:w="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6</w:t>
            </w:r>
          </w:p>
        </w:tc>
        <w:tc>
          <w:tcPr>
            <w:tcW w:type="dxa" w:w="436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Debug Mode in Production</w:t>
            </w:r>
          </w:p>
        </w:tc>
        <w:tc>
          <w:tcPr>
            <w:tcW w:type="dxa" w:w="1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bCs/>
                <w:color w:val="784212"/>
                <w:sz w:val="18"/>
                <w:szCs w:val="18"/>
              </w:rPr>
              <w:t xml:space="preserve">High</w:t>
            </w:r>
          </w:p>
        </w:tc>
        <w:tc>
          <w:tcPr>
            <w:tcW w:type="dxa" w:w="14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val="false"/>
                <w:bCs w:val="false"/>
                <w:color w:val="555555"/>
                <w:sz w:val="18"/>
                <w:szCs w:val="18"/>
              </w:rPr>
              <w:t xml:space="preserve">.env / config</w:t>
            </w:r>
          </w:p>
        </w:tc>
        <w:tc>
          <w:tcPr>
            <w:tcW w:type="dxa" w:w="1800"/>
            <w:tcBorders>
              <w:top w:val="single" w:color="C5D8E8" w:sz="4"/>
              <w:left w:val="single" w:color="C5D8E8" w:sz="4"/>
              <w:bottom w:val="single" w:color="C5D8E8" w:sz="4"/>
              <w:right w:val="single" w:color="C5D8E8" w:sz="4"/>
            </w:tcBorders>
            <w:shd w:fill="EBF5FB" w:val="clear"/>
            <w:tcMar>
              <w:top w:type="dxa" w:w="60"/>
              <w:left w:type="dxa" w:w="100"/>
              <w:bottom w:type="dxa" w:w="60"/>
              <w:right w:type="dxa" w:w="100"/>
            </w:tcMar>
          </w:tcPr>
          <w:p>
            <w:r>
              <w:rPr>
                <w:rFonts w:ascii="Arial" w:cs="Arial" w:eastAsia="Arial" w:hAnsi="Arial"/>
                <w:b/>
                <w:bCs/>
                <w:color w:val="1E8449"/>
                <w:sz w:val="18"/>
                <w:szCs w:val="18"/>
              </w:rPr>
              <w:t xml:space="preserve">✓ Fixed</w:t>
            </w:r>
          </w:p>
        </w:tc>
      </w:tr>
    </w:tbl>
    <w:p>
      <w:pPr>
        <w:spacing w:after="320"/>
      </w:pPr>
    </w:p>
    <w:p>
      <w:pPr>
        <w:pStyle w:val="Heading1"/>
        <w:pBdr>
          <w:bottom w:val="single" w:color="2E86C1" w:sz="6" w:space="4"/>
        </w:pBdr>
        <w:spacing w:after="160" w:before="360"/>
      </w:pPr>
      <w:r>
        <w:rPr>
          <w:rFonts w:ascii="Arial" w:cs="Arial" w:eastAsia="Arial" w:hAnsi="Arial"/>
          <w:b/>
          <w:bCs/>
          <w:color w:val="1B4F72"/>
          <w:sz w:val="28"/>
          <w:szCs w:val="28"/>
        </w:rPr>
        <w:t xml:space="preserve">Detailed Findings and Remediation</w:t>
      </w:r>
    </w:p>
    <w:p>
      <w:pPr>
        <w:spacing w:after="120"/>
      </w:pPr>
      <w:r>
        <w:rPr>
          <w:rFonts w:ascii="Arial" w:cs="Arial" w:eastAsia="Arial" w:hAnsi="Arial"/>
          <w:color w:val="555555"/>
          <w:sz w:val="20"/>
          <w:szCs w:val="20"/>
        </w:rPr>
        <w:t xml:space="preserve">Each finding below follows a consistent format: the affected component, what was found, the risk it introduced, the fix applied, and the resulting outcome.</w:t>
      </w:r>
    </w:p>
    <w:p>
      <w:pPr>
        <w:spacing w:after="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2E86C1" w:sz="4"/>
              <w:left w:val="single" w:color="2E86C1" w:sz="4"/>
              <w:bottom w:val="single" w:color="2E86C1" w:sz="4"/>
              <w:right w:val="single" w:color="2E86C1" w:sz="4"/>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#1  Public Route Performing Schema-Level Database Mutations</w:t>
            </w:r>
            <w:r>
              <w:t xml:space="preserve">   </w:t>
            </w:r>
            <w:r>
              <w:rPr>
                <w:rFonts w:ascii="Arial" w:cs="Arial" w:eastAsia="Arial" w:hAnsi="Arial"/>
                <w:b/>
                <w:bCs/>
                <w:color w:val="FF9999"/>
                <w:sz w:val="18"/>
                <w:szCs w:val="18"/>
              </w:rPr>
              <w:t xml:space="preserve">● Critical</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Component</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backend/routes/api.php  -&gt;  GET /fix-roles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Finding</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A route accessible to any unauthenticated HTTP client executed raw ALTER TABLE and bulk UPDATE SQL statements directly against the production database. No authentication, authorisation, or rate-limiting protected it.</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Risk</w:t>
            </w:r>
          </w:p>
        </w:tc>
        <w:tc>
          <w:tcPr>
            <w:tcW w:type="dxa" w:w="7200"/>
            <w:tcBorders>
              <w:top w:val="single" w:color="C5D8E8" w:sz="4"/>
              <w:left w:val="single" w:color="C5D8E8" w:sz="4"/>
              <w:bottom w:val="single" w:color="C5D8E8" w:sz="4"/>
              <w:right w:val="single" w:color="C5D8E8" w:sz="4"/>
            </w:tcBorders>
            <w:shd w:fill="FEF9F9" w:val="clear"/>
            <w:tcMar>
              <w:top w:type="dxa" w:w="70"/>
              <w:left w:type="dxa" w:w="140"/>
              <w:bottom w:type="dxa" w:w="70"/>
              <w:right w:type="dxa" w:w="140"/>
            </w:tcMar>
          </w:tcPr>
          <w:p>
            <w:r>
              <w:rPr>
                <w:rFonts w:ascii="Arial" w:cs="Arial" w:eastAsia="Arial" w:hAnsi="Arial"/>
                <w:b/>
                <w:bCs/>
                <w:color w:val="922B21"/>
                <w:sz w:val="18"/>
                <w:szCs w:val="18"/>
              </w:rPr>
              <w:t xml:space="preserve">Any person who discovered the URL could permanently alter the database schema or corrupt role assignments for all users — without credentials of any kind. In a live environment this constitutes full database write access to the public internet.</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Fix Applied</w:t>
            </w:r>
          </w:p>
        </w:tc>
        <w:tc>
          <w:tcPr>
            <w:tcW w:type="dxa" w:w="7200"/>
            <w:tcBorders>
              <w:top w:val="single" w:color="C5D8E8" w:sz="4"/>
              <w:left w:val="single" w:color="C5D8E8" w:sz="4"/>
              <w:bottom w:val="single" w:color="C5D8E8" w:sz="4"/>
              <w:right w:val="single" w:color="C5D8E8" w:sz="4"/>
            </w:tcBorders>
            <w:shd w:fill="F0FBF4" w:val="clear"/>
            <w:tcMar>
              <w:top w:type="dxa" w:w="70"/>
              <w:left w:type="dxa" w:w="140"/>
              <w:bottom w:type="dxa" w:w="70"/>
              <w:right w:type="dxa" w:w="140"/>
            </w:tcMar>
          </w:tcPr>
          <w:p>
            <w:r>
              <w:rPr>
                <w:rFonts w:ascii="Arial" w:cs="Arial" w:eastAsia="Arial" w:hAnsi="Arial"/>
                <w:color w:val="1E8449"/>
                <w:sz w:val="18"/>
                <w:szCs w:val="18"/>
              </w:rPr>
              <w:t xml:space="preserve">The /fix-roles route has been permanently removed. One-time schema migrations are now handled exclusively through Laravel's migration system (php artisan migrate), which runs in authenticated deployment pipelines only.</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Outcome</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The endpoint no longer exists. Database structure changes require a code deployment; they cannot be triggered via HTTP.</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2E86C1" w:sz="4"/>
              <w:left w:val="single" w:color="2E86C1" w:sz="4"/>
              <w:bottom w:val="single" w:color="2E86C1" w:sz="4"/>
              <w:right w:val="single" w:color="2E86C1" w:sz="4"/>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#2  Core Resource Routes Lacking Authentication Middleware</w:t>
            </w:r>
            <w:r>
              <w:t xml:space="preserve">   </w:t>
            </w:r>
            <w:r>
              <w:rPr>
                <w:rFonts w:ascii="Arial" w:cs="Arial" w:eastAsia="Arial" w:hAnsi="Arial"/>
                <w:b/>
                <w:bCs/>
                <w:color w:val="FF9999"/>
                <w:sz w:val="18"/>
                <w:szCs w:val="18"/>
              </w:rPr>
              <w:t xml:space="preserve">● Critical</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Component</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backend/routes/api.php  -&gt;  animals, devices, geofences, tasks, auctions, medical-records, subscriptions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Finding</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The majority of business-critical API routes — including animal records, IoT device management, geofence configurations, task management, auction listings, medical records, and subscription data — were registered outside any authentication middleware group. Any HTTP client could read, create, update, or delete this data without logging in.</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Risk</w:t>
            </w:r>
          </w:p>
        </w:tc>
        <w:tc>
          <w:tcPr>
            <w:tcW w:type="dxa" w:w="7200"/>
            <w:tcBorders>
              <w:top w:val="single" w:color="C5D8E8" w:sz="4"/>
              <w:left w:val="single" w:color="C5D8E8" w:sz="4"/>
              <w:bottom w:val="single" w:color="C5D8E8" w:sz="4"/>
              <w:right w:val="single" w:color="C5D8E8" w:sz="4"/>
            </w:tcBorders>
            <w:shd w:fill="FEF9F9" w:val="clear"/>
            <w:tcMar>
              <w:top w:type="dxa" w:w="70"/>
              <w:left w:type="dxa" w:w="140"/>
              <w:bottom w:type="dxa" w:w="70"/>
              <w:right w:type="dxa" w:w="140"/>
            </w:tcMar>
          </w:tcPr>
          <w:p>
            <w:r>
              <w:rPr>
                <w:rFonts w:ascii="Arial" w:cs="Arial" w:eastAsia="Arial" w:hAnsi="Arial"/>
                <w:b/>
                <w:bCs/>
                <w:color w:val="922B21"/>
                <w:sz w:val="18"/>
                <w:szCs w:val="18"/>
              </w:rPr>
              <w:t xml:space="preserve">Complete unauthorised access to all operational data. Competitors, scrapers, or malicious actors could exfiltrate the entire animal inventory, manipulate auction prices, alter medical records, or delete geofences — all without credentials.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Fix Applied</w:t>
            </w:r>
          </w:p>
        </w:tc>
        <w:tc>
          <w:tcPr>
            <w:tcW w:type="dxa" w:w="7200"/>
            <w:tcBorders>
              <w:top w:val="single" w:color="C5D8E8" w:sz="4"/>
              <w:left w:val="single" w:color="C5D8E8" w:sz="4"/>
              <w:bottom w:val="single" w:color="C5D8E8" w:sz="4"/>
              <w:right w:val="single" w:color="C5D8E8" w:sz="4"/>
            </w:tcBorders>
            <w:shd w:fill="F0FBF4" w:val="clear"/>
            <w:tcMar>
              <w:top w:type="dxa" w:w="70"/>
              <w:left w:type="dxa" w:w="140"/>
              <w:bottom w:type="dxa" w:w="70"/>
              <w:right w:type="dxa" w:w="140"/>
            </w:tcMar>
          </w:tcPr>
          <w:p>
            <w:r>
              <w:rPr>
                <w:rFonts w:ascii="Arial" w:cs="Arial" w:eastAsia="Arial" w:hAnsi="Arial"/>
                <w:color w:val="1E8449"/>
                <w:sz w:val="18"/>
                <w:szCs w:val="18"/>
              </w:rPr>
              <w:t xml:space="preserve">All affected routes have been moved inside a Route::middleware('auth:sanctum')-&gt;group() block. Laravel Sanctum now validates a Bearer token on every request. Admin-only routes additionally enforce the role:admin middleware.</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Outcome</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Every data-modifying and data-reading endpoint now requires a valid authenticated session. Unauthenticated requests receive a 401 Unauthorized response.</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2E86C1" w:sz="4"/>
              <w:left w:val="single" w:color="2E86C1" w:sz="4"/>
              <w:bottom w:val="single" w:color="2E86C1" w:sz="4"/>
              <w:right w:val="single" w:color="2E86C1" w:sz="4"/>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#3  AI Chat Endpoint Publicly Accessible</w:t>
            </w:r>
            <w:r>
              <w:t xml:space="preserve">   </w:t>
            </w:r>
            <w:r>
              <w:rPr>
                <w:rFonts w:ascii="Arial" w:cs="Arial" w:eastAsia="Arial" w:hAnsi="Arial"/>
                <w:b/>
                <w:bCs/>
                <w:color w:val="FF9999"/>
                <w:sz w:val="18"/>
                <w:szCs w:val="18"/>
              </w:rPr>
              <w:t xml:space="preserve">● Critical</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Component</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backend/routes/api.php  -&gt;  POST /ai/chat</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Finding</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The Gemini AI chat endpoint — which proxies requests to Google's Gemini API using the application's own API key — was reachable without authentication. Anyone could send arbitrary prompts at the application's expense.</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Risk</w:t>
            </w:r>
          </w:p>
        </w:tc>
        <w:tc>
          <w:tcPr>
            <w:tcW w:type="dxa" w:w="7200"/>
            <w:tcBorders>
              <w:top w:val="single" w:color="C5D8E8" w:sz="4"/>
              <w:left w:val="single" w:color="C5D8E8" w:sz="4"/>
              <w:bottom w:val="single" w:color="C5D8E8" w:sz="4"/>
              <w:right w:val="single" w:color="C5D8E8" w:sz="4"/>
            </w:tcBorders>
            <w:shd w:fill="FEF9F9" w:val="clear"/>
            <w:tcMar>
              <w:top w:type="dxa" w:w="70"/>
              <w:left w:type="dxa" w:w="140"/>
              <w:bottom w:type="dxa" w:w="70"/>
              <w:right w:type="dxa" w:w="140"/>
            </w:tcMar>
          </w:tcPr>
          <w:p>
            <w:r>
              <w:rPr>
                <w:rFonts w:ascii="Arial" w:cs="Arial" w:eastAsia="Arial" w:hAnsi="Arial"/>
                <w:b/>
                <w:bCs/>
                <w:color w:val="922B21"/>
                <w:sz w:val="18"/>
                <w:szCs w:val="18"/>
              </w:rPr>
              <w:t xml:space="preserve">Unlimited abuse of the application's Gemini API quota and budget. A single automated script could exhaust the API credit limit within minutes, causing service disruption for legitimate users and unexpected billing charges.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Fix Applied</w:t>
            </w:r>
          </w:p>
        </w:tc>
        <w:tc>
          <w:tcPr>
            <w:tcW w:type="dxa" w:w="7200"/>
            <w:tcBorders>
              <w:top w:val="single" w:color="C5D8E8" w:sz="4"/>
              <w:left w:val="single" w:color="C5D8E8" w:sz="4"/>
              <w:bottom w:val="single" w:color="C5D8E8" w:sz="4"/>
              <w:right w:val="single" w:color="C5D8E8" w:sz="4"/>
            </w:tcBorders>
            <w:shd w:fill="F0FBF4" w:val="clear"/>
            <w:tcMar>
              <w:top w:type="dxa" w:w="70"/>
              <w:left w:type="dxa" w:w="140"/>
              <w:bottom w:type="dxa" w:w="70"/>
              <w:right w:type="dxa" w:w="140"/>
            </w:tcMar>
          </w:tcPr>
          <w:p>
            <w:r>
              <w:rPr>
                <w:rFonts w:ascii="Arial" w:cs="Arial" w:eastAsia="Arial" w:hAnsi="Arial"/>
                <w:color w:val="1E8449"/>
                <w:sz w:val="18"/>
                <w:szCs w:val="18"/>
              </w:rPr>
              <w:t xml:space="preserve">POST /ai/chat has been placed inside the auth:sanctum middleware group. Only authenticated users can initiate AI conversations.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Outcome</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AI usage is now tied to authenticated user accounts, enabling per-user rate limiting and preventing credential abuse.</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2E86C1" w:sz="4"/>
              <w:left w:val="single" w:color="2E86C1" w:sz="4"/>
              <w:bottom w:val="single" w:color="2E86C1" w:sz="4"/>
              <w:right w:val="single" w:color="2E86C1" w:sz="4"/>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#4  Reports Endpoint Publicly Accessible</w:t>
            </w:r>
            <w:r>
              <w:t xml:space="preserve">   </w:t>
            </w:r>
            <w:r>
              <w:rPr>
                <w:rFonts w:ascii="Arial" w:cs="Arial" w:eastAsia="Arial" w:hAnsi="Arial"/>
                <w:b/>
                <w:bCs/>
                <w:color w:val="FFCC99"/>
                <w:sz w:val="18"/>
                <w:szCs w:val="18"/>
              </w:rPr>
              <w:t xml:space="preserve">● High</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Component</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backend/routes/api.php  -&gt;  GET /reports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Finding</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The reporting endpoint, which aggregates sensitive business intelligence (animal counts, financial summaries, activity logs), was accessible without authentication.</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Risk</w:t>
            </w:r>
          </w:p>
        </w:tc>
        <w:tc>
          <w:tcPr>
            <w:tcW w:type="dxa" w:w="7200"/>
            <w:tcBorders>
              <w:top w:val="single" w:color="C5D8E8" w:sz="4"/>
              <w:left w:val="single" w:color="C5D8E8" w:sz="4"/>
              <w:bottom w:val="single" w:color="C5D8E8" w:sz="4"/>
              <w:right w:val="single" w:color="C5D8E8" w:sz="4"/>
            </w:tcBorders>
            <w:shd w:fill="FEF9F9" w:val="clear"/>
            <w:tcMar>
              <w:top w:type="dxa" w:w="70"/>
              <w:left w:type="dxa" w:w="140"/>
              <w:bottom w:type="dxa" w:w="70"/>
              <w:right w:type="dxa" w:w="140"/>
            </w:tcMar>
          </w:tcPr>
          <w:p>
            <w:r>
              <w:rPr>
                <w:rFonts w:ascii="Arial" w:cs="Arial" w:eastAsia="Arial" w:hAnsi="Arial"/>
                <w:b/>
                <w:bCs/>
                <w:color w:val="922B21"/>
                <w:sz w:val="18"/>
                <w:szCs w:val="18"/>
              </w:rPr>
              <w:t xml:space="preserve">Confidential operational data could be harvested by any external party. Reports typically contain information that clients consider proprietary and competitively sensitive.</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Fix Applied</w:t>
            </w:r>
          </w:p>
        </w:tc>
        <w:tc>
          <w:tcPr>
            <w:tcW w:type="dxa" w:w="7200"/>
            <w:tcBorders>
              <w:top w:val="single" w:color="C5D8E8" w:sz="4"/>
              <w:left w:val="single" w:color="C5D8E8" w:sz="4"/>
              <w:bottom w:val="single" w:color="C5D8E8" w:sz="4"/>
              <w:right w:val="single" w:color="C5D8E8" w:sz="4"/>
            </w:tcBorders>
            <w:shd w:fill="F0FBF4" w:val="clear"/>
            <w:tcMar>
              <w:top w:type="dxa" w:w="70"/>
              <w:left w:type="dxa" w:w="140"/>
              <w:bottom w:type="dxa" w:w="70"/>
              <w:right w:type="dxa" w:w="140"/>
            </w:tcMar>
          </w:tcPr>
          <w:p>
            <w:r>
              <w:rPr>
                <w:rFonts w:ascii="Arial" w:cs="Arial" w:eastAsia="Arial" w:hAnsi="Arial"/>
                <w:color w:val="1E8449"/>
                <w:sz w:val="18"/>
                <w:szCs w:val="18"/>
              </w:rPr>
              <w:t xml:space="preserve">GET /reports has been placed inside the auth:sanctum middleware group.</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Outcome</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Business reports are now restricted to authenticated sessions only.</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2E86C1" w:sz="4"/>
              <w:left w:val="single" w:color="2E86C1" w:sz="4"/>
              <w:bottom w:val="single" w:color="2E86C1" w:sz="4"/>
              <w:right w:val="single" w:color="2E86C1" w:sz="4"/>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#5  Password Reset Token Leaked in API Response</w:t>
            </w:r>
            <w:r>
              <w:t xml:space="preserve">   </w:t>
            </w:r>
            <w:r>
              <w:rPr>
                <w:rFonts w:ascii="Arial" w:cs="Arial" w:eastAsia="Arial" w:hAnsi="Arial"/>
                <w:b/>
                <w:bCs/>
                <w:color w:val="FFCC99"/>
                <w:sz w:val="18"/>
                <w:szCs w:val="18"/>
              </w:rPr>
              <w:t xml:space="preserve">● High</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Component</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backend/app/Http/Controllers/Api/Auth/AuthController.php  -&gt;  forgotPassword()</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Finding</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The password reset API response included a debug_url field containing the raw, full password reset URL with the plaintext token. This was visible to any client calling the endpoint and was likely logged by API monitoring tools.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Risk</w:t>
            </w:r>
          </w:p>
        </w:tc>
        <w:tc>
          <w:tcPr>
            <w:tcW w:type="dxa" w:w="7200"/>
            <w:tcBorders>
              <w:top w:val="single" w:color="C5D8E8" w:sz="4"/>
              <w:left w:val="single" w:color="C5D8E8" w:sz="4"/>
              <w:bottom w:val="single" w:color="C5D8E8" w:sz="4"/>
              <w:right w:val="single" w:color="C5D8E8" w:sz="4"/>
            </w:tcBorders>
            <w:shd w:fill="FEF9F9" w:val="clear"/>
            <w:tcMar>
              <w:top w:type="dxa" w:w="70"/>
              <w:left w:type="dxa" w:w="140"/>
              <w:bottom w:type="dxa" w:w="70"/>
              <w:right w:type="dxa" w:w="140"/>
            </w:tcMar>
          </w:tcPr>
          <w:p>
            <w:r>
              <w:rPr>
                <w:rFonts w:ascii="Arial" w:cs="Arial" w:eastAsia="Arial" w:hAnsi="Arial"/>
                <w:b/>
                <w:bCs/>
                <w:color w:val="922B21"/>
                <w:sz w:val="18"/>
                <w:szCs w:val="18"/>
              </w:rPr>
              <w:t xml:space="preserve">Any party who intercepted, logged, or observed the API response — including browser developer tools, proxy servers, or API testing software — could use the token to reset any user's password without access to their email inbox, effectively bypassing the entire password recovery security model.</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Fix Applied</w:t>
            </w:r>
          </w:p>
        </w:tc>
        <w:tc>
          <w:tcPr>
            <w:tcW w:type="dxa" w:w="7200"/>
            <w:tcBorders>
              <w:top w:val="single" w:color="C5D8E8" w:sz="4"/>
              <w:left w:val="single" w:color="C5D8E8" w:sz="4"/>
              <w:bottom w:val="single" w:color="C5D8E8" w:sz="4"/>
              <w:right w:val="single" w:color="C5D8E8" w:sz="4"/>
            </w:tcBorders>
            <w:shd w:fill="F0FBF4" w:val="clear"/>
            <w:tcMar>
              <w:top w:type="dxa" w:w="70"/>
              <w:left w:type="dxa" w:w="140"/>
              <w:bottom w:type="dxa" w:w="70"/>
              <w:right w:type="dxa" w:w="140"/>
            </w:tcMar>
          </w:tcPr>
          <w:p>
            <w:r>
              <w:rPr>
                <w:rFonts w:ascii="Arial" w:cs="Arial" w:eastAsia="Arial" w:hAnsi="Arial"/>
                <w:color w:val="1E8449"/>
                <w:sz w:val="18"/>
                <w:szCs w:val="18"/>
              </w:rPr>
              <w:t xml:space="preserve">The debug_url field has been removed from the forgotPassword() response. The API now returns only a generic success message confirming that an email has been sent, without exposing any token or URL.</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Outcome</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Password reset tokens are now delivered exclusively via email and never appear in API responses.</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9360"/>
            <w:gridSpan w:val="2"/>
            <w:tcBorders>
              <w:top w:val="single" w:color="2E86C1" w:sz="4"/>
              <w:left w:val="single" w:color="2E86C1" w:sz="4"/>
              <w:bottom w:val="single" w:color="2E86C1" w:sz="4"/>
              <w:right w:val="single" w:color="2E86C1" w:sz="4"/>
            </w:tcBorders>
            <w:shd w:fill="1B4F72" w:val="clear"/>
            <w:tcMar>
              <w:top w:type="dxa" w:w="100"/>
              <w:left w:type="dxa" w:w="160"/>
              <w:bottom w:type="dxa" w:w="100"/>
              <w:right w:type="dxa" w:w="160"/>
            </w:tcMar>
          </w:tcPr>
          <w:p>
            <w:r>
              <w:rPr>
                <w:rFonts w:ascii="Arial" w:cs="Arial" w:eastAsia="Arial" w:hAnsi="Arial"/>
                <w:b/>
                <w:bCs/>
                <w:color w:val="FFFFFF"/>
                <w:sz w:val="22"/>
                <w:szCs w:val="22"/>
              </w:rPr>
              <w:t xml:space="preserve">#6  Debug Mode Enabled in Production Configuration</w:t>
            </w:r>
            <w:r>
              <w:t xml:space="preserve">   </w:t>
            </w:r>
            <w:r>
              <w:rPr>
                <w:rFonts w:ascii="Arial" w:cs="Arial" w:eastAsia="Arial" w:hAnsi="Arial"/>
                <w:b/>
                <w:bCs/>
                <w:color w:val="FFCC99"/>
                <w:sz w:val="18"/>
                <w:szCs w:val="18"/>
              </w:rPr>
              <w:t xml:space="preserve">● High</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Component</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backend/.env  -&gt;  APP_DEBUG</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Finding</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The application's debug mode was not explicitly disabled for production. When APP_DEBUG=true, Laravel returns full stack traces, file paths, environment variable names, and internal application state in HTTP error responses.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Risk</w:t>
            </w:r>
          </w:p>
        </w:tc>
        <w:tc>
          <w:tcPr>
            <w:tcW w:type="dxa" w:w="7200"/>
            <w:tcBorders>
              <w:top w:val="single" w:color="C5D8E8" w:sz="4"/>
              <w:left w:val="single" w:color="C5D8E8" w:sz="4"/>
              <w:bottom w:val="single" w:color="C5D8E8" w:sz="4"/>
              <w:right w:val="single" w:color="C5D8E8" w:sz="4"/>
            </w:tcBorders>
            <w:shd w:fill="FEF9F9" w:val="clear"/>
            <w:tcMar>
              <w:top w:type="dxa" w:w="70"/>
              <w:left w:type="dxa" w:w="140"/>
              <w:bottom w:type="dxa" w:w="70"/>
              <w:right w:type="dxa" w:w="140"/>
            </w:tcMar>
          </w:tcPr>
          <w:p>
            <w:r>
              <w:rPr>
                <w:rFonts w:ascii="Arial" w:cs="Arial" w:eastAsia="Arial" w:hAnsi="Arial"/>
                <w:b/>
                <w:bCs/>
                <w:color w:val="922B21"/>
                <w:sz w:val="18"/>
                <w:szCs w:val="18"/>
              </w:rPr>
              <w:t xml:space="preserve">Detailed error responses expose the application's internal structure — database schema details, dependency versions, file system paths, and configuration values — to anyone who triggers an error. This significantly accelerates targeted attacks by giving attackers a map of the application internals.</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Fix Applied</w:t>
            </w:r>
          </w:p>
        </w:tc>
        <w:tc>
          <w:tcPr>
            <w:tcW w:type="dxa" w:w="7200"/>
            <w:tcBorders>
              <w:top w:val="single" w:color="C5D8E8" w:sz="4"/>
              <w:left w:val="single" w:color="C5D8E8" w:sz="4"/>
              <w:bottom w:val="single" w:color="C5D8E8" w:sz="4"/>
              <w:right w:val="single" w:color="C5D8E8" w:sz="4"/>
            </w:tcBorders>
            <w:shd w:fill="F0FBF4" w:val="clear"/>
            <w:tcMar>
              <w:top w:type="dxa" w:w="70"/>
              <w:left w:type="dxa" w:w="140"/>
              <w:bottom w:type="dxa" w:w="70"/>
              <w:right w:type="dxa" w:w="140"/>
            </w:tcMar>
          </w:tcPr>
          <w:p>
            <w:r>
              <w:rPr>
                <w:rFonts w:ascii="Arial" w:cs="Arial" w:eastAsia="Arial" w:hAnsi="Arial"/>
                <w:color w:val="1E8449"/>
                <w:sz w:val="18"/>
                <w:szCs w:val="18"/>
              </w:rPr>
              <w:t xml:space="preserve">APP_DEBUG=false has been set in the production environment template (.env.production) and documented in the deployment guide as a required variable. Railway deployment instructions explicitly call this out.</w:t>
            </w:r>
          </w:p>
        </w:tc>
      </w:tr>
      <w:tr>
        <w:tc>
          <w:tcPr>
            <w:tcW w:type="dxa" w:w="2160"/>
            <w:tcBorders>
              <w:top w:val="single" w:color="C5D8E8" w:sz="4"/>
              <w:left w:val="single" w:color="C5D8E8" w:sz="4"/>
              <w:bottom w:val="single" w:color="C5D8E8" w:sz="4"/>
              <w:right w:val="single" w:color="C5D8E8" w:sz="4"/>
            </w:tcBorders>
            <w:shd w:fill="EBF5FB" w:val="clear"/>
            <w:tcMar>
              <w:top w:type="dxa" w:w="70"/>
              <w:left w:type="dxa" w:w="140"/>
              <w:bottom w:type="dxa" w:w="70"/>
              <w:right w:type="dxa" w:w="140"/>
            </w:tcMar>
          </w:tcPr>
          <w:p>
            <w:r>
              <w:rPr>
                <w:rFonts w:ascii="Arial" w:cs="Arial" w:eastAsia="Arial" w:hAnsi="Arial"/>
                <w:b/>
                <w:bCs/>
                <w:color w:val="1B4F72"/>
                <w:sz w:val="18"/>
                <w:szCs w:val="18"/>
              </w:rPr>
              <w:t xml:space="preserve">Outcome</w:t>
            </w:r>
          </w:p>
        </w:tc>
        <w:tc>
          <w:tcPr>
            <w:tcW w:type="dxa" w:w="7200"/>
            <w:tcBorders>
              <w:top w:val="single" w:color="C5D8E8" w:sz="4"/>
              <w:left w:val="single" w:color="C5D8E8" w:sz="4"/>
              <w:bottom w:val="single" w:color="C5D8E8" w:sz="4"/>
              <w:right w:val="single" w:color="C5D8E8" w:sz="4"/>
            </w:tcBorders>
            <w:shd w:fill="FFFFFF" w:val="clear"/>
            <w:tcMar>
              <w:top w:type="dxa" w:w="70"/>
              <w:left w:type="dxa" w:w="140"/>
              <w:bottom w:type="dxa" w:w="70"/>
              <w:right w:type="dxa" w:w="140"/>
            </w:tcMar>
          </w:tcPr>
          <w:p>
            <w:r>
              <w:rPr>
                <w:rFonts w:ascii="Arial" w:cs="Arial" w:eastAsia="Arial" w:hAnsi="Arial"/>
                <w:color w:val="555555"/>
                <w:sz w:val="18"/>
                <w:szCs w:val="18"/>
              </w:rPr>
              <w:t xml:space="preserve">Error responses in production return only generic messages. Stack traces are written to server logs only, inaccessible to external clients.</w:t>
            </w:r>
          </w:p>
        </w:tc>
      </w:tr>
    </w:tbl>
    <w:p>
      <w:pPr>
        <w:spacing w:after="160"/>
      </w:pPr>
    </w:p>
    <w:p>
      <w:r>
        <w:br w:type="page"/>
      </w:r>
    </w:p>
    <w:p>
      <w:pPr>
        <w:pStyle w:val="Heading1"/>
        <w:pBdr>
          <w:bottom w:val="single" w:color="2E86C1" w:sz="6" w:space="4"/>
        </w:pBdr>
        <w:spacing w:after="160" w:before="360"/>
      </w:pPr>
      <w:r>
        <w:rPr>
          <w:rFonts w:ascii="Arial" w:cs="Arial" w:eastAsia="Arial" w:hAnsi="Arial"/>
          <w:b/>
          <w:bCs/>
          <w:color w:val="1B4F72"/>
          <w:sz w:val="28"/>
          <w:szCs w:val="28"/>
        </w:rPr>
        <w:t xml:space="preserve">Deployment Configuration</w:t>
      </w:r>
    </w:p>
    <w:p>
      <w:pPr>
        <w:spacing w:after="120"/>
      </w:pPr>
      <w:r>
        <w:rPr>
          <w:rFonts w:ascii="Arial" w:cs="Arial" w:eastAsia="Arial" w:hAnsi="Arial"/>
          <w:color w:val="555555"/>
          <w:sz w:val="20"/>
          <w:szCs w:val="20"/>
        </w:rPr>
        <w:t xml:space="preserve">The following deployment infrastructure was configured as part of this release. Both services use free tiers suitable for a client preview, with a clear upgrade path for production scale.</w:t>
      </w:r>
    </w:p>
    <w:p>
      <w:pPr>
        <w:spacing w:after="80"/>
      </w:pPr>
    </w:p>
    <w:p>
      <w:pPr>
        <w:pStyle w:val="Heading2"/>
        <w:spacing w:after="100" w:before="280"/>
      </w:pPr>
      <w:r>
        <w:rPr>
          <w:rFonts w:ascii="Arial" w:cs="Arial" w:eastAsia="Arial" w:hAnsi="Arial"/>
          <w:b/>
          <w:bCs/>
          <w:color w:val="2E86C1"/>
          <w:sz w:val="24"/>
          <w:szCs w:val="24"/>
        </w:rPr>
        <w:t xml:space="preserve">Backend + React Frontend  ·  Railway.app</w:t>
      </w:r>
    </w:p>
    <w:p>
      <w:pPr>
        <w:spacing w:after="120"/>
      </w:pPr>
      <w:r>
        <w:rPr>
          <w:rFonts w:ascii="Arial" w:cs="Arial" w:eastAsia="Arial" w:hAnsi="Arial"/>
          <w:color w:val="555555"/>
          <w:sz w:val="20"/>
          <w:szCs w:val="20"/>
        </w:rPr>
        <w:t xml:space="preserve">Railway auto-detects PHP/Laravel via Nixpacks. A nixpacks.toml was added to the repository to pin the correct PHP version, install both Composer and Node dependencies, pre-build the React frontend, and run database migrations on startup.</w:t>
      </w:r>
    </w:p>
    <w:p>
      <w:pPr>
        <w:spacing w:after="120"/>
      </w:pPr>
      <w:r>
        <w:rPr>
          <w:rFonts w:ascii="Arial" w:cs="Arial" w:eastAsia="Arial" w:hAnsi="Arial"/>
          <w:color w:val="555555"/>
          <w:sz w:val="20"/>
          <w:szCs w:val="20"/>
        </w:rPr>
        <w:t xml:space="preserve">Required environment variables are documented in backend/.env.production. No real secrets are stored in the repository — all credentials are injected via Railway's environment variable panel at deploy time.</w:t>
      </w:r>
    </w:p>
    <w:p>
      <w:pPr>
        <w:spacing w:after="80"/>
      </w:pPr>
    </w:p>
    <w:p>
      <w:pPr>
        <w:pStyle w:val="Heading2"/>
        <w:spacing w:after="100" w:before="280"/>
      </w:pPr>
      <w:r>
        <w:rPr>
          <w:rFonts w:ascii="Arial" w:cs="Arial" w:eastAsia="Arial" w:hAnsi="Arial"/>
          <w:b/>
          <w:bCs/>
          <w:color w:val="2E86C1"/>
          <w:sz w:val="24"/>
          <w:szCs w:val="24"/>
        </w:rPr>
        <w:t xml:space="preserve">Flutter Mobile Web  ·  Netlify</w:t>
      </w:r>
    </w:p>
    <w:p>
      <w:pPr>
        <w:spacing w:after="120"/>
      </w:pPr>
      <w:r>
        <w:rPr>
          <w:rFonts w:ascii="Arial" w:cs="Arial" w:eastAsia="Arial" w:hAnsi="Arial"/>
          <w:color w:val="555555"/>
          <w:sz w:val="20"/>
          <w:szCs w:val="20"/>
        </w:rPr>
        <w:t xml:space="preserve">The Flutter app was already structured to accept an API_URL at build time via --dart-define (see mobile/lib/config.dart). A netlify.toml was added to the mobile/ directory that passes the Railway backend URL into the Flutter web build and configures SPA routing redirects.</w:t>
      </w:r>
    </w:p>
    <w:p>
      <w:pPr>
        <w:spacing w:after="160"/>
      </w:pPr>
    </w:p>
    <w:p>
      <w:pPr>
        <w:pStyle w:val="Heading2"/>
        <w:spacing w:after="100" w:before="280"/>
      </w:pPr>
      <w:r>
        <w:rPr>
          <w:rFonts w:ascii="Arial" w:cs="Arial" w:eastAsia="Arial" w:hAnsi="Arial"/>
          <w:b/>
          <w:bCs/>
          <w:color w:val="2E86C1"/>
          <w:sz w:val="24"/>
          <w:szCs w:val="24"/>
        </w:rPr>
        <w:t xml:space="preserve">Client-Facing URLs</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480"/>
        <w:gridCol w:w="3080"/>
      </w:tblGrid>
      <w:tr>
        <w:tc>
          <w:tcPr>
            <w:tcW w:type="dxa" w:w="3800"/>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URL</w:t>
            </w:r>
          </w:p>
        </w:tc>
        <w:tc>
          <w:tcPr>
            <w:tcW w:type="dxa" w:w="2480"/>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Service</w:t>
            </w:r>
          </w:p>
        </w:tc>
        <w:tc>
          <w:tcPr>
            <w:tcW w:type="dxa" w:w="3080"/>
            <w:tcBorders>
              <w:top w:val="single" w:color="2E86C1" w:sz="4"/>
              <w:left w:val="single" w:color="2E86C1" w:sz="4"/>
              <w:bottom w:val="single" w:color="2E86C1" w:sz="4"/>
              <w:right w:val="single" w:color="2E86C1" w:sz="4"/>
            </w:tcBorders>
            <w:shd w:fill="1B4F72" w:val="clear"/>
            <w:tcMar>
              <w:top w:type="dxa" w:w="80"/>
              <w:left w:type="dxa" w:w="120"/>
              <w:bottom w:type="dxa" w:w="80"/>
              <w:right w:type="dxa" w:w="120"/>
            </w:tcMar>
          </w:tcPr>
          <w:p>
            <w:r>
              <w:rPr>
                <w:rFonts w:ascii="Arial" w:cs="Arial" w:eastAsia="Arial" w:hAnsi="Arial"/>
                <w:b/>
                <w:bCs/>
                <w:color w:val="FFFFFF"/>
                <w:sz w:val="18"/>
                <w:szCs w:val="18"/>
              </w:rPr>
              <w:t xml:space="preserve">Notes</w:t>
            </w:r>
          </w:p>
        </w:tc>
      </w:tr>
      <w:tr>
        <w:tc>
          <w:tcPr>
            <w:tcW w:type="dxa" w:w="3800"/>
            <w:tcBorders>
              <w:top w:val="single" w:color="C5D8E8" w:sz="4"/>
              <w:left w:val="single" w:color="C5D8E8" w:sz="4"/>
              <w:bottom w:val="single" w:color="C5D8E8" w:sz="4"/>
              <w:right w:val="single" w:color="C5D8E8" w:sz="4"/>
            </w:tcBorders>
            <w:shd w:fill="FFFFFF" w:val="clear"/>
            <w:tcMar>
              <w:top w:type="dxa" w:w="70"/>
              <w:left w:type="dxa" w:w="120"/>
              <w:bottom w:type="dxa" w:w="70"/>
              <w:right w:type="dxa" w:w="120"/>
            </w:tcMar>
          </w:tcPr>
          <w:p>
            <w:r>
              <w:rPr>
                <w:rFonts w:ascii="Arial" w:cs="Arial" w:eastAsia="Arial" w:hAnsi="Arial"/>
                <w:color w:val="555555"/>
                <w:sz w:val="18"/>
                <w:szCs w:val="18"/>
              </w:rPr>
              <w:t xml:space="preserve">https://YOUR-APP.railway.app/app/</w:t>
            </w:r>
          </w:p>
        </w:tc>
        <w:tc>
          <w:tcPr>
            <w:tcW w:type="dxa" w:w="2480"/>
            <w:tcBorders>
              <w:top w:val="single" w:color="C5D8E8" w:sz="4"/>
              <w:left w:val="single" w:color="C5D8E8" w:sz="4"/>
              <w:bottom w:val="single" w:color="C5D8E8" w:sz="4"/>
              <w:right w:val="single" w:color="C5D8E8" w:sz="4"/>
            </w:tcBorders>
            <w:shd w:fill="FFFFFF" w:val="clear"/>
            <w:tcMar>
              <w:top w:type="dxa" w:w="70"/>
              <w:left w:type="dxa" w:w="120"/>
              <w:bottom w:type="dxa" w:w="70"/>
              <w:right w:type="dxa" w:w="120"/>
            </w:tcMar>
          </w:tcPr>
          <w:p>
            <w:r>
              <w:rPr>
                <w:rFonts w:ascii="Arial" w:cs="Arial" w:eastAsia="Arial" w:hAnsi="Arial"/>
                <w:color w:val="555555"/>
                <w:sz w:val="18"/>
                <w:szCs w:val="18"/>
              </w:rPr>
              <w:t xml:space="preserve">React Web Dashboard</w:t>
            </w:r>
          </w:p>
        </w:tc>
        <w:tc>
          <w:tcPr>
            <w:tcW w:type="dxa" w:w="3080"/>
            <w:tcBorders>
              <w:top w:val="single" w:color="C5D8E8" w:sz="4"/>
              <w:left w:val="single" w:color="C5D8E8" w:sz="4"/>
              <w:bottom w:val="single" w:color="C5D8E8" w:sz="4"/>
              <w:right w:val="single" w:color="C5D8E8" w:sz="4"/>
            </w:tcBorders>
            <w:shd w:fill="FFFFFF" w:val="clear"/>
            <w:tcMar>
              <w:top w:type="dxa" w:w="70"/>
              <w:left w:type="dxa" w:w="120"/>
              <w:bottom w:type="dxa" w:w="70"/>
              <w:right w:type="dxa" w:w="120"/>
            </w:tcMar>
          </w:tcPr>
          <w:p>
            <w:r>
              <w:rPr>
                <w:rFonts w:ascii="Arial" w:cs="Arial" w:eastAsia="Arial" w:hAnsi="Arial"/>
                <w:color w:val="555555"/>
                <w:sz w:val="18"/>
                <w:szCs w:val="18"/>
              </w:rPr>
              <w:t xml:space="preserve">Main admin interface</w:t>
            </w:r>
          </w:p>
        </w:tc>
      </w:tr>
      <w:tr>
        <w:tc>
          <w:tcPr>
            <w:tcW w:type="dxa" w:w="3800"/>
            <w:tcBorders>
              <w:top w:val="single" w:color="C5D8E8" w:sz="4"/>
              <w:left w:val="single" w:color="C5D8E8" w:sz="4"/>
              <w:bottom w:val="single" w:color="C5D8E8" w:sz="4"/>
              <w:right w:val="single" w:color="C5D8E8" w:sz="4"/>
            </w:tcBorders>
            <w:shd w:fill="EBF5FB" w:val="clear"/>
            <w:tcMar>
              <w:top w:type="dxa" w:w="70"/>
              <w:left w:type="dxa" w:w="120"/>
              <w:bottom w:type="dxa" w:w="70"/>
              <w:right w:type="dxa" w:w="120"/>
            </w:tcMar>
          </w:tcPr>
          <w:p>
            <w:r>
              <w:rPr>
                <w:rFonts w:ascii="Arial" w:cs="Arial" w:eastAsia="Arial" w:hAnsi="Arial"/>
                <w:color w:val="555555"/>
                <w:sz w:val="18"/>
                <w:szCs w:val="18"/>
              </w:rPr>
              <w:t xml:space="preserve">https://YOUR-MOBILE.netlify.app/</w:t>
            </w:r>
          </w:p>
        </w:tc>
        <w:tc>
          <w:tcPr>
            <w:tcW w:type="dxa" w:w="2480"/>
            <w:tcBorders>
              <w:top w:val="single" w:color="C5D8E8" w:sz="4"/>
              <w:left w:val="single" w:color="C5D8E8" w:sz="4"/>
              <w:bottom w:val="single" w:color="C5D8E8" w:sz="4"/>
              <w:right w:val="single" w:color="C5D8E8" w:sz="4"/>
            </w:tcBorders>
            <w:shd w:fill="EBF5FB" w:val="clear"/>
            <w:tcMar>
              <w:top w:type="dxa" w:w="70"/>
              <w:left w:type="dxa" w:w="120"/>
              <w:bottom w:type="dxa" w:w="70"/>
              <w:right w:type="dxa" w:w="120"/>
            </w:tcMar>
          </w:tcPr>
          <w:p>
            <w:r>
              <w:rPr>
                <w:rFonts w:ascii="Arial" w:cs="Arial" w:eastAsia="Arial" w:hAnsi="Arial"/>
                <w:color w:val="555555"/>
                <w:sz w:val="18"/>
                <w:szCs w:val="18"/>
              </w:rPr>
              <w:t xml:space="preserve">Flutter Mobile Web App</w:t>
            </w:r>
          </w:p>
        </w:tc>
        <w:tc>
          <w:tcPr>
            <w:tcW w:type="dxa" w:w="3080"/>
            <w:tcBorders>
              <w:top w:val="single" w:color="C5D8E8" w:sz="4"/>
              <w:left w:val="single" w:color="C5D8E8" w:sz="4"/>
              <w:bottom w:val="single" w:color="C5D8E8" w:sz="4"/>
              <w:right w:val="single" w:color="C5D8E8" w:sz="4"/>
            </w:tcBorders>
            <w:shd w:fill="EBF5FB" w:val="clear"/>
            <w:tcMar>
              <w:top w:type="dxa" w:w="70"/>
              <w:left w:type="dxa" w:w="120"/>
              <w:bottom w:type="dxa" w:w="70"/>
              <w:right w:type="dxa" w:w="120"/>
            </w:tcMar>
          </w:tcPr>
          <w:p>
            <w:r>
              <w:rPr>
                <w:rFonts w:ascii="Arial" w:cs="Arial" w:eastAsia="Arial" w:hAnsi="Arial"/>
                <w:color w:val="555555"/>
                <w:sz w:val="18"/>
                <w:szCs w:val="18"/>
              </w:rPr>
              <w:t xml:space="preserve">Client-facing mobile view</w:t>
            </w:r>
          </w:p>
        </w:tc>
      </w:tr>
      <w:tr>
        <w:tc>
          <w:tcPr>
            <w:tcW w:type="dxa" w:w="3800"/>
            <w:tcBorders>
              <w:top w:val="single" w:color="C5D8E8" w:sz="4"/>
              <w:left w:val="single" w:color="C5D8E8" w:sz="4"/>
              <w:bottom w:val="single" w:color="C5D8E8" w:sz="4"/>
              <w:right w:val="single" w:color="C5D8E8" w:sz="4"/>
            </w:tcBorders>
            <w:shd w:fill="FFFFFF" w:val="clear"/>
            <w:tcMar>
              <w:top w:type="dxa" w:w="70"/>
              <w:left w:type="dxa" w:w="120"/>
              <w:bottom w:type="dxa" w:w="70"/>
              <w:right w:type="dxa" w:w="120"/>
            </w:tcMar>
          </w:tcPr>
          <w:p>
            <w:r>
              <w:rPr>
                <w:rFonts w:ascii="Arial" w:cs="Arial" w:eastAsia="Arial" w:hAnsi="Arial"/>
                <w:color w:val="555555"/>
                <w:sz w:val="18"/>
                <w:szCs w:val="18"/>
              </w:rPr>
              <w:t xml:space="preserve">https://YOUR-APP.railway.app/api/</w:t>
            </w:r>
          </w:p>
        </w:tc>
        <w:tc>
          <w:tcPr>
            <w:tcW w:type="dxa" w:w="2480"/>
            <w:tcBorders>
              <w:top w:val="single" w:color="C5D8E8" w:sz="4"/>
              <w:left w:val="single" w:color="C5D8E8" w:sz="4"/>
              <w:bottom w:val="single" w:color="C5D8E8" w:sz="4"/>
              <w:right w:val="single" w:color="C5D8E8" w:sz="4"/>
            </w:tcBorders>
            <w:shd w:fill="FFFFFF" w:val="clear"/>
            <w:tcMar>
              <w:top w:type="dxa" w:w="70"/>
              <w:left w:type="dxa" w:w="120"/>
              <w:bottom w:type="dxa" w:w="70"/>
              <w:right w:type="dxa" w:w="120"/>
            </w:tcMar>
          </w:tcPr>
          <w:p>
            <w:r>
              <w:rPr>
                <w:rFonts w:ascii="Arial" w:cs="Arial" w:eastAsia="Arial" w:hAnsi="Arial"/>
                <w:color w:val="555555"/>
                <w:sz w:val="18"/>
                <w:szCs w:val="18"/>
              </w:rPr>
              <w:t xml:space="preserve">REST API</w:t>
            </w:r>
          </w:p>
        </w:tc>
        <w:tc>
          <w:tcPr>
            <w:tcW w:type="dxa" w:w="3080"/>
            <w:tcBorders>
              <w:top w:val="single" w:color="C5D8E8" w:sz="4"/>
              <w:left w:val="single" w:color="C5D8E8" w:sz="4"/>
              <w:bottom w:val="single" w:color="C5D8E8" w:sz="4"/>
              <w:right w:val="single" w:color="C5D8E8" w:sz="4"/>
            </w:tcBorders>
            <w:shd w:fill="FFFFFF" w:val="clear"/>
            <w:tcMar>
              <w:top w:type="dxa" w:w="70"/>
              <w:left w:type="dxa" w:w="120"/>
              <w:bottom w:type="dxa" w:w="70"/>
              <w:right w:type="dxa" w:w="120"/>
            </w:tcMar>
          </w:tcPr>
          <w:p>
            <w:r>
              <w:rPr>
                <w:rFonts w:ascii="Arial" w:cs="Arial" w:eastAsia="Arial" w:hAnsi="Arial"/>
                <w:color w:val="555555"/>
                <w:sz w:val="18"/>
                <w:szCs w:val="18"/>
              </w:rPr>
              <w:t xml:space="preserve">Postman / integration testing</w:t>
            </w:r>
          </w:p>
        </w:tc>
      </w:tr>
    </w:tbl>
    <w:p>
      <w:pPr>
        <w:spacing w:after="320"/>
      </w:pPr>
    </w:p>
    <w:p>
      <w:pPr>
        <w:pStyle w:val="Heading1"/>
        <w:pBdr>
          <w:bottom w:val="single" w:color="2E86C1" w:sz="6" w:space="4"/>
        </w:pBdr>
        <w:spacing w:after="160" w:before="360"/>
      </w:pPr>
      <w:r>
        <w:rPr>
          <w:rFonts w:ascii="Arial" w:cs="Arial" w:eastAsia="Arial" w:hAnsi="Arial"/>
          <w:b/>
          <w:bCs/>
          <w:color w:val="1B4F72"/>
          <w:sz w:val="28"/>
          <w:szCs w:val="28"/>
        </w:rPr>
        <w:t xml:space="preserve">Recommendations for Production</w:t>
      </w:r>
    </w:p>
    <w:p>
      <w:pPr>
        <w:spacing w:after="120"/>
      </w:pPr>
      <w:r>
        <w:rPr>
          <w:rFonts w:ascii="Arial" w:cs="Arial" w:eastAsia="Arial" w:hAnsi="Arial"/>
          <w:color w:val="555555"/>
          <w:sz w:val="20"/>
          <w:szCs w:val="20"/>
        </w:rPr>
        <w:t xml:space="preserve">The current deployment is suitable for a client preview. Before launching to end-users at scale, the following should be addressed:</w:t>
      </w:r>
    </w:p>
    <w:p>
      <w:pPr>
        <w:spacing w:after="60"/>
      </w:pPr>
    </w:p>
    <w:p>
      <w:pPr>
        <w:spacing w:after="100"/>
      </w:pPr>
      <w:r>
        <w:rPr>
          <w:rFonts w:ascii="Arial" w:cs="Arial" w:eastAsia="Arial" w:hAnsi="Arial"/>
          <w:b/>
          <w:bCs/>
          <w:color w:val="1B4F72"/>
          <w:sz w:val="20"/>
          <w:szCs w:val="20"/>
        </w:rPr>
        <w:t xml:space="preserve">Async Queue Processing: </w:t>
      </w:r>
      <w:r>
        <w:rPr>
          <w:rFonts w:ascii="Arial" w:cs="Arial" w:eastAsia="Arial" w:hAnsi="Arial"/>
          <w:color w:val="555555"/>
          <w:sz w:val="20"/>
          <w:szCs w:val="20"/>
        </w:rPr>
        <w:t xml:space="preserve">Migrate QUEUE_CONNECTION from sync to Redis + Laravel Horizon so notifications and heavy jobs do not block HTTP responses.</w:t>
      </w:r>
    </w:p>
    <w:p>
      <w:pPr>
        <w:spacing w:after="100"/>
      </w:pPr>
      <w:r>
        <w:rPr>
          <w:rFonts w:ascii="Arial" w:cs="Arial" w:eastAsia="Arial" w:hAnsi="Arial"/>
          <w:b/>
          <w:bCs/>
          <w:color w:val="1B4F72"/>
          <w:sz w:val="20"/>
          <w:szCs w:val="20"/>
        </w:rPr>
        <w:t xml:space="preserve">Redis Cache: </w:t>
      </w:r>
      <w:r>
        <w:rPr>
          <w:rFonts w:ascii="Arial" w:cs="Arial" w:eastAsia="Arial" w:hAnsi="Arial"/>
          <w:color w:val="555555"/>
          <w:sz w:val="20"/>
          <w:szCs w:val="20"/>
        </w:rPr>
        <w:t xml:space="preserve">Replace file-based cache with Redis for geofence state tracking and session caching at scale.</w:t>
      </w:r>
    </w:p>
    <w:p>
      <w:pPr>
        <w:spacing w:after="100"/>
      </w:pPr>
      <w:r>
        <w:rPr>
          <w:rFonts w:ascii="Arial" w:cs="Arial" w:eastAsia="Arial" w:hAnsi="Arial"/>
          <w:b/>
          <w:bCs/>
          <w:color w:val="1B4F72"/>
          <w:sz w:val="20"/>
          <w:szCs w:val="20"/>
        </w:rPr>
        <w:t xml:space="preserve">Secure Token Storage: </w:t>
      </w:r>
      <w:r>
        <w:rPr>
          <w:rFonts w:ascii="Arial" w:cs="Arial" w:eastAsia="Arial" w:hAnsi="Arial"/>
          <w:color w:val="555555"/>
          <w:sz w:val="20"/>
          <w:szCs w:val="20"/>
        </w:rPr>
        <w:t xml:space="preserve">Replace shared_preferences in the Flutter app with flutter_secure_storage to protect Bearer tokens on device.</w:t>
      </w:r>
    </w:p>
    <w:p>
      <w:pPr>
        <w:spacing w:after="100"/>
      </w:pPr>
      <w:r>
        <w:rPr>
          <w:rFonts w:ascii="Arial" w:cs="Arial" w:eastAsia="Arial" w:hAnsi="Arial"/>
          <w:b/>
          <w:bCs/>
          <w:color w:val="1B4F72"/>
          <w:sz w:val="20"/>
          <w:szCs w:val="20"/>
        </w:rPr>
        <w:t xml:space="preserve">Rate Limiting: </w:t>
      </w:r>
      <w:r>
        <w:rPr>
          <w:rFonts w:ascii="Arial" w:cs="Arial" w:eastAsia="Arial" w:hAnsi="Arial"/>
          <w:color w:val="555555"/>
          <w:sz w:val="20"/>
          <w:szCs w:val="20"/>
        </w:rPr>
        <w:t xml:space="preserve">Apply throttle middleware to auth endpoints and the AI chat route to prevent brute-force and cost-abuse attacks.</w:t>
      </w:r>
    </w:p>
    <w:p>
      <w:pPr>
        <w:spacing w:after="100"/>
      </w:pPr>
      <w:r>
        <w:rPr>
          <w:rFonts w:ascii="Arial" w:cs="Arial" w:eastAsia="Arial" w:hAnsi="Arial"/>
          <w:b/>
          <w:bCs/>
          <w:color w:val="1B4F72"/>
          <w:sz w:val="20"/>
          <w:szCs w:val="20"/>
        </w:rPr>
        <w:t xml:space="preserve">HTTPS Enforcement: </w:t>
      </w:r>
      <w:r>
        <w:rPr>
          <w:rFonts w:ascii="Arial" w:cs="Arial" w:eastAsia="Arial" w:hAnsi="Arial"/>
          <w:color w:val="555555"/>
          <w:sz w:val="20"/>
          <w:szCs w:val="20"/>
        </w:rPr>
        <w:t xml:space="preserve">Confirm HTTPS-only access in Railway settings and ensure SESSION_SECURE_COOKIE=true is active (already in the env template).</w:t>
      </w:r>
    </w:p>
    <w:p>
      <w:pPr>
        <w:spacing w:after="240"/>
      </w:pPr>
    </w:p>
    <w:p>
      <w:pPr>
        <w:pStyle w:val="Heading1"/>
        <w:pBdr>
          <w:bottom w:val="single" w:color="2E86C1" w:sz="6" w:space="4"/>
        </w:pBdr>
        <w:spacing w:after="160" w:before="360"/>
      </w:pPr>
      <w:r>
        <w:rPr>
          <w:rFonts w:ascii="Arial" w:cs="Arial" w:eastAsia="Arial" w:hAnsi="Arial"/>
          <w:b/>
          <w:bCs/>
          <w:color w:val="1B4F72"/>
          <w:sz w:val="28"/>
          <w:szCs w:val="28"/>
        </w:rPr>
        <w:t xml:space="preserve">Sign-Off</w:t>
      </w:r>
    </w:p>
    <w:p>
      <w:pPr>
        <w:spacing w:after="120"/>
      </w:pPr>
      <w:r>
        <w:rPr>
          <w:rFonts w:ascii="Arial" w:cs="Arial" w:eastAsia="Arial" w:hAnsi="Arial"/>
          <w:color w:val="555555"/>
          <w:sz w:val="20"/>
          <w:szCs w:val="20"/>
        </w:rPr>
        <w:t xml:space="preserve">All six findings identified in this review have been remediated. The codebase has been reviewed, tested locally, and is ready for deployment to the client preview environment.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4760"/>
      </w:tblGrid>
      <w:tr>
        <w:tc>
          <w:tcPr>
            <w:tcW w:type="dxa" w:w="4600"/>
            <w:tcBorders>
              <w:top w:val="single" w:color="C5D8E8" w:sz="4"/>
              <w:left w:val="single" w:color="C5D8E8" w:sz="4"/>
              <w:bottom w:val="single" w:color="C5D8E8" w:sz="4"/>
              <w:right w:val="single" w:color="C5D8E8" w:sz="4"/>
            </w:tcBorders>
            <w:shd w:fill="EBF5FB" w:val="clear"/>
            <w:tcMar>
              <w:top w:type="dxa" w:w="120"/>
              <w:left w:type="dxa" w:w="160"/>
              <w:bottom w:type="dxa" w:w="240"/>
              <w:right w:type="dxa" w:w="160"/>
            </w:tcMar>
          </w:tcPr>
          <w:p>
            <w:r>
              <w:rPr>
                <w:rFonts w:ascii="Arial" w:cs="Arial" w:eastAsia="Arial" w:hAnsi="Arial"/>
                <w:b/>
                <w:bCs/>
                <w:color w:val="1B4F72"/>
                <w:sz w:val="18"/>
                <w:szCs w:val="18"/>
              </w:rPr>
              <w:t xml:space="preserve">Engineering Lead</w:t>
            </w:r>
          </w:p>
          <w:p>
            <w:pPr>
              <w:spacing w:after="120"/>
            </w:pPr>
          </w:p>
          <w:p>
            <w:r>
              <w:rPr>
                <w:rFonts w:ascii="Arial" w:cs="Arial" w:eastAsia="Arial" w:hAnsi="Arial"/>
                <w:color w:val="555555"/>
                <w:sz w:val="18"/>
                <w:szCs w:val="18"/>
              </w:rPr>
              <w:t xml:space="preserve">Signature: ___________________________</w:t>
            </w:r>
          </w:p>
          <w:p>
            <w:pPr>
              <w:spacing w:after="40"/>
            </w:pPr>
          </w:p>
          <w:p>
            <w:r>
              <w:rPr>
                <w:rFonts w:ascii="Arial" w:cs="Arial" w:eastAsia="Arial" w:hAnsi="Arial"/>
                <w:color w:val="555555"/>
                <w:sz w:val="18"/>
                <w:szCs w:val="18"/>
              </w:rPr>
              <w:t xml:space="preserve">Date: ________________________________</w:t>
            </w:r>
          </w:p>
        </w:tc>
        <w:tc>
          <w:tcPr>
            <w:tcW w:type="dxa" w:w="4760"/>
            <w:tcBorders>
              <w:top w:val="single" w:color="C5D8E8" w:sz="4"/>
              <w:left w:val="single" w:color="C5D8E8" w:sz="4"/>
              <w:bottom w:val="single" w:color="C5D8E8" w:sz="4"/>
              <w:right w:val="single" w:color="C5D8E8" w:sz="4"/>
            </w:tcBorders>
            <w:shd w:fill="EBF5FB" w:val="clear"/>
            <w:tcMar>
              <w:top w:type="dxa" w:w="120"/>
              <w:left w:type="dxa" w:w="160"/>
              <w:bottom w:type="dxa" w:w="240"/>
              <w:right w:type="dxa" w:w="160"/>
            </w:tcMar>
          </w:tcPr>
          <w:p>
            <w:r>
              <w:rPr>
                <w:rFonts w:ascii="Arial" w:cs="Arial" w:eastAsia="Arial" w:hAnsi="Arial"/>
                <w:b/>
                <w:bCs/>
                <w:color w:val="1B4F72"/>
                <w:sz w:val="18"/>
                <w:szCs w:val="18"/>
              </w:rPr>
              <w:t xml:space="preserve">Project Owner / Client</w:t>
            </w:r>
          </w:p>
          <w:p>
            <w:pPr>
              <w:spacing w:after="120"/>
            </w:pPr>
          </w:p>
          <w:p>
            <w:r>
              <w:rPr>
                <w:rFonts w:ascii="Arial" w:cs="Arial" w:eastAsia="Arial" w:hAnsi="Arial"/>
                <w:color w:val="555555"/>
                <w:sz w:val="18"/>
                <w:szCs w:val="18"/>
              </w:rPr>
              <w:t xml:space="preserve">Signature: ___________________________</w:t>
            </w:r>
          </w:p>
          <w:p>
            <w:pPr>
              <w:spacing w:after="40"/>
            </w:pPr>
          </w:p>
          <w:p>
            <w:r>
              <w:rPr>
                <w:rFonts w:ascii="Arial" w:cs="Arial" w:eastAsia="Arial" w:hAnsi="Arial"/>
                <w:color w:val="555555"/>
                <w:sz w:val="18"/>
                <w:szCs w:val="18"/>
              </w:rPr>
              <w:t xml:space="preserve">Date: ________________________________</w:t>
            </w:r>
          </w:p>
        </w:tc>
      </w:tr>
    </w:tbl>
    <w:p>
      <w:pPr>
        <w:spacing w:after="160"/>
      </w:pP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tabs>
        <w:tab w:val="right" w:pos="9360"/>
      </w:tabs>
    </w:pPr>
    <w:r>
      <w:rPr>
        <w:rFonts w:ascii="Arial" w:cs="Arial" w:eastAsia="Arial" w:hAnsi="Arial"/>
        <w:color w:val="555555"/>
        <w:sz w:val="16"/>
        <w:szCs w:val="16"/>
      </w:rPr>
      <w:t xml:space="preserve">© 2026 The Oasis Platform  ·  Internal Engineering Document</w:t>
    </w:r>
    <w:r>
      <w:t xml:space="preserve">	</w:t>
    </w: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of </w:t>
    </w:r>
    <w:r>
      <w:rPr>
        <w:rFonts w:ascii="Arial" w:cs="Arial" w:eastAsia="Arial" w:hAnsi="Arial"/>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6" w:space="4"/>
      </w:pBdr>
      <w:tabs>
        <w:tab w:val="right" w:pos="9360"/>
      </w:tabs>
    </w:pPr>
    <w:r>
      <w:rPr>
        <w:rFonts w:ascii="Arial" w:cs="Arial" w:eastAsia="Arial" w:hAnsi="Arial"/>
        <w:b/>
        <w:bCs/>
        <w:color w:val="1B4F72"/>
        <w:sz w:val="18"/>
        <w:szCs w:val="18"/>
      </w:rPr>
      <w:t xml:space="preserve">The Oasis — Pre-Deployment Security Review</w:t>
    </w:r>
    <w:r>
      <w:t xml:space="preserve">	</w:t>
    </w:r>
    <w:r>
      <w:rPr>
        <w:rFonts w:ascii="Arial" w:cs="Arial" w:eastAsia="Arial" w:hAnsi="Arial"/>
        <w:i/>
        <w:iCs/>
        <w:color w:val="555555"/>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B4F72"/>
      <w:sz w:val="28"/>
      <w:szCs w:val="28"/>
    </w:rPr>
  </w:style>
  <w:style w:type="paragraph" w:styleId="Heading2">
    <w:name w:val="Heading 2"/>
    <w:basedOn w:val="Normal"/>
    <w:next w:val="Normal"/>
    <w:qFormat/>
    <w:pPr>
      <w:spacing w:after="100" w:before="28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2026-05-03T23:22:14.036Z</dcterms:created>
  <dcterms:modified xsi:type="dcterms:W3CDTF">2026-05-03T23:22:14.038Z</dcterms:modified>
</cp:coreProperties>
</file>

<file path=docProps/custom.xml><?xml version="1.0" encoding="utf-8"?>
<Properties xmlns="http://schemas.openxmlformats.org/officeDocument/2006/custom-properties" xmlns:vt="http://schemas.openxmlformats.org/officeDocument/2006/docPropsVTypes"/>
</file>