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before="0" w:after="140"/>
      </w:pPr>
      <w:r>
        <w:rPr/>
        <w:t xml:space="preserve">SIC and SIC/XE Assembler and Loader College AAST</w:t>
      </w:r>
    </w:p>
    <w:p>
      <w:pPr>
        <w:pStyle w:val="Subtitle"/>
        <w:spacing w:before="0" w:after="280"/>
      </w:pPr>
      <w:r>
        <w:rPr/>
        <w:t xml:space="preserve">Systems Programming college project documentation and technical report</w:t>
      </w:r>
    </w:p>
    <w:p>
      <w:pPr>
        <w:pStyle w:val="Normal"/>
        <w:spacing w:before="0" w:after="110"/>
      </w:pPr>
      <w:r>
        <w:rPr/>
        <w:t xml:space="preserve">This project demonstrates how assembly source becomes object records and how a loader places object code into a memory map. It contains two related Python programs: a SIC assembler and a SIC/SIC-XE loader. The supplied loader examples are separate sample inputs; the repository does not wire the assembler output directly into the loader.</w:t>
      </w:r>
    </w:p>
    <w:p>
      <w:pPr>
        <w:pStyle w:val="Heading1"/>
        <w:spacing w:before="150" w:after="85"/>
      </w:pPr>
      <w:r>
        <w:rPr/>
        <w:t xml:space="preserve">What the project teaches</w:t>
      </w:r>
    </w:p>
    <w:p>
      <w:pPr>
        <w:pStyle w:val="ListParagraph"/>
        <w:spacing w:before="0" w:after="65"/>
      </w:pPr>
      <w:r>
        <w:rPr/>
        <w:t xml:space="preserve">• Why assembly needs two passes: addresses and symbols must be known before object code can be generated.</w:t>
      </w:r>
    </w:p>
    <w:p>
      <w:pPr>
        <w:pStyle w:val="ListParagraph"/>
        <w:spacing w:before="0" w:after="65"/>
      </w:pPr>
      <w:r>
        <w:rPr/>
        <w:t xml:space="preserve">• How H, T and E records describe a program for loading.</w:t>
      </w:r>
    </w:p>
    <w:p>
      <w:pPr>
        <w:pStyle w:val="ListParagraph"/>
        <w:spacing w:before="0" w:after="65"/>
      </w:pPr>
      <w:r>
        <w:rPr/>
        <w:t xml:space="preserve">• How absolute loading differs from relocation and external-symbol linking.</w:t>
      </w:r>
    </w:p>
    <w:p>
      <w:pPr>
        <w:pStyle w:val="ListParagraph"/>
        <w:spacing w:before="0" w:after="65"/>
      </w:pPr>
      <w:r>
        <w:rPr/>
        <w:t xml:space="preserve">• How a memory map represents bytes at hexadecimal addresses.</w:t>
      </w:r>
    </w:p>
    <w:p>
      <w:pPr>
        <w:pStyle w:val="Heading1"/>
        <w:spacing w:before="150" w:after="85"/>
      </w:pPr>
      <w:r>
        <w:rPr/>
        <w:t xml:space="preserve">The two paths</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Path</w:t>
            </w:r>
          </w:p>
        </w:tc>
        <w:tc>
          <w:tcPr>
            <w:shd w:fill="17324D"/>
            <w:tcMar>
              <w:top w:w="85" w:type="dxa"/>
              <w:left w:w="110" w:type="dxa"/>
              <w:bottom w:w="85" w:type="dxa"/>
              <w:right w:w="110" w:type="dxa"/>
            </w:tcMar>
          </w:tcPr>
          <w:p>
            <w:r>
              <w:rPr>
                <w:color w:val="FFFFFF"/>
                <w:sz w:val="18"/>
                <w:b/>
              </w:rPr>
              <w:t xml:space="preserve">Input</w:t>
            </w:r>
          </w:p>
        </w:tc>
        <w:tc>
          <w:tcPr>
            <w:shd w:fill="17324D"/>
            <w:tcMar>
              <w:top w:w="85" w:type="dxa"/>
              <w:left w:w="110" w:type="dxa"/>
              <w:bottom w:w="85" w:type="dxa"/>
              <w:right w:w="110" w:type="dxa"/>
            </w:tcMar>
          </w:tcPr>
          <w:p>
            <w:r>
              <w:rPr>
                <w:color w:val="FFFFFF"/>
                <w:sz w:val="18"/>
                <w:b/>
              </w:rPr>
              <w:t xml:space="preserve">Main result</w:t>
            </w:r>
          </w:p>
        </w:tc>
      </w:tr>
      <w:tr>
        <w:tc>
          <w:tcPr>
            <w:shd w:fill="EAF2F7"/>
            <w:tcMar>
              <w:top w:w="85" w:type="dxa"/>
              <w:left w:w="110" w:type="dxa"/>
              <w:bottom w:w="85" w:type="dxa"/>
              <w:right w:w="110" w:type="dxa"/>
            </w:tcMar>
          </w:tcPr>
          <w:p>
            <w:r>
              <w:rPr>
                <w:color w:val="203040"/>
                <w:sz w:val="18"/>
              </w:rPr>
              <w:t xml:space="preserve">Assembler</w:t>
            </w:r>
          </w:p>
        </w:tc>
        <w:tc>
          <w:tcPr>
            <w:shd w:fill="EAF2F7"/>
            <w:tcMar>
              <w:top w:w="85" w:type="dxa"/>
              <w:left w:w="110" w:type="dxa"/>
              <w:bottom w:w="85" w:type="dxa"/>
              <w:right w:w="110" w:type="dxa"/>
            </w:tcMar>
          </w:tcPr>
          <w:p>
            <w:r>
              <w:rPr>
                <w:color w:val="203040"/>
                <w:sz w:val="18"/>
              </w:rPr>
              <w:t xml:space="preserve">in.txt (SIC source)</w:t>
            </w:r>
          </w:p>
        </w:tc>
        <w:tc>
          <w:tcPr>
            <w:shd w:fill="EAF2F7"/>
            <w:tcMar>
              <w:top w:w="85" w:type="dxa"/>
              <w:left w:w="110" w:type="dxa"/>
              <w:bottom w:w="85" w:type="dxa"/>
              <w:right w:w="110" w:type="dxa"/>
            </w:tcMar>
          </w:tcPr>
          <w:p>
            <w:r>
              <w:rPr>
                <w:color w:val="203040"/>
                <w:sz w:val="18"/>
              </w:rPr>
              <w:t xml:space="preserve">intermediate, pass outputs, symbol table, HTE object file</w:t>
            </w:r>
          </w:p>
        </w:tc>
      </w:tr>
      <w:tr>
        <w:tc>
          <w:tcPr>
            <w:shd w:fill="FFFFFF"/>
            <w:tcMar>
              <w:top w:w="85" w:type="dxa"/>
              <w:left w:w="110" w:type="dxa"/>
              <w:bottom w:w="85" w:type="dxa"/>
              <w:right w:w="110" w:type="dxa"/>
            </w:tcMar>
          </w:tcPr>
          <w:p>
            <w:r>
              <w:rPr>
                <w:color w:val="203040"/>
                <w:sz w:val="18"/>
              </w:rPr>
              <w:t xml:space="preserve">Absolute loader</w:t>
            </w:r>
          </w:p>
        </w:tc>
        <w:tc>
          <w:tcPr>
            <w:shd w:fill="FFFFFF"/>
            <w:tcMar>
              <w:top w:w="85" w:type="dxa"/>
              <w:left w:w="110" w:type="dxa"/>
              <w:bottom w:w="85" w:type="dxa"/>
              <w:right w:w="110" w:type="dxa"/>
            </w:tcMar>
          </w:tcPr>
          <w:p>
            <w:r>
              <w:rPr>
                <w:color w:val="203040"/>
                <w:sz w:val="18"/>
              </w:rPr>
              <w:t xml:space="preserve">sic.txt (dot-separated object records)</w:t>
            </w:r>
          </w:p>
        </w:tc>
        <w:tc>
          <w:tcPr>
            <w:shd w:fill="FFFFFF"/>
            <w:tcMar>
              <w:top w:w="85" w:type="dxa"/>
              <w:left w:w="110" w:type="dxa"/>
              <w:bottom w:w="85" w:type="dxa"/>
              <w:right w:w="110" w:type="dxa"/>
            </w:tcMar>
          </w:tcPr>
          <w:p>
            <w:r>
              <w:rPr>
                <w:color w:val="203040"/>
                <w:sz w:val="18"/>
              </w:rPr>
              <w:t xml:space="preserve">memory grid at stated object addresses</w:t>
            </w:r>
          </w:p>
        </w:tc>
      </w:tr>
      <w:tr>
        <w:tc>
          <w:tcPr>
            <w:shd w:fill="EAF2F7"/>
            <w:tcMar>
              <w:top w:w="85" w:type="dxa"/>
              <w:left w:w="110" w:type="dxa"/>
              <w:bottom w:w="85" w:type="dxa"/>
              <w:right w:w="110" w:type="dxa"/>
            </w:tcMar>
          </w:tcPr>
          <w:p>
            <w:r>
              <w:rPr>
                <w:color w:val="203040"/>
                <w:sz w:val="18"/>
              </w:rPr>
              <w:t xml:space="preserve">Linking loader</w:t>
            </w:r>
          </w:p>
        </w:tc>
        <w:tc>
          <w:tcPr>
            <w:shd w:fill="EAF2F7"/>
            <w:tcMar>
              <w:top w:w="85" w:type="dxa"/>
              <w:left w:w="110" w:type="dxa"/>
              <w:bottom w:w="85" w:type="dxa"/>
              <w:right w:w="110" w:type="dxa"/>
            </w:tcMar>
          </w:tcPr>
          <w:p>
            <w:r>
              <w:rPr>
                <w:color w:val="203040"/>
                <w:sz w:val="18"/>
              </w:rPr>
              <w:t xml:space="preserve">sicxe.txt (caret-separated records)</w:t>
            </w:r>
          </w:p>
        </w:tc>
        <w:tc>
          <w:tcPr>
            <w:shd w:fill="EAF2F7"/>
            <w:tcMar>
              <w:top w:w="85" w:type="dxa"/>
              <w:left w:w="110" w:type="dxa"/>
              <w:bottom w:w="85" w:type="dxa"/>
              <w:right w:w="110" w:type="dxa"/>
            </w:tcMar>
          </w:tcPr>
          <w:p>
            <w:r>
              <w:rPr>
                <w:color w:val="203040"/>
                <w:sz w:val="18"/>
              </w:rPr>
              <w:t xml:space="preserve">external symbol table and relocated memory grid</w:t>
            </w:r>
          </w:p>
        </w:tc>
      </w:tr>
    </w:tbl>
    <w:p>
      <w:pPr>
        <w:pStyle w:val="Note"/>
        <w:spacing w:before="130" w:after="110"/>
      </w:pPr>
      <w:r>
        <w:rPr/>
        <w:t xml:space="preserve">Status: This is a code-based explanation. Syntax compilation passed, but execution was not verified because pandas, numpy and pandasgui are unavailable in this environment.</w:t>
      </w:r>
    </w:p>
    <w:p>
      <w:r>
        <w:br w:type="page"/>
      </w:r>
    </w:p>
    <w:p>
      <w:pPr>
        <w:pStyle w:val="Heading1"/>
        <w:spacing w:before="150" w:after="85"/>
      </w:pPr>
      <w:r>
        <w:rPr/>
        <w:t xml:space="preserve">1. Architecture scheme</w:t>
      </w:r>
    </w:p>
    <w:p>
      <w:pPr>
        <w:pStyle w:val="Normal"/>
        <w:spacing w:before="0" w:after="110"/>
      </w:pPr>
      <w:r>
        <w:rPr/>
        <w:t xml:space="preserve">The assembler and loader share the idea of object records, but use different included samples and different separators. The scheme below shows the actual repository paths.</w:t>
      </w:r>
    </w:p>
    <w:tbl>
      <w:tblPr>
        <w:tblW w:w="0" w:type="auto"/>
        <w:tblBorders>
          <w:top w:val="single" w:sz="4" w:color="CCD9E2"/>
          <w:bottom w:val="single" w:sz="4" w:color="CCD9E2"/>
          <w:insideH w:val="single" w:sz="4" w:color="CCD9E2"/>
          <w:insideV w:val="single" w:sz="4" w:color="CCD9E2"/>
        </w:tblBorders>
      </w:tblPr>
      <w:tr>
        <w:tc>
          <w:tcPr>
            <w:shd w:fill="FFFFFF"/>
            <w:tcMar>
              <w:top w:w="85" w:type="dxa"/>
              <w:left w:w="110" w:type="dxa"/>
              <w:bottom w:w="85" w:type="dxa"/>
              <w:right w:w="110" w:type="dxa"/>
            </w:tcMar>
          </w:tcPr>
          <w:p>
            <w:r>
              <w:rPr>
                <w:color w:val="203040"/>
                <w:sz w:val="18"/>
                <w:b/>
              </w:rPr>
              <w:t xml:space="preserve">SIC source / in.txt</w:t>
            </w:r>
          </w:p>
        </w:tc>
      </w:tr>
      <w:tr>
        <w:tc>
          <w:tcPr>
            <w:shd w:fill="EAF2F7"/>
            <w:tcMar>
              <w:top w:w="85" w:type="dxa"/>
              <w:left w:w="110" w:type="dxa"/>
              <w:bottom w:w="85" w:type="dxa"/>
              <w:right w:w="110" w:type="dxa"/>
            </w:tcMar>
          </w:tcPr>
          <w:p>
            <w:r>
              <w:rPr>
                <w:color w:val="203040"/>
                <w:sz w:val="18"/>
              </w:rPr>
              <w:t xml:space="preserve">Clean input / Intermediate.py</w:t>
            </w:r>
          </w:p>
        </w:tc>
      </w:tr>
      <w:tr>
        <w:tc>
          <w:tcPr>
            <w:shd w:fill="FFFFFF"/>
            <w:tcMar>
              <w:top w:w="85" w:type="dxa"/>
              <w:left w:w="110" w:type="dxa"/>
              <w:bottom w:w="85" w:type="dxa"/>
              <w:right w:w="110" w:type="dxa"/>
            </w:tcMar>
          </w:tcPr>
          <w:p>
            <w:r>
              <w:rPr>
                <w:color w:val="203040"/>
                <w:sz w:val="18"/>
              </w:rPr>
              <w:t xml:space="preserve">Address + symbols / Pass1.py</w:t>
            </w:r>
          </w:p>
        </w:tc>
      </w:tr>
      <w:tr>
        <w:tc>
          <w:tcPr>
            <w:shd w:fill="EAF2F7"/>
            <w:tcMar>
              <w:top w:w="85" w:type="dxa"/>
              <w:left w:w="110" w:type="dxa"/>
              <w:bottom w:w="85" w:type="dxa"/>
              <w:right w:w="110" w:type="dxa"/>
            </w:tcMar>
          </w:tcPr>
          <w:p>
            <w:r>
              <w:rPr>
                <w:color w:val="203040"/>
                <w:sz w:val="18"/>
              </w:rPr>
              <w:t xml:space="preserve">Object bytes / Pass2.py</w:t>
            </w:r>
          </w:p>
        </w:tc>
      </w:tr>
      <w:tr>
        <w:tc>
          <w:tcPr>
            <w:shd w:fill="FFFFFF"/>
            <w:tcMar>
              <w:top w:w="85" w:type="dxa"/>
              <w:left w:w="110" w:type="dxa"/>
              <w:bottom w:w="85" w:type="dxa"/>
              <w:right w:w="110" w:type="dxa"/>
            </w:tcMar>
          </w:tcPr>
          <w:p>
            <w:r>
              <w:rPr>
                <w:color w:val="203040"/>
                <w:sz w:val="18"/>
              </w:rPr>
              <w:t xml:space="preserve">H/T/E output / HTE.py</w:t>
            </w:r>
          </w:p>
        </w:tc>
      </w:tr>
    </w:tbl>
    <w:p>
      <w:pPr>
        <w:pStyle w:val="Normal"/>
        <w:spacing w:before="0" w:after="110"/>
      </w:pPr>
      <w:r>
        <w:rPr/>
        <w:t xml:space="preserve">The loader is started separately. Choose one route in loader.py. Either route ends in a memory table displayed with pandasgui.</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SIC route</w:t>
            </w:r>
          </w:p>
        </w:tc>
        <w:tc>
          <w:tcPr>
            <w:shd w:fill="17324D"/>
            <w:tcMar>
              <w:top w:w="85" w:type="dxa"/>
              <w:left w:w="110" w:type="dxa"/>
              <w:bottom w:w="85" w:type="dxa"/>
              <w:right w:w="110" w:type="dxa"/>
            </w:tcMar>
          </w:tcPr>
          <w:p>
            <w:r>
              <w:rPr>
                <w:color w:val="FFFFFF"/>
                <w:sz w:val="18"/>
                <w:b/>
              </w:rPr>
              <w:t xml:space="preserve">SIC/XE route</w:t>
            </w:r>
          </w:p>
        </w:tc>
      </w:tr>
      <w:tr>
        <w:tc>
          <w:tcPr>
            <w:shd w:fill="EAF2F7"/>
            <w:tcMar>
              <w:top w:w="85" w:type="dxa"/>
              <w:left w:w="110" w:type="dxa"/>
              <w:bottom w:w="85" w:type="dxa"/>
              <w:right w:w="110" w:type="dxa"/>
            </w:tcMar>
          </w:tcPr>
          <w:p>
            <w:r>
              <w:rPr>
                <w:color w:val="203040"/>
                <w:sz w:val="18"/>
              </w:rPr>
              <w:t xml:space="preserve">sic.txt -&gt; absolute()</w:t>
            </w:r>
          </w:p>
        </w:tc>
        <w:tc>
          <w:tcPr>
            <w:shd w:fill="EAF2F7"/>
            <w:tcMar>
              <w:top w:w="85" w:type="dxa"/>
              <w:left w:w="110" w:type="dxa"/>
              <w:bottom w:w="85" w:type="dxa"/>
              <w:right w:w="110" w:type="dxa"/>
            </w:tcMar>
          </w:tcPr>
          <w:p>
            <w:r>
              <w:rPr>
                <w:color w:val="203040"/>
                <w:sz w:val="18"/>
              </w:rPr>
              <w:t xml:space="preserve">sicxe.txt -&gt; extable()</w:t>
            </w:r>
          </w:p>
        </w:tc>
      </w:tr>
    </w:tbl>
    <w:p>
      <w:pPr>
        <w:pStyle w:val="Heading1"/>
        <w:spacing w:before="150" w:after="85"/>
      </w:pPr>
      <w:r>
        <w:rPr/>
        <w:t xml:space="preserve">Why the stages exist</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Stage</w:t>
            </w:r>
          </w:p>
        </w:tc>
        <w:tc>
          <w:tcPr>
            <w:shd w:fill="17324D"/>
            <w:tcMar>
              <w:top w:w="85" w:type="dxa"/>
              <w:left w:w="110" w:type="dxa"/>
              <w:bottom w:w="85" w:type="dxa"/>
              <w:right w:w="110" w:type="dxa"/>
            </w:tcMar>
          </w:tcPr>
          <w:p>
            <w:r>
              <w:rPr>
                <w:color w:val="FFFFFF"/>
                <w:sz w:val="18"/>
                <w:b/>
              </w:rPr>
              <w:t xml:space="preserve">Purpose</w:t>
            </w:r>
          </w:p>
        </w:tc>
      </w:tr>
      <w:tr>
        <w:tc>
          <w:tcPr>
            <w:shd w:fill="EAF2F7"/>
            <w:tcMar>
              <w:top w:w="85" w:type="dxa"/>
              <w:left w:w="110" w:type="dxa"/>
              <w:bottom w:w="85" w:type="dxa"/>
              <w:right w:w="110" w:type="dxa"/>
            </w:tcMar>
          </w:tcPr>
          <w:p>
            <w:r>
              <w:rPr>
                <w:color w:val="203040"/>
                <w:sz w:val="18"/>
              </w:rPr>
              <w:t xml:space="preserve">Input cleanup</w:t>
            </w:r>
          </w:p>
        </w:tc>
        <w:tc>
          <w:tcPr>
            <w:shd w:fill="EAF2F7"/>
            <w:tcMar>
              <w:top w:w="85" w:type="dxa"/>
              <w:left w:w="110" w:type="dxa"/>
              <w:bottom w:w="85" w:type="dxa"/>
              <w:right w:w="110" w:type="dxa"/>
            </w:tcMar>
          </w:tcPr>
          <w:p>
            <w:r>
              <w:rPr>
                <w:color w:val="203040"/>
                <w:sz w:val="18"/>
              </w:rPr>
              <w:t xml:space="preserve">Remove comment rows and preserve label, operation and operand fields.</w:t>
            </w:r>
          </w:p>
        </w:tc>
      </w:tr>
      <w:tr>
        <w:tc>
          <w:tcPr>
            <w:shd w:fill="FFFFFF"/>
            <w:tcMar>
              <w:top w:w="85" w:type="dxa"/>
              <w:left w:w="110" w:type="dxa"/>
              <w:bottom w:w="85" w:type="dxa"/>
              <w:right w:w="110" w:type="dxa"/>
            </w:tcMar>
          </w:tcPr>
          <w:p>
            <w:r>
              <w:rPr>
                <w:color w:val="203040"/>
                <w:sz w:val="18"/>
              </w:rPr>
              <w:t xml:space="preserve">Pass 1</w:t>
            </w:r>
          </w:p>
        </w:tc>
        <w:tc>
          <w:tcPr>
            <w:shd w:fill="FFFFFF"/>
            <w:tcMar>
              <w:top w:w="85" w:type="dxa"/>
              <w:left w:w="110" w:type="dxa"/>
              <w:bottom w:w="85" w:type="dxa"/>
              <w:right w:w="110" w:type="dxa"/>
            </w:tcMar>
          </w:tcPr>
          <w:p>
            <w:r>
              <w:rPr>
                <w:color w:val="203040"/>
                <w:sz w:val="18"/>
              </w:rPr>
              <w:t xml:space="preserve">Advance the location counter and record label addresses.</w:t>
            </w:r>
          </w:p>
        </w:tc>
      </w:tr>
      <w:tr>
        <w:tc>
          <w:tcPr>
            <w:shd w:fill="EAF2F7"/>
            <w:tcMar>
              <w:top w:w="85" w:type="dxa"/>
              <w:left w:w="110" w:type="dxa"/>
              <w:bottom w:w="85" w:type="dxa"/>
              <w:right w:w="110" w:type="dxa"/>
            </w:tcMar>
          </w:tcPr>
          <w:p>
            <w:r>
              <w:rPr>
                <w:color w:val="203040"/>
                <w:sz w:val="18"/>
              </w:rPr>
              <w:t xml:space="preserve">Pass 2</w:t>
            </w:r>
          </w:p>
        </w:tc>
        <w:tc>
          <w:tcPr>
            <w:shd w:fill="EAF2F7"/>
            <w:tcMar>
              <w:top w:w="85" w:type="dxa"/>
              <w:left w:w="110" w:type="dxa"/>
              <w:bottom w:w="85" w:type="dxa"/>
              <w:right w:w="110" w:type="dxa"/>
            </w:tcMar>
          </w:tcPr>
          <w:p>
            <w:r>
              <w:rPr>
                <w:color w:val="203040"/>
                <w:sz w:val="18"/>
              </w:rPr>
              <w:t xml:space="preserve">Resolve labels and produce instruction or data bytes.</w:t>
            </w:r>
          </w:p>
        </w:tc>
      </w:tr>
      <w:tr>
        <w:tc>
          <w:tcPr>
            <w:shd w:fill="FFFFFF"/>
            <w:tcMar>
              <w:top w:w="85" w:type="dxa"/>
              <w:left w:w="110" w:type="dxa"/>
              <w:bottom w:w="85" w:type="dxa"/>
              <w:right w:w="110" w:type="dxa"/>
            </w:tcMar>
          </w:tcPr>
          <w:p>
            <w:r>
              <w:rPr>
                <w:color w:val="203040"/>
                <w:sz w:val="18"/>
              </w:rPr>
              <w:t xml:space="preserve">Object records</w:t>
            </w:r>
          </w:p>
        </w:tc>
        <w:tc>
          <w:tcPr>
            <w:shd w:fill="FFFFFF"/>
            <w:tcMar>
              <w:top w:w="85" w:type="dxa"/>
              <w:left w:w="110" w:type="dxa"/>
              <w:bottom w:w="85" w:type="dxa"/>
              <w:right w:w="110" w:type="dxa"/>
            </w:tcMar>
          </w:tcPr>
          <w:p>
            <w:r>
              <w:rPr>
                <w:color w:val="203040"/>
                <w:sz w:val="18"/>
              </w:rPr>
              <w:t xml:space="preserve">Package bytes with program metadata and execution start.</w:t>
            </w:r>
          </w:p>
        </w:tc>
      </w:tr>
      <w:tr>
        <w:tc>
          <w:tcPr>
            <w:shd w:fill="EAF2F7"/>
            <w:tcMar>
              <w:top w:w="85" w:type="dxa"/>
              <w:left w:w="110" w:type="dxa"/>
              <w:bottom w:w="85" w:type="dxa"/>
              <w:right w:w="110" w:type="dxa"/>
            </w:tcMar>
          </w:tcPr>
          <w:p>
            <w:r>
              <w:rPr>
                <w:color w:val="203040"/>
                <w:sz w:val="18"/>
              </w:rPr>
              <w:t xml:space="preserve">Loader</w:t>
            </w:r>
          </w:p>
        </w:tc>
        <w:tc>
          <w:tcPr>
            <w:shd w:fill="EAF2F7"/>
            <w:tcMar>
              <w:top w:w="85" w:type="dxa"/>
              <w:left w:w="110" w:type="dxa"/>
              <w:bottom w:w="85" w:type="dxa"/>
              <w:right w:w="110" w:type="dxa"/>
            </w:tcMar>
          </w:tcPr>
          <w:p>
            <w:r>
              <w:rPr>
                <w:color w:val="203040"/>
                <w:sz w:val="18"/>
              </w:rPr>
              <w:t xml:space="preserve">Place bytes in memory; the SIC/XE path also uses external definitions and modifications.</w:t>
            </w:r>
          </w:p>
        </w:tc>
      </w:tr>
    </w:tbl>
    <w:p>
      <w:pPr>
        <w:pStyle w:val="Note"/>
        <w:spacing w:before="130" w:after="110"/>
      </w:pPr>
      <w:r>
        <w:rPr/>
        <w:t xml:space="preserve">The file main.py in the loader folder is commented-out draft code. run.bat starts loader.py, which contains the active menu.</w:t>
      </w:r>
    </w:p>
    <w:p>
      <w:r>
        <w:br w:type="page"/>
      </w:r>
    </w:p>
    <w:p>
      <w:pPr>
        <w:pStyle w:val="Heading1"/>
        <w:spacing w:before="150" w:after="85"/>
      </w:pPr>
      <w:r>
        <w:rPr/>
        <w:t xml:space="preserve">2. Assembler workflow</w:t>
      </w:r>
    </w:p>
    <w:tbl>
      <w:tblPr>
        <w:tblW w:w="0" w:type="auto"/>
        <w:tblBorders>
          <w:top w:val="single" w:sz="4" w:color="CCD9E2"/>
          <w:bottom w:val="single" w:sz="4" w:color="CCD9E2"/>
          <w:insideH w:val="single" w:sz="4" w:color="CCD9E2"/>
          <w:insideV w:val="single" w:sz="4" w:color="CCD9E2"/>
        </w:tblBorders>
      </w:tblPr>
      <w:tr>
        <w:tc>
          <w:tcPr>
            <w:shd w:fill="FFFFFF"/>
            <w:tcMar>
              <w:top w:w="85" w:type="dxa"/>
              <w:left w:w="110" w:type="dxa"/>
              <w:bottom w:w="85" w:type="dxa"/>
              <w:right w:w="110" w:type="dxa"/>
            </w:tcMar>
          </w:tcPr>
          <w:p>
            <w:r>
              <w:rPr>
                <w:color w:val="203040"/>
                <w:sz w:val="18"/>
                <w:b/>
              </w:rPr>
              <w:t xml:space="preserve">Read in.txt</w:t>
            </w:r>
          </w:p>
        </w:tc>
      </w:tr>
      <w:tr>
        <w:tc>
          <w:tcPr>
            <w:shd w:fill="EAF2F7"/>
            <w:tcMar>
              <w:top w:w="85" w:type="dxa"/>
              <w:left w:w="110" w:type="dxa"/>
              <w:bottom w:w="85" w:type="dxa"/>
              <w:right w:w="110" w:type="dxa"/>
            </w:tcMar>
          </w:tcPr>
          <w:p>
            <w:r>
              <w:rPr>
                <w:color w:val="203040"/>
                <w:sz w:val="18"/>
              </w:rPr>
              <w:t xml:space="preserve">Drop comments</w:t>
            </w:r>
          </w:p>
        </w:tc>
      </w:tr>
      <w:tr>
        <w:tc>
          <w:tcPr>
            <w:shd w:fill="FFFFFF"/>
            <w:tcMar>
              <w:top w:w="85" w:type="dxa"/>
              <w:left w:w="110" w:type="dxa"/>
              <w:bottom w:w="85" w:type="dxa"/>
              <w:right w:w="110" w:type="dxa"/>
            </w:tcMar>
          </w:tcPr>
          <w:p>
            <w:r>
              <w:rPr>
                <w:color w:val="203040"/>
                <w:sz w:val="18"/>
              </w:rPr>
              <w:t xml:space="preserve">Pass 1: LC + symbols</w:t>
            </w:r>
          </w:p>
        </w:tc>
      </w:tr>
      <w:tr>
        <w:tc>
          <w:tcPr>
            <w:shd w:fill="EAF2F7"/>
            <w:tcMar>
              <w:top w:w="85" w:type="dxa"/>
              <w:left w:w="110" w:type="dxa"/>
              <w:bottom w:w="85" w:type="dxa"/>
              <w:right w:w="110" w:type="dxa"/>
            </w:tcMar>
          </w:tcPr>
          <w:p>
            <w:r>
              <w:rPr>
                <w:color w:val="203040"/>
                <w:sz w:val="18"/>
              </w:rPr>
              <w:t xml:space="preserve">Pass 2: bytes</w:t>
            </w:r>
          </w:p>
        </w:tc>
      </w:tr>
      <w:tr>
        <w:tc>
          <w:tcPr>
            <w:shd w:fill="FFFFFF"/>
            <w:tcMar>
              <w:top w:w="85" w:type="dxa"/>
              <w:left w:w="110" w:type="dxa"/>
              <w:bottom w:w="85" w:type="dxa"/>
              <w:right w:w="110" w:type="dxa"/>
            </w:tcMar>
          </w:tcPr>
          <w:p>
            <w:r>
              <w:rPr>
                <w:color w:val="203040"/>
                <w:sz w:val="18"/>
              </w:rPr>
              <w:t xml:space="preserve">Write H/T/E</w:t>
            </w:r>
          </w:p>
        </w:tc>
      </w:tr>
    </w:tbl>
    <w:p>
      <w:pPr>
        <w:pStyle w:val="Normal"/>
        <w:spacing w:before="0" w:after="110"/>
      </w:pPr>
      <w:r>
        <w:rPr/>
        <w:t xml:space="preserve">Intermediate.py runs Cleaninp('in.txt') when imported or executed, then its main function calls pass1, pass2 and hte in order. Files are read and written relative to the current working directory, so the script should be launched from its own folder.</w:t>
      </w:r>
    </w:p>
    <w:p>
      <w:pPr>
        <w:pStyle w:val="Heading1"/>
        <w:spacing w:before="150" w:after="85"/>
      </w:pPr>
      <w:r>
        <w:rPr/>
        <w:t xml:space="preserve">What each assembler file does</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File</w:t>
            </w:r>
          </w:p>
        </w:tc>
        <w:tc>
          <w:tcPr>
            <w:shd w:fill="17324D"/>
            <w:tcMar>
              <w:top w:w="85" w:type="dxa"/>
              <w:left w:w="110" w:type="dxa"/>
              <w:bottom w:w="85" w:type="dxa"/>
              <w:right w:w="110" w:type="dxa"/>
            </w:tcMar>
          </w:tcPr>
          <w:p>
            <w:r>
              <w:rPr>
                <w:color w:val="FFFFFF"/>
                <w:sz w:val="18"/>
                <w:b/>
              </w:rPr>
              <w:t xml:space="preserve">Role</w:t>
            </w:r>
          </w:p>
        </w:tc>
      </w:tr>
      <w:tr>
        <w:tc>
          <w:tcPr>
            <w:shd w:fill="EAF2F7"/>
            <w:tcMar>
              <w:top w:w="85" w:type="dxa"/>
              <w:left w:w="110" w:type="dxa"/>
              <w:bottom w:w="85" w:type="dxa"/>
              <w:right w:w="110" w:type="dxa"/>
            </w:tcMar>
          </w:tcPr>
          <w:p>
            <w:r>
              <w:rPr>
                <w:color w:val="203040"/>
                <w:sz w:val="18"/>
              </w:rPr>
              <w:t xml:space="preserve">in.txt</w:t>
            </w:r>
          </w:p>
        </w:tc>
        <w:tc>
          <w:tcPr>
            <w:shd w:fill="EAF2F7"/>
            <w:tcMar>
              <w:top w:w="85" w:type="dxa"/>
              <w:left w:w="110" w:type="dxa"/>
              <w:bottom w:w="85" w:type="dxa"/>
              <w:right w:w="110" w:type="dxa"/>
            </w:tcMar>
          </w:tcPr>
          <w:p>
            <w:r>
              <w:rPr>
                <w:color w:val="203040"/>
                <w:sz w:val="18"/>
              </w:rPr>
              <w:t xml:space="preserve">Sample SIC COPY source, including line numbers and comments.</w:t>
            </w:r>
          </w:p>
        </w:tc>
      </w:tr>
      <w:tr>
        <w:tc>
          <w:tcPr>
            <w:shd w:fill="FFFFFF"/>
            <w:tcMar>
              <w:top w:w="85" w:type="dxa"/>
              <w:left w:w="110" w:type="dxa"/>
              <w:bottom w:w="85" w:type="dxa"/>
              <w:right w:w="110" w:type="dxa"/>
            </w:tcMar>
          </w:tcPr>
          <w:p>
            <w:r>
              <w:rPr>
                <w:color w:val="203040"/>
                <w:sz w:val="18"/>
              </w:rPr>
              <w:t xml:space="preserve">Intermediate.py</w:t>
            </w:r>
          </w:p>
        </w:tc>
        <w:tc>
          <w:tcPr>
            <w:shd w:fill="FFFFFF"/>
            <w:tcMar>
              <w:top w:w="85" w:type="dxa"/>
              <w:left w:w="110" w:type="dxa"/>
              <w:bottom w:w="85" w:type="dxa"/>
              <w:right w:w="110" w:type="dxa"/>
            </w:tcMar>
          </w:tcPr>
          <w:p>
            <w:r>
              <w:rPr>
                <w:color w:val="203040"/>
                <w:sz w:val="18"/>
              </w:rPr>
              <w:t xml:space="preserve">Drops first and last input columns and comment lines; writes intermediate.txt; orchestrates passes.</w:t>
            </w:r>
          </w:p>
        </w:tc>
      </w:tr>
      <w:tr>
        <w:tc>
          <w:tcPr>
            <w:shd w:fill="EAF2F7"/>
            <w:tcMar>
              <w:top w:w="85" w:type="dxa"/>
              <w:left w:w="110" w:type="dxa"/>
              <w:bottom w:w="85" w:type="dxa"/>
              <w:right w:w="110" w:type="dxa"/>
            </w:tcMar>
          </w:tcPr>
          <w:p>
            <w:r>
              <w:rPr>
                <w:color w:val="203040"/>
                <w:sz w:val="18"/>
              </w:rPr>
              <w:t xml:space="preserve">Pass1.py</w:t>
            </w:r>
          </w:p>
        </w:tc>
        <w:tc>
          <w:tcPr>
            <w:shd w:fill="EAF2F7"/>
            <w:tcMar>
              <w:top w:w="85" w:type="dxa"/>
              <w:left w:w="110" w:type="dxa"/>
              <w:bottom w:w="85" w:type="dxa"/>
              <w:right w:w="110" w:type="dxa"/>
            </w:tcMar>
          </w:tcPr>
          <w:p>
            <w:r>
              <w:rPr>
                <w:color w:val="203040"/>
                <w:sz w:val="18"/>
              </w:rPr>
              <w:t xml:space="preserve">Calculates location counter values for instructions and BYTE, WORD, RESB, RESW; writes out_pass1.txt and symbTable.txt.</w:t>
            </w:r>
          </w:p>
        </w:tc>
      </w:tr>
      <w:tr>
        <w:tc>
          <w:tcPr>
            <w:shd w:fill="FFFFFF"/>
            <w:tcMar>
              <w:top w:w="85" w:type="dxa"/>
              <w:left w:w="110" w:type="dxa"/>
              <w:bottom w:w="85" w:type="dxa"/>
              <w:right w:w="110" w:type="dxa"/>
            </w:tcMar>
          </w:tcPr>
          <w:p>
            <w:r>
              <w:rPr>
                <w:color w:val="203040"/>
                <w:sz w:val="18"/>
              </w:rPr>
              <w:t xml:space="preserve">Pass2.py</w:t>
            </w:r>
          </w:p>
        </w:tc>
        <w:tc>
          <w:tcPr>
            <w:shd w:fill="FFFFFF"/>
            <w:tcMar>
              <w:top w:w="85" w:type="dxa"/>
              <w:left w:w="110" w:type="dxa"/>
              <w:bottom w:w="85" w:type="dxa"/>
              <w:right w:w="110" w:type="dxa"/>
            </w:tcMar>
          </w:tcPr>
          <w:p>
            <w:r>
              <w:rPr>
                <w:color w:val="203040"/>
                <w:sz w:val="18"/>
              </w:rPr>
              <w:t xml:space="preserve">Maps opcodes and operands to object bytes; writes out_pass2.txt.</w:t>
            </w:r>
          </w:p>
        </w:tc>
      </w:tr>
      <w:tr>
        <w:tc>
          <w:tcPr>
            <w:shd w:fill="EAF2F7"/>
            <w:tcMar>
              <w:top w:w="85" w:type="dxa"/>
              <w:left w:w="110" w:type="dxa"/>
              <w:bottom w:w="85" w:type="dxa"/>
              <w:right w:w="110" w:type="dxa"/>
            </w:tcMar>
          </w:tcPr>
          <w:p>
            <w:r>
              <w:rPr>
                <w:color w:val="203040"/>
                <w:sz w:val="18"/>
              </w:rPr>
              <w:t xml:space="preserve">HTE.py</w:t>
            </w:r>
          </w:p>
        </w:tc>
        <w:tc>
          <w:tcPr>
            <w:shd w:fill="EAF2F7"/>
            <w:tcMar>
              <w:top w:w="85" w:type="dxa"/>
              <w:left w:w="110" w:type="dxa"/>
              <w:bottom w:w="85" w:type="dxa"/>
              <w:right w:w="110" w:type="dxa"/>
            </w:tcMar>
          </w:tcPr>
          <w:p>
            <w:r>
              <w:rPr>
                <w:color w:val="203040"/>
                <w:sz w:val="18"/>
              </w:rPr>
              <w:t xml:space="preserve">Builds header, text and end records in hte.txt.</w:t>
            </w:r>
          </w:p>
        </w:tc>
      </w:tr>
      <w:tr>
        <w:tc>
          <w:tcPr>
            <w:shd w:fill="FFFFFF"/>
            <w:tcMar>
              <w:top w:w="85" w:type="dxa"/>
              <w:left w:w="110" w:type="dxa"/>
              <w:bottom w:w="85" w:type="dxa"/>
              <w:right w:w="110" w:type="dxa"/>
            </w:tcMar>
          </w:tcPr>
          <w:p>
            <w:r>
              <w:rPr>
                <w:color w:val="203040"/>
                <w:sz w:val="18"/>
              </w:rPr>
              <w:t xml:space="preserve">SymbolTable.py</w:t>
            </w:r>
          </w:p>
        </w:tc>
        <w:tc>
          <w:tcPr>
            <w:shd w:fill="FFFFFF"/>
            <w:tcMar>
              <w:top w:w="85" w:type="dxa"/>
              <w:left w:w="110" w:type="dxa"/>
              <w:bottom w:w="85" w:type="dxa"/>
              <w:right w:w="110" w:type="dxa"/>
            </w:tcMar>
          </w:tcPr>
          <w:p>
            <w:r>
              <w:rPr>
                <w:color w:val="203040"/>
                <w:sz w:val="18"/>
              </w:rPr>
              <w:t xml:space="preserve">A one-line pandas import; it does not implement the symbol table logic.</w:t>
            </w:r>
          </w:p>
        </w:tc>
      </w:tr>
    </w:tbl>
    <w:p>
      <w:pPr>
        <w:pStyle w:val="Heading1"/>
        <w:spacing w:before="150" w:after="85"/>
      </w:pPr>
      <w:r>
        <w:rPr/>
        <w:t xml:space="preserve">Record meaning</w:t>
      </w:r>
    </w:p>
    <w:p>
      <w:pPr>
        <w:pStyle w:val="ListParagraph"/>
        <w:spacing w:before="0" w:after="65"/>
      </w:pPr>
      <w:r>
        <w:rPr/>
        <w:t xml:space="preserve">• H: program name, start address and program length.</w:t>
      </w:r>
    </w:p>
    <w:p>
      <w:pPr>
        <w:pStyle w:val="ListParagraph"/>
        <w:spacing w:before="0" w:after="65"/>
      </w:pPr>
      <w:r>
        <w:rPr/>
        <w:t xml:space="preserve">• T: a start address, byte count and a contiguous sequence of object bytes.</w:t>
      </w:r>
    </w:p>
    <w:p>
      <w:pPr>
        <w:pStyle w:val="ListParagraph"/>
        <w:spacing w:before="0" w:after="65"/>
      </w:pPr>
      <w:r>
        <w:rPr/>
        <w:t xml:space="preserve">• E: the execution entry address.</w:t>
      </w:r>
    </w:p>
    <w:p>
      <w:pPr>
        <w:pStyle w:val="Note"/>
        <w:spacing w:before="130" w:after="110"/>
      </w:pPr>
      <w:r>
        <w:rPr/>
        <w:t xml:space="preserve">Example: the source begins COPY START 1000. The saved symbol table places FIRST at 1000 and CLOOP at 1003. The saved hte.txt instead begins with HFIRST 001003..., which is an observed inconsistency.</w:t>
      </w:r>
    </w:p>
    <w:p>
      <w:r>
        <w:br w:type="page"/>
      </w:r>
    </w:p>
    <w:p>
      <w:pPr>
        <w:pStyle w:val="Heading1"/>
        <w:spacing w:before="150" w:after="85"/>
      </w:pPr>
      <w:r>
        <w:rPr/>
        <w:t xml:space="preserve">3. Loader workflow</w:t>
      </w:r>
    </w:p>
    <w:tbl>
      <w:tblPr>
        <w:tblW w:w="0" w:type="auto"/>
        <w:tblBorders>
          <w:top w:val="single" w:sz="4" w:color="CCD9E2"/>
          <w:bottom w:val="single" w:sz="4" w:color="CCD9E2"/>
          <w:insideH w:val="single" w:sz="4" w:color="CCD9E2"/>
          <w:insideV w:val="single" w:sz="4" w:color="CCD9E2"/>
        </w:tblBorders>
      </w:tblPr>
      <w:tr>
        <w:tc>
          <w:tcPr>
            <w:shd w:fill="FFFFFF"/>
            <w:tcMar>
              <w:top w:w="85" w:type="dxa"/>
              <w:left w:w="110" w:type="dxa"/>
              <w:bottom w:w="85" w:type="dxa"/>
              <w:right w:w="110" w:type="dxa"/>
            </w:tcMar>
          </w:tcPr>
          <w:p>
            <w:r>
              <w:rPr>
                <w:color w:val="203040"/>
                <w:sz w:val="18"/>
                <w:b/>
              </w:rPr>
              <w:t xml:space="preserve">Run loader.py</w:t>
            </w:r>
          </w:p>
        </w:tc>
      </w:tr>
      <w:tr>
        <w:tc>
          <w:tcPr>
            <w:shd w:fill="EAF2F7"/>
            <w:tcMar>
              <w:top w:w="85" w:type="dxa"/>
              <w:left w:w="110" w:type="dxa"/>
              <w:bottom w:w="85" w:type="dxa"/>
              <w:right w:w="110" w:type="dxa"/>
            </w:tcMar>
          </w:tcPr>
          <w:p>
            <w:r>
              <w:rPr>
                <w:color w:val="203040"/>
                <w:sz w:val="18"/>
              </w:rPr>
              <w:t xml:space="preserve">Select 1 or 2</w:t>
            </w:r>
          </w:p>
        </w:tc>
      </w:tr>
      <w:tr>
        <w:tc>
          <w:tcPr>
            <w:shd w:fill="FFFFFF"/>
            <w:tcMar>
              <w:top w:w="85" w:type="dxa"/>
              <w:left w:w="110" w:type="dxa"/>
              <w:bottom w:w="85" w:type="dxa"/>
              <w:right w:w="110" w:type="dxa"/>
            </w:tcMar>
          </w:tcPr>
          <w:p>
            <w:r>
              <w:rPr>
                <w:color w:val="203040"/>
                <w:sz w:val="18"/>
              </w:rPr>
              <w:t xml:space="preserve">Parse object records</w:t>
            </w:r>
          </w:p>
        </w:tc>
      </w:tr>
      <w:tr>
        <w:tc>
          <w:tcPr>
            <w:shd w:fill="EAF2F7"/>
            <w:tcMar>
              <w:top w:w="85" w:type="dxa"/>
              <w:left w:w="110" w:type="dxa"/>
              <w:bottom w:w="85" w:type="dxa"/>
              <w:right w:w="110" w:type="dxa"/>
            </w:tcMar>
          </w:tcPr>
          <w:p>
            <w:r>
              <w:rPr>
                <w:color w:val="203040"/>
                <w:sz w:val="18"/>
              </w:rPr>
              <w:t xml:space="preserve">Build memory grid</w:t>
            </w:r>
          </w:p>
        </w:tc>
      </w:tr>
      <w:tr>
        <w:tc>
          <w:tcPr>
            <w:shd w:fill="FFFFFF"/>
            <w:tcMar>
              <w:top w:w="85" w:type="dxa"/>
              <w:left w:w="110" w:type="dxa"/>
              <w:bottom w:w="85" w:type="dxa"/>
              <w:right w:w="110" w:type="dxa"/>
            </w:tcMar>
          </w:tcPr>
          <w:p>
            <w:r>
              <w:rPr>
                <w:color w:val="203040"/>
                <w:sz w:val="18"/>
              </w:rPr>
              <w:t xml:space="preserve">Display grid</w:t>
            </w:r>
          </w:p>
        </w:tc>
      </w:tr>
    </w:tbl>
    <w:p>
      <w:pPr>
        <w:pStyle w:val="Normal"/>
        <w:spacing w:before="0" w:after="110"/>
      </w:pPr>
      <w:r>
        <w:rPr/>
        <w:t xml:space="preserve">The active loader menu accepts 1 for the SIC absolute loader or 2 for the SIC/XE linking loader. Its functions use pandas DataFrames as a byte-addressed memory grid: each row represents 16 addresses and columns 0 through F hold one byte each. Unfilled positions are shown as x.</w:t>
      </w:r>
    </w:p>
    <w:p>
      <w:pPr>
        <w:pStyle w:val="Heading1"/>
        <w:spacing w:before="150" w:after="85"/>
      </w:pPr>
      <w:r>
        <w:rPr/>
        <w:t xml:space="preserve">SIC absolute loading</w:t>
      </w:r>
    </w:p>
    <w:p>
      <w:pPr>
        <w:pStyle w:val="Normal"/>
        <w:spacing w:before="0" w:after="110"/>
      </w:pPr>
      <w:r>
        <w:rPr/>
        <w:t xml:space="preserve">absolute('sic.txt') reads dot-separated H, T and E records. It takes the header start and length, creates memory rows, splits each T record's object string into byte pairs, and writes those pairs at the record's stated addresses. It then calls pandasgui.show to display the grid.</w:t>
      </w:r>
    </w:p>
    <w:p>
      <w:pPr>
        <w:pStyle w:val="Heading1"/>
        <w:spacing w:before="150" w:after="85"/>
      </w:pPr>
      <w:r>
        <w:rPr/>
        <w:t xml:space="preserve">SIC/XE linking loading</w:t>
      </w:r>
    </w:p>
    <w:p>
      <w:pPr>
        <w:pStyle w:val="Normal"/>
        <w:spacing w:before="0" w:after="110"/>
      </w:pPr>
      <w:r>
        <w:rPr/>
        <w:t xml:space="preserve">extable('sicxe.txt') reads caret-separated control sections. H records identify sections and lengths; D records define external symbols; R records list referenced names; T records contain bytes; M records request address changes; E ends a section. The function writes Ext_sym_Table.txt, places text bytes, applies its modification logic and displays the grid.</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Record</w:t>
            </w:r>
          </w:p>
        </w:tc>
        <w:tc>
          <w:tcPr>
            <w:shd w:fill="17324D"/>
            <w:tcMar>
              <w:top w:w="85" w:type="dxa"/>
              <w:left w:w="110" w:type="dxa"/>
              <w:bottom w:w="85" w:type="dxa"/>
              <w:right w:w="110" w:type="dxa"/>
            </w:tcMar>
          </w:tcPr>
          <w:p>
            <w:r>
              <w:rPr>
                <w:color w:val="FFFFFF"/>
                <w:sz w:val="18"/>
                <w:b/>
              </w:rPr>
              <w:t xml:space="preserve">Meaning in the SIC/XE sample</w:t>
            </w:r>
          </w:p>
        </w:tc>
      </w:tr>
      <w:tr>
        <w:tc>
          <w:tcPr>
            <w:shd w:fill="EAF2F7"/>
            <w:tcMar>
              <w:top w:w="85" w:type="dxa"/>
              <w:left w:w="110" w:type="dxa"/>
              <w:bottom w:w="85" w:type="dxa"/>
              <w:right w:w="110" w:type="dxa"/>
            </w:tcMar>
          </w:tcPr>
          <w:p>
            <w:r>
              <w:rPr>
                <w:color w:val="203040"/>
                <w:sz w:val="18"/>
              </w:rPr>
              <w:t xml:space="preserve">H</w:t>
            </w:r>
          </w:p>
        </w:tc>
        <w:tc>
          <w:tcPr>
            <w:shd w:fill="EAF2F7"/>
            <w:tcMar>
              <w:top w:w="85" w:type="dxa"/>
              <w:left w:w="110" w:type="dxa"/>
              <w:bottom w:w="85" w:type="dxa"/>
              <w:right w:w="110" w:type="dxa"/>
            </w:tcMar>
          </w:tcPr>
          <w:p>
            <w:r>
              <w:rPr>
                <w:color w:val="203040"/>
                <w:sz w:val="18"/>
              </w:rPr>
              <w:t xml:space="preserve">Control section name, origin and length.</w:t>
            </w:r>
          </w:p>
        </w:tc>
      </w:tr>
      <w:tr>
        <w:tc>
          <w:tcPr>
            <w:shd w:fill="FFFFFF"/>
            <w:tcMar>
              <w:top w:w="85" w:type="dxa"/>
              <w:left w:w="110" w:type="dxa"/>
              <w:bottom w:w="85" w:type="dxa"/>
              <w:right w:w="110" w:type="dxa"/>
            </w:tcMar>
          </w:tcPr>
          <w:p>
            <w:r>
              <w:rPr>
                <w:color w:val="203040"/>
                <w:sz w:val="18"/>
              </w:rPr>
              <w:t xml:space="preserve">D</w:t>
            </w:r>
          </w:p>
        </w:tc>
        <w:tc>
          <w:tcPr>
            <w:shd w:fill="FFFFFF"/>
            <w:tcMar>
              <w:top w:w="85" w:type="dxa"/>
              <w:left w:w="110" w:type="dxa"/>
              <w:bottom w:w="85" w:type="dxa"/>
              <w:right w:w="110" w:type="dxa"/>
            </w:tcMar>
          </w:tcPr>
          <w:p>
            <w:r>
              <w:rPr>
                <w:color w:val="203040"/>
                <w:sz w:val="18"/>
              </w:rPr>
              <w:t xml:space="preserve">External symbols defined by that section.</w:t>
            </w:r>
          </w:p>
        </w:tc>
      </w:tr>
      <w:tr>
        <w:tc>
          <w:tcPr>
            <w:shd w:fill="EAF2F7"/>
            <w:tcMar>
              <w:top w:w="85" w:type="dxa"/>
              <w:left w:w="110" w:type="dxa"/>
              <w:bottom w:w="85" w:type="dxa"/>
              <w:right w:w="110" w:type="dxa"/>
            </w:tcMar>
          </w:tcPr>
          <w:p>
            <w:r>
              <w:rPr>
                <w:color w:val="203040"/>
                <w:sz w:val="18"/>
              </w:rPr>
              <w:t xml:space="preserve">R</w:t>
            </w:r>
          </w:p>
        </w:tc>
        <w:tc>
          <w:tcPr>
            <w:shd w:fill="EAF2F7"/>
            <w:tcMar>
              <w:top w:w="85" w:type="dxa"/>
              <w:left w:w="110" w:type="dxa"/>
              <w:bottom w:w="85" w:type="dxa"/>
              <w:right w:w="110" w:type="dxa"/>
            </w:tcMar>
          </w:tcPr>
          <w:p>
            <w:r>
              <w:rPr>
                <w:color w:val="203040"/>
                <w:sz w:val="18"/>
              </w:rPr>
              <w:t xml:space="preserve">External symbols referenced by that section.</w:t>
            </w:r>
          </w:p>
        </w:tc>
      </w:tr>
      <w:tr>
        <w:tc>
          <w:tcPr>
            <w:shd w:fill="FFFFFF"/>
            <w:tcMar>
              <w:top w:w="85" w:type="dxa"/>
              <w:left w:w="110" w:type="dxa"/>
              <w:bottom w:w="85" w:type="dxa"/>
              <w:right w:w="110" w:type="dxa"/>
            </w:tcMar>
          </w:tcPr>
          <w:p>
            <w:r>
              <w:rPr>
                <w:color w:val="203040"/>
                <w:sz w:val="18"/>
              </w:rPr>
              <w:t xml:space="preserve">T</w:t>
            </w:r>
          </w:p>
        </w:tc>
        <w:tc>
          <w:tcPr>
            <w:shd w:fill="FFFFFF"/>
            <w:tcMar>
              <w:top w:w="85" w:type="dxa"/>
              <w:left w:w="110" w:type="dxa"/>
              <w:bottom w:w="85" w:type="dxa"/>
              <w:right w:w="110" w:type="dxa"/>
            </w:tcMar>
          </w:tcPr>
          <w:p>
            <w:r>
              <w:rPr>
                <w:color w:val="203040"/>
                <w:sz w:val="18"/>
              </w:rPr>
              <w:t xml:space="preserve">Object bytes and their relative start.</w:t>
            </w:r>
          </w:p>
        </w:tc>
      </w:tr>
      <w:tr>
        <w:tc>
          <w:tcPr>
            <w:shd w:fill="EAF2F7"/>
            <w:tcMar>
              <w:top w:w="85" w:type="dxa"/>
              <w:left w:w="110" w:type="dxa"/>
              <w:bottom w:w="85" w:type="dxa"/>
              <w:right w:w="110" w:type="dxa"/>
            </w:tcMar>
          </w:tcPr>
          <w:p>
            <w:r>
              <w:rPr>
                <w:color w:val="203040"/>
                <w:sz w:val="18"/>
              </w:rPr>
              <w:t xml:space="preserve">M</w:t>
            </w:r>
          </w:p>
        </w:tc>
        <w:tc>
          <w:tcPr>
            <w:shd w:fill="EAF2F7"/>
            <w:tcMar>
              <w:top w:w="85" w:type="dxa"/>
              <w:left w:w="110" w:type="dxa"/>
              <w:bottom w:w="85" w:type="dxa"/>
              <w:right w:w="110" w:type="dxa"/>
            </w:tcMar>
          </w:tcPr>
          <w:p>
            <w:r>
              <w:rPr>
                <w:color w:val="203040"/>
                <w:sz w:val="18"/>
              </w:rPr>
              <w:t xml:space="preserve">Field to modify, field length, sign and symbol.</w:t>
            </w:r>
          </w:p>
        </w:tc>
      </w:tr>
      <w:tr>
        <w:tc>
          <w:tcPr>
            <w:shd w:fill="FFFFFF"/>
            <w:tcMar>
              <w:top w:w="85" w:type="dxa"/>
              <w:left w:w="110" w:type="dxa"/>
              <w:bottom w:w="85" w:type="dxa"/>
              <w:right w:w="110" w:type="dxa"/>
            </w:tcMar>
          </w:tcPr>
          <w:p>
            <w:r>
              <w:rPr>
                <w:color w:val="203040"/>
                <w:sz w:val="18"/>
              </w:rPr>
              <w:t xml:space="preserve">E</w:t>
            </w:r>
          </w:p>
        </w:tc>
        <w:tc>
          <w:tcPr>
            <w:shd w:fill="FFFFFF"/>
            <w:tcMar>
              <w:top w:w="85" w:type="dxa"/>
              <w:left w:w="110" w:type="dxa"/>
              <w:bottom w:w="85" w:type="dxa"/>
              <w:right w:w="110" w:type="dxa"/>
            </w:tcMar>
          </w:tcPr>
          <w:p>
            <w:r>
              <w:rPr>
                <w:color w:val="203040"/>
                <w:sz w:val="18"/>
              </w:rPr>
              <w:t xml:space="preserve">End and optional entry point.</w:t>
            </w:r>
          </w:p>
        </w:tc>
      </w:tr>
    </w:tbl>
    <w:p>
      <w:pPr>
        <w:pStyle w:val="Note"/>
        <w:spacing w:before="130" w:after="110"/>
      </w:pPr>
      <w:r>
        <w:rPr/>
        <w:t xml:space="preserve">The linking path currently fixes its initial load address at hexadecimal 403F, and parts of the code assume the layout of the included sample.</w:t>
      </w:r>
    </w:p>
    <w:p>
      <w:r>
        <w:br w:type="page"/>
      </w:r>
    </w:p>
    <w:p>
      <w:pPr>
        <w:pStyle w:val="Heading1"/>
        <w:spacing w:before="150" w:after="85"/>
      </w:pPr>
      <w:r>
        <w:rPr/>
        <w:t xml:space="preserve">4. Example and file map</w:t>
      </w:r>
    </w:p>
    <w:p>
      <w:pPr>
        <w:pStyle w:val="Heading1"/>
        <w:spacing w:before="150" w:after="85"/>
      </w:pPr>
      <w:r>
        <w:rPr/>
        <w:t xml:space="preserve">Assembler example</w:t>
      </w:r>
    </w:p>
    <w:p>
      <w:pPr>
        <w:pStyle w:val="Normal"/>
        <w:spacing w:before="0" w:after="110"/>
      </w:pPr>
      <w:r>
        <w:rPr/>
        <w:t xml:space="preserve">The sample program begins at address 1000. FIRST STL RETADR is at 1000 and CLOOP JSUB RDREC is at 1003 in the saved pass output. The saved symbol table assigns RDREC to 2039. Pass 2 combines opcodes and addresses into object code, such as 141033 for STL RETADR and 482039 for JSUB RDREC.</w:t>
      </w:r>
    </w:p>
    <w:p>
      <w:pPr>
        <w:pStyle w:val="Heading1"/>
        <w:spacing w:before="150" w:after="85"/>
      </w:pPr>
      <w:r>
        <w:rPr/>
        <w:t xml:space="preserve">Loader examples</w:t>
      </w:r>
    </w:p>
    <w:p>
      <w:pPr>
        <w:pStyle w:val="Normal"/>
        <w:spacing w:before="0" w:after="110"/>
      </w:pPr>
      <w:r>
        <w:rPr/>
        <w:t xml:space="preserve">sic.txt contains a single object program named COPY and its H/T/E records. sicxe.txt contains three control sections (XXPROG1, XXPROG2 and XXPROG3), external definitions and modification records. These are demonstration inputs, not a direct export from the included assembler.</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Folder or artifact</w:t>
            </w:r>
          </w:p>
        </w:tc>
        <w:tc>
          <w:tcPr>
            <w:shd w:fill="17324D"/>
            <w:tcMar>
              <w:top w:w="85" w:type="dxa"/>
              <w:left w:w="110" w:type="dxa"/>
              <w:bottom w:w="85" w:type="dxa"/>
              <w:right w:w="110" w:type="dxa"/>
            </w:tcMar>
          </w:tcPr>
          <w:p>
            <w:r>
              <w:rPr>
                <w:color w:val="FFFFFF"/>
                <w:sz w:val="18"/>
                <w:b/>
              </w:rPr>
              <w:t xml:space="preserve">Use</w:t>
            </w:r>
          </w:p>
        </w:tc>
      </w:tr>
      <w:tr>
        <w:tc>
          <w:tcPr>
            <w:shd w:fill="EAF2F7"/>
            <w:tcMar>
              <w:top w:w="85" w:type="dxa"/>
              <w:left w:w="110" w:type="dxa"/>
              <w:bottom w:w="85" w:type="dxa"/>
              <w:right w:w="110" w:type="dxa"/>
            </w:tcMar>
          </w:tcPr>
          <w:p>
            <w:r>
              <w:rPr>
                <w:color w:val="203040"/>
                <w:sz w:val="18"/>
              </w:rPr>
              <w:t xml:space="preserve">projeytc syetsm/projeytc syetsm</w:t>
            </w:r>
          </w:p>
        </w:tc>
        <w:tc>
          <w:tcPr>
            <w:shd w:fill="EAF2F7"/>
            <w:tcMar>
              <w:top w:w="85" w:type="dxa"/>
              <w:left w:w="110" w:type="dxa"/>
              <w:bottom w:w="85" w:type="dxa"/>
              <w:right w:w="110" w:type="dxa"/>
            </w:tcMar>
          </w:tcPr>
          <w:p>
            <w:r>
              <w:rPr>
                <w:color w:val="203040"/>
                <w:sz w:val="18"/>
              </w:rPr>
              <w:t xml:space="preserve">Assembler source, input, generated text files and historical PDFs.</w:t>
            </w:r>
          </w:p>
        </w:tc>
      </w:tr>
      <w:tr>
        <w:tc>
          <w:tcPr>
            <w:shd w:fill="FFFFFF"/>
            <w:tcMar>
              <w:top w:w="85" w:type="dxa"/>
              <w:left w:w="110" w:type="dxa"/>
              <w:bottom w:w="85" w:type="dxa"/>
              <w:right w:w="110" w:type="dxa"/>
            </w:tcMar>
          </w:tcPr>
          <w:p>
            <w:r>
              <w:rPr>
                <w:color w:val="203040"/>
                <w:sz w:val="18"/>
              </w:rPr>
              <w:t xml:space="preserve">loader/loader/loader</w:t>
            </w:r>
          </w:p>
        </w:tc>
        <w:tc>
          <w:tcPr>
            <w:shd w:fill="FFFFFF"/>
            <w:tcMar>
              <w:top w:w="85" w:type="dxa"/>
              <w:left w:w="110" w:type="dxa"/>
              <w:bottom w:w="85" w:type="dxa"/>
              <w:right w:w="110" w:type="dxa"/>
            </w:tcMar>
          </w:tcPr>
          <w:p>
            <w:r>
              <w:rPr>
                <w:color w:val="203040"/>
                <w:sz w:val="18"/>
              </w:rPr>
              <w:t xml:space="preserve">Loader source, batch launcher, sample object files and historical Word report.</w:t>
            </w:r>
          </w:p>
        </w:tc>
      </w:tr>
      <w:tr>
        <w:tc>
          <w:tcPr>
            <w:shd w:fill="EAF2F7"/>
            <w:tcMar>
              <w:top w:w="85" w:type="dxa"/>
              <w:left w:w="110" w:type="dxa"/>
              <w:bottom w:w="85" w:type="dxa"/>
              <w:right w:w="110" w:type="dxa"/>
            </w:tcMar>
          </w:tcPr>
          <w:p>
            <w:r>
              <w:rPr>
                <w:color w:val="203040"/>
                <w:sz w:val="18"/>
              </w:rPr>
              <w:t xml:space="preserve">out_pass1.txt / symbTable.txt</w:t>
            </w:r>
          </w:p>
        </w:tc>
        <w:tc>
          <w:tcPr>
            <w:shd w:fill="EAF2F7"/>
            <w:tcMar>
              <w:top w:w="85" w:type="dxa"/>
              <w:left w:w="110" w:type="dxa"/>
              <w:bottom w:w="85" w:type="dxa"/>
              <w:right w:w="110" w:type="dxa"/>
            </w:tcMar>
          </w:tcPr>
          <w:p>
            <w:r>
              <w:rPr>
                <w:color w:val="203040"/>
                <w:sz w:val="18"/>
              </w:rPr>
              <w:t xml:space="preserve">Addressed listing and label lookup.</w:t>
            </w:r>
          </w:p>
        </w:tc>
      </w:tr>
      <w:tr>
        <w:tc>
          <w:tcPr>
            <w:shd w:fill="FFFFFF"/>
            <w:tcMar>
              <w:top w:w="85" w:type="dxa"/>
              <w:left w:w="110" w:type="dxa"/>
              <w:bottom w:w="85" w:type="dxa"/>
              <w:right w:w="110" w:type="dxa"/>
            </w:tcMar>
          </w:tcPr>
          <w:p>
            <w:r>
              <w:rPr>
                <w:color w:val="203040"/>
                <w:sz w:val="18"/>
              </w:rPr>
              <w:t xml:space="preserve">out_pass2.txt / hte.txt</w:t>
            </w:r>
          </w:p>
        </w:tc>
        <w:tc>
          <w:tcPr>
            <w:shd w:fill="FFFFFF"/>
            <w:tcMar>
              <w:top w:w="85" w:type="dxa"/>
              <w:left w:w="110" w:type="dxa"/>
              <w:bottom w:w="85" w:type="dxa"/>
              <w:right w:w="110" w:type="dxa"/>
            </w:tcMar>
          </w:tcPr>
          <w:p>
            <w:r>
              <w:rPr>
                <w:color w:val="203040"/>
                <w:sz w:val="18"/>
              </w:rPr>
              <w:t xml:space="preserve">Object-code listing and H/T/E output.</w:t>
            </w:r>
          </w:p>
        </w:tc>
      </w:tr>
      <w:tr>
        <w:tc>
          <w:tcPr>
            <w:shd w:fill="EAF2F7"/>
            <w:tcMar>
              <w:top w:w="85" w:type="dxa"/>
              <w:left w:w="110" w:type="dxa"/>
              <w:bottom w:w="85" w:type="dxa"/>
              <w:right w:w="110" w:type="dxa"/>
            </w:tcMar>
          </w:tcPr>
          <w:p>
            <w:r>
              <w:rPr>
                <w:color w:val="203040"/>
                <w:sz w:val="18"/>
              </w:rPr>
              <w:t xml:space="preserve">Ext_sym_Table.txt</w:t>
            </w:r>
          </w:p>
        </w:tc>
        <w:tc>
          <w:tcPr>
            <w:shd w:fill="EAF2F7"/>
            <w:tcMar>
              <w:top w:w="85" w:type="dxa"/>
              <w:left w:w="110" w:type="dxa"/>
              <w:bottom w:w="85" w:type="dxa"/>
              <w:right w:w="110" w:type="dxa"/>
            </w:tcMar>
          </w:tcPr>
          <w:p>
            <w:r>
              <w:rPr>
                <w:color w:val="203040"/>
                <w:sz w:val="18"/>
              </w:rPr>
              <w:t xml:space="preserve">External symbol table written by the linking loader.</w:t>
            </w:r>
          </w:p>
        </w:tc>
      </w:tr>
      <w:tr>
        <w:tc>
          <w:tcPr>
            <w:shd w:fill="FFFFFF"/>
            <w:tcMar>
              <w:top w:w="85" w:type="dxa"/>
              <w:left w:w="110" w:type="dxa"/>
              <w:bottom w:w="85" w:type="dxa"/>
              <w:right w:w="110" w:type="dxa"/>
            </w:tcMar>
          </w:tcPr>
          <w:p>
            <w:r>
              <w:rPr>
                <w:color w:val="203040"/>
                <w:sz w:val="18"/>
              </w:rPr>
              <w:t xml:space="preserve">*.rar and __pycache__</w:t>
            </w:r>
          </w:p>
        </w:tc>
        <w:tc>
          <w:tcPr>
            <w:shd w:fill="FFFFFF"/>
            <w:tcMar>
              <w:top w:w="85" w:type="dxa"/>
              <w:left w:w="110" w:type="dxa"/>
              <w:bottom w:w="85" w:type="dxa"/>
              <w:right w:w="110" w:type="dxa"/>
            </w:tcMar>
          </w:tcPr>
          <w:p>
            <w:r>
              <w:rPr>
                <w:color w:val="203040"/>
                <w:sz w:val="18"/>
              </w:rPr>
              <w:t xml:space="preserve">Archives and Python bytecode; not required for understanding the source flow.</w:t>
            </w:r>
          </w:p>
        </w:tc>
      </w:tr>
    </w:tbl>
    <w:p>
      <w:pPr>
        <w:pStyle w:val="Heading1"/>
        <w:spacing w:before="150" w:after="85"/>
      </w:pPr>
      <w:r>
        <w:rPr/>
        <w:t xml:space="preserve">How to run from source</w:t>
      </w:r>
    </w:p>
    <w:p>
      <w:pPr>
        <w:pStyle w:val="ListParagraph"/>
        <w:spacing w:before="0" w:after="65"/>
      </w:pPr>
      <w:r>
        <w:rPr/>
        <w:t xml:space="preserve">• Install Python with pandas, numpy and pandasgui in a compatible environment.</w:t>
      </w:r>
    </w:p>
    <w:p>
      <w:pPr>
        <w:pStyle w:val="ListParagraph"/>
        <w:spacing w:before="0" w:after="65"/>
      </w:pPr>
      <w:r>
        <w:rPr/>
        <w:t xml:space="preserve">• From the assembler's inner folder, run: python Intermediate.py.</w:t>
      </w:r>
    </w:p>
    <w:p>
      <w:pPr>
        <w:pStyle w:val="ListParagraph"/>
        <w:spacing w:before="0" w:after="65"/>
      </w:pPr>
      <w:r>
        <w:rPr/>
        <w:t xml:space="preserve">• From the loader's inner folder, run: python loader.py (or run.bat), then choose 1 or 2.</w:t>
      </w:r>
    </w:p>
    <w:p>
      <w:pPr>
        <w:pStyle w:val="Note"/>
        <w:spacing w:before="130" w:after="110"/>
      </w:pPr>
      <w:r>
        <w:rPr/>
        <w:t xml:space="preserve">Running these commands writes or rewrites output text files in the project folders. Review or copy the samples first if their current contents matter.</w:t>
      </w:r>
    </w:p>
    <w:p>
      <w:r>
        <w:br w:type="page"/>
      </w:r>
    </w:p>
    <w:p>
      <w:pPr>
        <w:pStyle w:val="Heading1"/>
        <w:spacing w:before="150" w:after="85"/>
      </w:pPr>
      <w:r>
        <w:rPr/>
        <w:t xml:space="preserve">5. Implementation notes and next steps</w:t>
      </w:r>
    </w:p>
    <w:p>
      <w:pPr>
        <w:pStyle w:val="Normal"/>
        <w:spacing w:before="0" w:after="110"/>
      </w:pPr>
      <w:r>
        <w:rPr/>
        <w:t xml:space="preserve">The code is useful as a course demonstration, but the saved outputs and several branches need validation before it can be presented as a complete general-purpose assembler and loader.</w:t>
      </w:r>
    </w:p>
    <w:tbl>
      <w:tblPr>
        <w:tblW w:w="0" w:type="auto"/>
        <w:tblBorders>
          <w:top w:val="single" w:sz="4" w:color="CCD9E2"/>
          <w:bottom w:val="single" w:sz="4" w:color="CCD9E2"/>
          <w:insideH w:val="single" w:sz="4" w:color="CCD9E2"/>
          <w:insideV w:val="single" w:sz="4" w:color="CCD9E2"/>
        </w:tblBorders>
      </w:tblPr>
      <w:tr>
        <w:tc>
          <w:tcPr>
            <w:shd w:fill="17324D"/>
            <w:tcMar>
              <w:top w:w="85" w:type="dxa"/>
              <w:left w:w="110" w:type="dxa"/>
              <w:bottom w:w="85" w:type="dxa"/>
              <w:right w:w="110" w:type="dxa"/>
            </w:tcMar>
          </w:tcPr>
          <w:p>
            <w:r>
              <w:rPr>
                <w:color w:val="FFFFFF"/>
                <w:sz w:val="18"/>
                <w:b/>
              </w:rPr>
              <w:t xml:space="preserve">Finding</w:t>
            </w:r>
          </w:p>
        </w:tc>
        <w:tc>
          <w:tcPr>
            <w:shd w:fill="17324D"/>
            <w:tcMar>
              <w:top w:w="85" w:type="dxa"/>
              <w:left w:w="110" w:type="dxa"/>
              <w:bottom w:w="85" w:type="dxa"/>
              <w:right w:w="110" w:type="dxa"/>
            </w:tcMar>
          </w:tcPr>
          <w:p>
            <w:r>
              <w:rPr>
                <w:color w:val="FFFFFF"/>
                <w:sz w:val="18"/>
                <w:b/>
              </w:rPr>
              <w:t xml:space="preserve">Effect / recommended check</w:t>
            </w:r>
          </w:p>
        </w:tc>
      </w:tr>
      <w:tr>
        <w:tc>
          <w:tcPr>
            <w:shd w:fill="EAF2F7"/>
            <w:tcMar>
              <w:top w:w="85" w:type="dxa"/>
              <w:left w:w="110" w:type="dxa"/>
              <w:bottom w:w="85" w:type="dxa"/>
              <w:right w:w="110" w:type="dxa"/>
            </w:tcMar>
          </w:tcPr>
          <w:p>
            <w:r>
              <w:rPr>
                <w:color w:val="203040"/>
                <w:sz w:val="18"/>
              </w:rPr>
              <w:t xml:space="preserve">HTE start mismatch</w:t>
            </w:r>
          </w:p>
        </w:tc>
        <w:tc>
          <w:tcPr>
            <w:shd w:fill="EAF2F7"/>
            <w:tcMar>
              <w:top w:w="85" w:type="dxa"/>
              <w:left w:w="110" w:type="dxa"/>
              <w:bottom w:w="85" w:type="dxa"/>
              <w:right w:w="110" w:type="dxa"/>
            </w:tcMar>
          </w:tcPr>
          <w:p>
            <w:r>
              <w:rPr>
                <w:color w:val="203040"/>
                <w:sz w:val="18"/>
              </w:rPr>
              <w:t xml:space="preserve">HTE.py reads df.iloc[1,0] as the start and df.iloc[0,1] as the name. Compare generated header and E address with START and END directives.</w:t>
            </w:r>
          </w:p>
        </w:tc>
      </w:tr>
      <w:tr>
        <w:tc>
          <w:tcPr>
            <w:shd w:fill="FFFFFF"/>
            <w:tcMar>
              <w:top w:w="85" w:type="dxa"/>
              <w:left w:w="110" w:type="dxa"/>
              <w:bottom w:w="85" w:type="dxa"/>
              <w:right w:w="110" w:type="dxa"/>
            </w:tcMar>
          </w:tcPr>
          <w:p>
            <w:r>
              <w:rPr>
                <w:color w:val="203040"/>
                <w:sz w:val="18"/>
              </w:rPr>
              <w:t xml:space="preserve">Pending text not flushed</w:t>
            </w:r>
          </w:p>
        </w:tc>
        <w:tc>
          <w:tcPr>
            <w:shd w:fill="FFFFFF"/>
            <w:tcMar>
              <w:top w:w="85" w:type="dxa"/>
              <w:left w:w="110" w:type="dxa"/>
              <w:bottom w:w="85" w:type="dxa"/>
              <w:right w:w="110" w:type="dxa"/>
            </w:tcMar>
          </w:tcPr>
          <w:p>
            <w:r>
              <w:rPr>
                <w:color w:val="203040"/>
                <w:sz w:val="18"/>
              </w:rPr>
              <w:t xml:space="preserve">HTE.py writes a T record only when a reservation or size threshold is reached. Check that the final nonempty byte run is written before E.</w:t>
            </w:r>
          </w:p>
        </w:tc>
      </w:tr>
      <w:tr>
        <w:tc>
          <w:tcPr>
            <w:shd w:fill="EAF2F7"/>
            <w:tcMar>
              <w:top w:w="85" w:type="dxa"/>
              <w:left w:w="110" w:type="dxa"/>
              <w:bottom w:w="85" w:type="dxa"/>
              <w:right w:w="110" w:type="dxa"/>
            </w:tcMar>
          </w:tcPr>
          <w:p>
            <w:r>
              <w:rPr>
                <w:color w:val="203040"/>
                <w:sz w:val="18"/>
              </w:rPr>
              <w:t xml:space="preserve">Sample-specific linking logic</w:t>
            </w:r>
          </w:p>
        </w:tc>
        <w:tc>
          <w:tcPr>
            <w:shd w:fill="EAF2F7"/>
            <w:tcMar>
              <w:top w:w="85" w:type="dxa"/>
              <w:left w:w="110" w:type="dxa"/>
              <w:bottom w:w="85" w:type="dxa"/>
              <w:right w:w="110" w:type="dxa"/>
            </w:tcMar>
          </w:tcPr>
          <w:p>
            <w:r>
              <w:rPr>
                <w:color w:val="203040"/>
                <w:sz w:val="18"/>
              </w:rPr>
              <w:t xml:space="preserve">extable() hardcodes 403F and uses record-position assumptions. Parameterize the load address and test each control section independently.</w:t>
            </w:r>
          </w:p>
        </w:tc>
      </w:tr>
      <w:tr>
        <w:tc>
          <w:tcPr>
            <w:shd w:fill="FFFFFF"/>
            <w:tcMar>
              <w:top w:w="85" w:type="dxa"/>
              <w:left w:w="110" w:type="dxa"/>
              <w:bottom w:w="85" w:type="dxa"/>
              <w:right w:w="110" w:type="dxa"/>
            </w:tcMar>
          </w:tcPr>
          <w:p>
            <w:r>
              <w:rPr>
                <w:color w:val="203040"/>
                <w:sz w:val="18"/>
              </w:rPr>
              <w:t xml:space="preserve">Limited validation</w:t>
            </w:r>
          </w:p>
        </w:tc>
        <w:tc>
          <w:tcPr>
            <w:shd w:fill="FFFFFF"/>
            <w:tcMar>
              <w:top w:w="85" w:type="dxa"/>
              <w:left w:w="110" w:type="dxa"/>
              <w:bottom w:w="85" w:type="dxa"/>
              <w:right w:w="110" w:type="dxa"/>
            </w:tcMar>
          </w:tcPr>
          <w:p>
            <w:r>
              <w:rPr>
                <w:color w:val="203040"/>
                <w:sz w:val="18"/>
              </w:rPr>
              <w:t xml:space="preserve">Unknown instructions, undefined or duplicate labels, malformed records and bounds are not handled systematically. Add clear errors and fixtures.</w:t>
            </w:r>
          </w:p>
        </w:tc>
      </w:tr>
      <w:tr>
        <w:tc>
          <w:tcPr>
            <w:shd w:fill="EAF2F7"/>
            <w:tcMar>
              <w:top w:w="85" w:type="dxa"/>
              <w:left w:w="110" w:type="dxa"/>
              <w:bottom w:w="85" w:type="dxa"/>
              <w:right w:w="110" w:type="dxa"/>
            </w:tcMar>
          </w:tcPr>
          <w:p>
            <w:r>
              <w:rPr>
                <w:color w:val="203040"/>
                <w:sz w:val="18"/>
              </w:rPr>
              <w:t xml:space="preserve">Environment dependency</w:t>
            </w:r>
          </w:p>
        </w:tc>
        <w:tc>
          <w:tcPr>
            <w:shd w:fill="EAF2F7"/>
            <w:tcMar>
              <w:top w:w="85" w:type="dxa"/>
              <w:left w:w="110" w:type="dxa"/>
              <w:bottom w:w="85" w:type="dxa"/>
              <w:right w:w="110" w:type="dxa"/>
            </w:tcMar>
          </w:tcPr>
          <w:p>
            <w:r>
              <w:rPr>
                <w:color w:val="203040"/>
                <w:sz w:val="18"/>
              </w:rPr>
              <w:t xml:space="preserve">The loader opens pandasgui; it needs a desktop GUI environment. Package or document compatible dependency versions.</w:t>
            </w:r>
          </w:p>
        </w:tc>
      </w:tr>
    </w:tbl>
    <w:p>
      <w:pPr>
        <w:pStyle w:val="Heading1"/>
        <w:spacing w:before="150" w:after="85"/>
      </w:pPr>
      <w:r>
        <w:rPr/>
        <w:t xml:space="preserve">Suggested verification sequence</w:t>
      </w:r>
    </w:p>
    <w:p>
      <w:pPr>
        <w:pStyle w:val="ListParagraph"/>
        <w:spacing w:before="0" w:after="65"/>
      </w:pPr>
      <w:r>
        <w:rPr/>
        <w:t xml:space="preserve">• Assemble the sample and compare each pass output with its source line and location counter.</w:t>
      </w:r>
    </w:p>
    <w:p>
      <w:pPr>
        <w:pStyle w:val="ListParagraph"/>
        <w:spacing w:before="0" w:after="65"/>
      </w:pPr>
      <w:r>
        <w:rPr/>
        <w:t xml:space="preserve">• Parse the generated H/T/E records and confirm each T length equals its byte count.</w:t>
      </w:r>
    </w:p>
    <w:p>
      <w:pPr>
        <w:pStyle w:val="ListParagraph"/>
        <w:spacing w:before="0" w:after="65"/>
      </w:pPr>
      <w:r>
        <w:rPr/>
        <w:t xml:space="preserve">• Load known SIC bytes and verify addresses and row boundaries in the memory grid.</w:t>
      </w:r>
    </w:p>
    <w:p>
      <w:pPr>
        <w:pStyle w:val="ListParagraph"/>
        <w:spacing w:before="0" w:after="65"/>
      </w:pPr>
      <w:r>
        <w:rPr/>
        <w:t xml:space="preserve">• Test SIC/XE modifications for positive and negative references, field lengths and multiple control sections.</w:t>
      </w:r>
    </w:p>
    <w:p>
      <w:pPr>
        <w:pStyle w:val="Heading1"/>
        <w:spacing w:before="150" w:after="85"/>
      </w:pPr>
      <w:r>
        <w:rPr/>
        <w:t xml:space="preserve">Glossary</w:t>
      </w:r>
    </w:p>
    <w:p>
      <w:pPr>
        <w:pStyle w:val="Normal"/>
        <w:spacing w:before="0" w:after="110"/>
      </w:pPr>
      <w:r>
        <w:rPr/>
        <w:t xml:space="preserve">LC: location counter. Opcode: numeric operation code. Symbol table: label-to-address map. Object code: encoded bytes. Control section: separately loadable program part. Relocation: changing address fields for a chosen load address. Linking: resolving references between control sections.</w:t>
      </w:r>
    </w:p>
    <w:p>
      <w:pPr>
        <w:pStyle w:val="Note"/>
        <w:spacing w:before="130" w:after="110"/>
      </w:pPr>
      <w:r>
        <w:rPr/>
        <w:t xml:space="preserve">Source basis: the Python source and sample text files in this project.</w:t>
      </w:r>
    </w:p>
    <w:sectPr>
      <w:pgSz w:w="11906" w:h="16838"/>
      <w:pgMar w:top="1050" w:right="1050" w:bottom="1050" w:left="1050"/>
    </w:sectPr>
  </w:body>
</w:document>
</file>

<file path=word/styles.xml><?xml version="1.0" encoding="utf-8"?>
<w:styles xmlns:w="http://schemas.openxmlformats.org/wordprocessingml/2006/main">
  <w:style w:type="paragraph" w:default="1" w:styleId="Normal">
    <w:name w:val="Normal"/>
    <w:rPr>
      <w:rFonts w:ascii="Calibri" w:hAnsi="Calibri"/>
      <w:sz w:val="21"/>
      <w:color w:val="203040"/>
    </w:rPr>
  </w:style>
  <w:style w:type="paragraph" w:styleId="Title">
    <w:name w:val="Title"/>
    <w:rPr>
      <w:rFonts w:ascii="Calibri" w:hAnsi="Calibri"/>
      <w:b/>
      <w:sz w:val="42"/>
      <w:color w:val="17324D"/>
    </w:rPr>
  </w:style>
  <w:style w:type="paragraph" w:styleId="Subtitle">
    <w:name w:val="Subtitle"/>
    <w:rPr>
      <w:sz w:val="24"/>
      <w:color w:val="235D84"/>
    </w:rPr>
  </w:style>
  <w:style w:type="paragraph" w:styleId="Heading1">
    <w:name w:val="Heading 1"/>
    <w:rPr>
      <w:b/>
      <w:sz w:val="27"/>
      <w:color w:val="17324D"/>
    </w:rPr>
  </w:style>
  <w:style w:type="paragraph" w:styleId="ListParagraph">
    <w:name w:val="List Paragraph"/>
  </w:style>
  <w:style w:type="paragraph" w:styleId="Note">
    <w:name w:val="Note"/>
    <w:rPr>
      <w:i/>
      <w:color w:val="526576"/>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SIC and SIC/XE Assembler and Loader College AAST</dc:title>
  <dc:subject>AAST college project documentation and technical report</dc:subject>
</cp:coreProperties>
</file>