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 GPT Coder Project Documentation</w:t>
      </w:r>
    </w:p>
    <w:p>
      <w:pPr>
        <w:pStyle w:val="Subtitle"/>
      </w:pPr>
      <w:r>
        <w:t>Project guide, evaluation interpretation, and improvement plan | Updated 2026-05-16</w:t>
      </w:r>
    </w:p>
    <w:p>
      <w:r>
        <w:rPr>
          <w:b/>
        </w:rPr>
        <w:t xml:space="preserve">Purpose: </w:t>
      </w:r>
      <w:r>
        <w:t>This document explains the Mini GPT Coder V1 project and the stronger evaluation framework used to decide whether the 300-step fine-tune added real value over the base Qwen2.5-Coder model.</w:t>
      </w:r>
    </w:p>
    <w:p>
      <w:pPr>
        <w:pStyle w:val="Heading1"/>
      </w:pPr>
      <w:r>
        <w:t>Executive Summary</w:t>
      </w:r>
    </w:p>
    <w:p>
      <w:pPr>
        <w:pStyle w:val="ListBullet"/>
      </w:pPr>
      <w:r>
        <w:t>V1 added real value mainly by changing the response style: it produces direct Python code instead of chat-style explanations.</w:t>
      </w:r>
    </w:p>
    <w:p>
      <w:pPr>
        <w:pStyle w:val="ListBullet"/>
      </w:pPr>
      <w:r>
        <w:t>The base model remains faster and often gives useful educational explanations, but its raw outputs are less suitable for direct compilation because they include Markdown and prose.</w:t>
      </w:r>
    </w:p>
    <w:p>
      <w:pPr>
        <w:pStyle w:val="ListBullet"/>
      </w:pPr>
      <w:r>
        <w:t>V1 achieved 100% raw syntax validity on the current ten-prompt benchmark, while the base model's raw outputs failed syntax checks because of surrounding text.</w:t>
      </w:r>
    </w:p>
    <w:p>
      <w:pPr>
        <w:pStyle w:val="ListBullet"/>
      </w:pPr>
      <w:r>
        <w:t>The next improvement target is functional correctness: imports, standalone function behavior, unwanted self usage, and unit-test pass rates.</w:t>
      </w:r>
    </w:p>
    <w:p>
      <w:pPr>
        <w:pStyle w:val="Heading1"/>
      </w:pPr>
      <w:r>
        <w:t>Project Structure</w:t>
      </w:r>
    </w:p>
    <w:tbl>
      <w:tblPr>
        <w:tblStyle w:val="TableGrid"/>
        <w:tblW w:type="auto" w:w="0"/>
        <w:jc w:val="center"/>
        <w:tblLook w:firstColumn="1" w:firstRow="1" w:lastColumn="0" w:lastRow="0" w:noHBand="0" w:noVBand="1" w:val="04A0"/>
      </w:tblPr>
      <w:tblGrid>
        <w:gridCol w:w="4680"/>
        <w:gridCol w:w="4680"/>
      </w:tblGrid>
      <w:tr>
        <w:tc>
          <w:tcPr>
            <w:tcW w:type="dxa" w:w="3888"/>
            <w:vAlign w:val="center"/>
            <w:shd w:fill="F2F4F7"/>
          </w:tcPr>
          <w:p>
            <w:pPr>
              <w:spacing w:after="0"/>
            </w:pPr>
            <w:r/>
            <w:r>
              <w:rPr>
                <w:b/>
                <w:color w:val="0B2545"/>
              </w:rPr>
              <w:t>Path</w:t>
            </w:r>
          </w:p>
        </w:tc>
        <w:tc>
          <w:tcPr>
            <w:tcW w:type="dxa" w:w="5472"/>
            <w:vAlign w:val="center"/>
            <w:shd w:fill="F2F4F7"/>
          </w:tcPr>
          <w:p>
            <w:pPr>
              <w:spacing w:after="0"/>
            </w:pPr>
            <w:r/>
            <w:r>
              <w:rPr>
                <w:b/>
                <w:color w:val="0B2545"/>
              </w:rPr>
              <w:t>Role</w:t>
            </w:r>
          </w:p>
        </w:tc>
      </w:tr>
      <w:tr>
        <w:tc>
          <w:tcPr>
            <w:tcW w:type="dxa" w:w="3888"/>
            <w:vAlign w:val="center"/>
          </w:tcPr>
          <w:p>
            <w:pPr>
              <w:spacing w:after="0"/>
            </w:pPr>
            <w:r/>
            <w:r>
              <w:rPr>
                <w:b w:val="0"/>
              </w:rPr>
              <w:t>data preprocessing/data_prep.py</w:t>
            </w:r>
          </w:p>
        </w:tc>
        <w:tc>
          <w:tcPr>
            <w:tcW w:type="dxa" w:w="5472"/>
            <w:vAlign w:val="center"/>
          </w:tcPr>
          <w:p>
            <w:pPr>
              <w:spacing w:after="0"/>
            </w:pPr>
            <w:r/>
            <w:r>
              <w:rPr>
                <w:b w:val="0"/>
              </w:rPr>
              <w:t>Creates the curated supervised fine-tuning dataset from local Parquet shards.</w:t>
            </w:r>
          </w:p>
        </w:tc>
      </w:tr>
      <w:tr>
        <w:tc>
          <w:tcPr>
            <w:tcW w:type="dxa" w:w="3888"/>
            <w:vAlign w:val="center"/>
          </w:tcPr>
          <w:p>
            <w:pPr>
              <w:spacing w:after="0"/>
            </w:pPr>
            <w:r/>
            <w:r>
              <w:rPr>
                <w:b w:val="0"/>
              </w:rPr>
              <w:t>data preprocessing/Processed_dataset/golden_train.jsonl</w:t>
            </w:r>
          </w:p>
        </w:tc>
        <w:tc>
          <w:tcPr>
            <w:tcW w:type="dxa" w:w="5472"/>
            <w:vAlign w:val="center"/>
          </w:tcPr>
          <w:p>
            <w:pPr>
              <w:spacing w:after="0"/>
            </w:pPr>
            <w:r/>
            <w:r>
              <w:rPr>
                <w:b w:val="0"/>
              </w:rPr>
              <w:t>Current processed training dataset.</w:t>
            </w:r>
          </w:p>
        </w:tc>
      </w:tr>
      <w:tr>
        <w:tc>
          <w:tcPr>
            <w:tcW w:type="dxa" w:w="3888"/>
            <w:vAlign w:val="center"/>
          </w:tcPr>
          <w:p>
            <w:pPr>
              <w:spacing w:after="0"/>
            </w:pPr>
            <w:r/>
            <w:r>
              <w:rPr>
                <w:b w:val="0"/>
              </w:rPr>
              <w:t>training.ipynb</w:t>
            </w:r>
          </w:p>
        </w:tc>
        <w:tc>
          <w:tcPr>
            <w:tcW w:type="dxa" w:w="5472"/>
            <w:vAlign w:val="center"/>
          </w:tcPr>
          <w:p>
            <w:pPr>
              <w:spacing w:after="0"/>
            </w:pPr>
            <w:r/>
            <w:r>
              <w:rPr>
                <w:b w:val="0"/>
              </w:rPr>
              <w:t>Loads data, configures QLoRA, trains V1, saves adapters, and exports the merged model.</w:t>
            </w:r>
          </w:p>
        </w:tc>
      </w:tr>
      <w:tr>
        <w:tc>
          <w:tcPr>
            <w:tcW w:type="dxa" w:w="3888"/>
            <w:vAlign w:val="center"/>
          </w:tcPr>
          <w:p>
            <w:pPr>
              <w:spacing w:after="0"/>
            </w:pPr>
            <w:r/>
            <w:r>
              <w:rPr>
                <w:b w:val="0"/>
              </w:rPr>
              <w:t>mini-gpt-coder-merged/</w:t>
            </w:r>
          </w:p>
        </w:tc>
        <w:tc>
          <w:tcPr>
            <w:tcW w:type="dxa" w:w="5472"/>
            <w:vAlign w:val="center"/>
          </w:tcPr>
          <w:p>
            <w:pPr>
              <w:spacing w:after="0"/>
            </w:pPr>
            <w:r/>
            <w:r>
              <w:rPr>
                <w:b w:val="0"/>
              </w:rPr>
              <w:t>Standalone merged local model used for inference and evaluation.</w:t>
            </w:r>
          </w:p>
        </w:tc>
      </w:tr>
      <w:tr>
        <w:tc>
          <w:tcPr>
            <w:tcW w:type="dxa" w:w="3888"/>
            <w:vAlign w:val="center"/>
          </w:tcPr>
          <w:p>
            <w:pPr>
              <w:spacing w:after="0"/>
            </w:pPr>
            <w:r/>
            <w:r>
              <w:rPr>
                <w:b w:val="0"/>
              </w:rPr>
              <w:t>Evaluation_results/evaluation.ipynb</w:t>
            </w:r>
          </w:p>
        </w:tc>
        <w:tc>
          <w:tcPr>
            <w:tcW w:type="dxa" w:w="5472"/>
            <w:vAlign w:val="center"/>
          </w:tcPr>
          <w:p>
            <w:pPr>
              <w:spacing w:after="0"/>
            </w:pPr>
            <w:r/>
            <w:r>
              <w:rPr>
                <w:b w:val="0"/>
              </w:rPr>
              <w:t>Raw model comparison plus richer analysis tables, charts, diagnosis, and final interpretation.</w:t>
            </w:r>
          </w:p>
        </w:tc>
      </w:tr>
      <w:tr>
        <w:tc>
          <w:tcPr>
            <w:tcW w:type="dxa" w:w="3888"/>
            <w:vAlign w:val="center"/>
          </w:tcPr>
          <w:p>
            <w:pPr>
              <w:spacing w:after="0"/>
            </w:pPr>
            <w:r/>
            <w:r>
              <w:rPr>
                <w:b w:val="0"/>
              </w:rPr>
              <w:t>Evaluation_results/evaluation_results.json</w:t>
            </w:r>
          </w:p>
        </w:tc>
        <w:tc>
          <w:tcPr>
            <w:tcW w:type="dxa" w:w="5472"/>
            <w:vAlign w:val="center"/>
          </w:tcPr>
          <w:p>
            <w:pPr>
              <w:spacing w:after="0"/>
            </w:pPr>
            <w:r/>
            <w:r>
              <w:rPr>
                <w:b w:val="0"/>
              </w:rPr>
              <w:t>Saved generated outputs and original metrics.</w:t>
            </w:r>
          </w:p>
        </w:tc>
      </w:tr>
      <w:tr>
        <w:tc>
          <w:tcPr>
            <w:tcW w:type="dxa" w:w="3888"/>
            <w:vAlign w:val="center"/>
          </w:tcPr>
          <w:p>
            <w:pPr>
              <w:spacing w:after="0"/>
            </w:pPr>
            <w:r/>
            <w:r>
              <w:rPr>
                <w:b w:val="0"/>
              </w:rPr>
              <w:t>gui/app.py</w:t>
            </w:r>
          </w:p>
        </w:tc>
        <w:tc>
          <w:tcPr>
            <w:tcW w:type="dxa" w:w="5472"/>
            <w:vAlign w:val="center"/>
          </w:tcPr>
          <w:p>
            <w:pPr>
              <w:spacing w:after="0"/>
            </w:pPr>
            <w:r/>
            <w:r>
              <w:rPr>
                <w:b w:val="0"/>
              </w:rPr>
              <w:t>Streamlit interface for local code generation.</w:t>
            </w:r>
          </w:p>
        </w:tc>
      </w:tr>
    </w:tbl>
    <w:p/>
    <w:p>
      <w:pPr>
        <w:pStyle w:val="Heading1"/>
      </w:pPr>
      <w:r>
        <w:t>Training Snapshot</w:t>
      </w:r>
    </w:p>
    <w:tbl>
      <w:tblPr>
        <w:tblStyle w:val="TableGrid"/>
        <w:tblW w:type="auto" w:w="0"/>
        <w:jc w:val="center"/>
        <w:tblLook w:firstColumn="1" w:firstRow="1" w:lastColumn="0" w:lastRow="0" w:noHBand="0" w:noVBand="1" w:val="04A0"/>
      </w:tblPr>
      <w:tblGrid>
        <w:gridCol w:w="4680"/>
        <w:gridCol w:w="4680"/>
      </w:tblGrid>
      <w:tr>
        <w:tc>
          <w:tcPr>
            <w:tcW w:type="dxa" w:w="3168"/>
            <w:vAlign w:val="center"/>
            <w:shd w:fill="F2F4F7"/>
          </w:tcPr>
          <w:p>
            <w:pPr>
              <w:spacing w:after="0"/>
            </w:pPr>
            <w:r/>
            <w:r>
              <w:rPr>
                <w:b/>
                <w:color w:val="0B2545"/>
              </w:rPr>
              <w:t>Setting</w:t>
            </w:r>
          </w:p>
        </w:tc>
        <w:tc>
          <w:tcPr>
            <w:tcW w:type="dxa" w:w="6048"/>
            <w:vAlign w:val="center"/>
            <w:shd w:fill="F2F4F7"/>
          </w:tcPr>
          <w:p>
            <w:pPr>
              <w:spacing w:after="0"/>
            </w:pPr>
            <w:r/>
            <w:r>
              <w:rPr>
                <w:b/>
                <w:color w:val="0B2545"/>
              </w:rPr>
              <w:t>Value</w:t>
            </w:r>
          </w:p>
        </w:tc>
      </w:tr>
      <w:tr>
        <w:tc>
          <w:tcPr>
            <w:tcW w:type="dxa" w:w="3168"/>
            <w:vAlign w:val="center"/>
          </w:tcPr>
          <w:p>
            <w:pPr>
              <w:spacing w:after="0"/>
            </w:pPr>
            <w:r/>
            <w:r>
              <w:rPr>
                <w:b w:val="0"/>
              </w:rPr>
              <w:t>Base model</w:t>
            </w:r>
          </w:p>
        </w:tc>
        <w:tc>
          <w:tcPr>
            <w:tcW w:type="dxa" w:w="6048"/>
            <w:vAlign w:val="center"/>
          </w:tcPr>
          <w:p>
            <w:pPr>
              <w:spacing w:after="0"/>
            </w:pPr>
            <w:r/>
            <w:r>
              <w:rPr>
                <w:b w:val="0"/>
              </w:rPr>
              <w:t>Qwen/Qwen2.5-Coder-1.5B-Instruct</w:t>
            </w:r>
          </w:p>
        </w:tc>
      </w:tr>
      <w:tr>
        <w:tc>
          <w:tcPr>
            <w:tcW w:type="dxa" w:w="3168"/>
            <w:vAlign w:val="center"/>
          </w:tcPr>
          <w:p>
            <w:pPr>
              <w:spacing w:after="0"/>
            </w:pPr>
            <w:r/>
            <w:r>
              <w:rPr>
                <w:b w:val="0"/>
              </w:rPr>
              <w:t>Fine-tuning method</w:t>
            </w:r>
          </w:p>
        </w:tc>
        <w:tc>
          <w:tcPr>
            <w:tcW w:type="dxa" w:w="6048"/>
            <w:vAlign w:val="center"/>
          </w:tcPr>
          <w:p>
            <w:pPr>
              <w:spacing w:after="0"/>
            </w:pPr>
            <w:r/>
            <w:r>
              <w:rPr>
                <w:b w:val="0"/>
              </w:rPr>
              <w:t>QLoRA / PEFT LoRA</w:t>
            </w:r>
          </w:p>
        </w:tc>
      </w:tr>
      <w:tr>
        <w:tc>
          <w:tcPr>
            <w:tcW w:type="dxa" w:w="3168"/>
            <w:vAlign w:val="center"/>
          </w:tcPr>
          <w:p>
            <w:pPr>
              <w:spacing w:after="0"/>
            </w:pPr>
            <w:r/>
            <w:r>
              <w:rPr>
                <w:b w:val="0"/>
              </w:rPr>
              <w:t>Training duration</w:t>
            </w:r>
          </w:p>
        </w:tc>
        <w:tc>
          <w:tcPr>
            <w:tcW w:type="dxa" w:w="6048"/>
            <w:vAlign w:val="center"/>
          </w:tcPr>
          <w:p>
            <w:pPr>
              <w:spacing w:after="0"/>
            </w:pPr>
            <w:r/>
            <w:r>
              <w:rPr>
                <w:b w:val="0"/>
              </w:rPr>
              <w:t>300 steps, approximately 0.08 epoch in the saved trainer state</w:t>
            </w:r>
          </w:p>
        </w:tc>
      </w:tr>
      <w:tr>
        <w:tc>
          <w:tcPr>
            <w:tcW w:type="dxa" w:w="3168"/>
            <w:vAlign w:val="center"/>
          </w:tcPr>
          <w:p>
            <w:pPr>
              <w:spacing w:after="0"/>
            </w:pPr>
            <w:r/>
            <w:r>
              <w:rPr>
                <w:b w:val="0"/>
              </w:rPr>
              <w:t>LoRA config</w:t>
            </w:r>
          </w:p>
        </w:tc>
        <w:tc>
          <w:tcPr>
            <w:tcW w:type="dxa" w:w="6048"/>
            <w:vAlign w:val="center"/>
          </w:tcPr>
          <w:p>
            <w:pPr>
              <w:spacing w:after="0"/>
            </w:pPr>
            <w:r/>
            <w:r>
              <w:rPr>
                <w:b w:val="0"/>
              </w:rPr>
              <w:t>r=8, alpha=16, dropout=0.05</w:t>
            </w:r>
          </w:p>
        </w:tc>
      </w:tr>
      <w:tr>
        <w:tc>
          <w:tcPr>
            <w:tcW w:type="dxa" w:w="3168"/>
            <w:vAlign w:val="center"/>
          </w:tcPr>
          <w:p>
            <w:pPr>
              <w:spacing w:after="0"/>
            </w:pPr>
            <w:r/>
            <w:r>
              <w:rPr>
                <w:b w:val="0"/>
              </w:rPr>
              <w:t>Target modules</w:t>
            </w:r>
          </w:p>
        </w:tc>
        <w:tc>
          <w:tcPr>
            <w:tcW w:type="dxa" w:w="6048"/>
            <w:vAlign w:val="center"/>
          </w:tcPr>
          <w:p>
            <w:pPr>
              <w:spacing w:after="0"/>
            </w:pPr>
            <w:r/>
            <w:r>
              <w:rPr>
                <w:b w:val="0"/>
              </w:rPr>
              <w:t>q_proj, k_proj, v_proj, o_proj</w:t>
            </w:r>
          </w:p>
        </w:tc>
      </w:tr>
      <w:tr>
        <w:tc>
          <w:tcPr>
            <w:tcW w:type="dxa" w:w="3168"/>
            <w:vAlign w:val="center"/>
          </w:tcPr>
          <w:p>
            <w:pPr>
              <w:spacing w:after="0"/>
            </w:pPr>
            <w:r/>
            <w:r>
              <w:rPr>
                <w:b w:val="0"/>
              </w:rPr>
              <w:t>Learning rate</w:t>
            </w:r>
          </w:p>
        </w:tc>
        <w:tc>
          <w:tcPr>
            <w:tcW w:type="dxa" w:w="6048"/>
            <w:vAlign w:val="center"/>
          </w:tcPr>
          <w:p>
            <w:pPr>
              <w:spacing w:after="0"/>
            </w:pPr>
            <w:r/>
            <w:r>
              <w:rPr>
                <w:b w:val="0"/>
              </w:rPr>
              <w:t>2e-4</w:t>
            </w:r>
          </w:p>
        </w:tc>
      </w:tr>
      <w:tr>
        <w:tc>
          <w:tcPr>
            <w:tcW w:type="dxa" w:w="3168"/>
            <w:vAlign w:val="center"/>
          </w:tcPr>
          <w:p>
            <w:pPr>
              <w:spacing w:after="0"/>
            </w:pPr>
            <w:r/>
            <w:r>
              <w:rPr>
                <w:b w:val="0"/>
              </w:rPr>
              <w:t>Max sequence length</w:t>
            </w:r>
          </w:p>
        </w:tc>
        <w:tc>
          <w:tcPr>
            <w:tcW w:type="dxa" w:w="6048"/>
            <w:vAlign w:val="center"/>
          </w:tcPr>
          <w:p>
            <w:pPr>
              <w:spacing w:after="0"/>
            </w:pPr>
            <w:r/>
            <w:r>
              <w:rPr>
                <w:b w:val="0"/>
              </w:rPr>
              <w:t>2048</w:t>
            </w:r>
          </w:p>
        </w:tc>
      </w:tr>
      <w:tr>
        <w:tc>
          <w:tcPr>
            <w:tcW w:type="dxa" w:w="3168"/>
            <w:vAlign w:val="center"/>
          </w:tcPr>
          <w:p>
            <w:pPr>
              <w:spacing w:after="0"/>
            </w:pPr>
            <w:r/>
            <w:r>
              <w:rPr>
                <w:b w:val="0"/>
              </w:rPr>
              <w:t>Merged model</w:t>
            </w:r>
          </w:p>
        </w:tc>
        <w:tc>
          <w:tcPr>
            <w:tcW w:type="dxa" w:w="6048"/>
            <w:vAlign w:val="center"/>
          </w:tcPr>
          <w:p>
            <w:pPr>
              <w:spacing w:after="0"/>
            </w:pPr>
            <w:r/>
            <w:r>
              <w:rPr>
                <w:b w:val="0"/>
              </w:rPr>
              <w:t>mini-gpt-coder-merged/</w:t>
            </w:r>
          </w:p>
        </w:tc>
      </w:tr>
    </w:tbl>
    <w:p/>
    <w:p>
      <w:pPr>
        <w:pStyle w:val="Heading1"/>
      </w:pPr>
      <w:r>
        <w:t>Evaluation Method</w:t>
      </w:r>
    </w:p>
    <w:p>
      <w:r>
        <w:t>The evaluation compares the base model and V1 on ten short Python function prompts. Generation is deterministic so the outputs can be compared directly. The raw experiment records output text, time, generated tokens, throughput, and basic metrics such as docstrings, return statements, edge-case signals, and syntax validity.</w:t>
      </w:r>
    </w:p>
    <w:p>
      <w:r>
        <w:t>The enhanced analysis adds behavioral signals that better capture the essence of the fine-tune: Markdown leakage, explanatory prose, unwanted class-style self context, missing import signals, extracted-code syntax validity, code length, and prompt-level quality deltas.</w:t>
      </w:r>
    </w:p>
    <w:p>
      <w:pPr>
        <w:pStyle w:val="Heading1"/>
      </w:pPr>
      <w:r>
        <w:t>Key Evaluation Signals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56"/>
            <w:vAlign w:val="center"/>
            <w:shd w:fill="F2F4F7"/>
          </w:tcPr>
          <w:p>
            <w:pPr>
              <w:spacing w:after="0"/>
            </w:pPr>
            <w:r/>
            <w:r>
              <w:rPr>
                <w:b/>
                <w:color w:val="0B2545"/>
              </w:rPr>
              <w:t>Signal</w:t>
            </w:r>
          </w:p>
        </w:tc>
        <w:tc>
          <w:tcPr>
            <w:tcW w:type="dxa" w:w="1584"/>
            <w:vAlign w:val="center"/>
            <w:shd w:fill="F2F4F7"/>
          </w:tcPr>
          <w:p>
            <w:pPr>
              <w:spacing w:after="0"/>
            </w:pPr>
            <w:r/>
            <w:r>
              <w:rPr>
                <w:b/>
                <w:color w:val="0B2545"/>
              </w:rPr>
              <w:t>Base</w:t>
            </w:r>
          </w:p>
        </w:tc>
        <w:tc>
          <w:tcPr>
            <w:tcW w:type="dxa" w:w="1584"/>
            <w:vAlign w:val="center"/>
            <w:shd w:fill="F2F4F7"/>
          </w:tcPr>
          <w:p>
            <w:pPr>
              <w:spacing w:after="0"/>
            </w:pPr>
            <w:r/>
            <w:r>
              <w:rPr>
                <w:b/>
                <w:color w:val="0B2545"/>
              </w:rPr>
              <w:t>V1</w:t>
            </w:r>
          </w:p>
        </w:tc>
        <w:tc>
          <w:tcPr>
            <w:tcW w:type="dxa" w:w="2736"/>
            <w:vAlign w:val="center"/>
            <w:shd w:fill="F2F4F7"/>
          </w:tcPr>
          <w:p>
            <w:pPr>
              <w:spacing w:after="0"/>
            </w:pPr>
            <w:r/>
            <w:r>
              <w:rPr>
                <w:b/>
                <w:color w:val="0B2545"/>
              </w:rPr>
              <w:t>Interpretation</w:t>
            </w:r>
          </w:p>
        </w:tc>
      </w:tr>
      <w:tr>
        <w:tc>
          <w:tcPr>
            <w:tcW w:type="dxa" w:w="3456"/>
            <w:vAlign w:val="center"/>
          </w:tcPr>
          <w:p>
            <w:pPr>
              <w:spacing w:after="0"/>
            </w:pPr>
            <w:r/>
            <w:r>
              <w:rPr>
                <w:b w:val="0"/>
              </w:rPr>
              <w:t>Raw syntax valid</w:t>
            </w:r>
          </w:p>
        </w:tc>
        <w:tc>
          <w:tcPr>
            <w:tcW w:type="dxa" w:w="1584"/>
            <w:vAlign w:val="center"/>
          </w:tcPr>
          <w:p>
            <w:pPr>
              <w:spacing w:after="0"/>
            </w:pPr>
            <w:r/>
            <w:r>
              <w:rPr>
                <w:b w:val="0"/>
              </w:rPr>
              <w:t>0%</w:t>
            </w:r>
          </w:p>
        </w:tc>
        <w:tc>
          <w:tcPr>
            <w:tcW w:type="dxa" w:w="1584"/>
            <w:vAlign w:val="center"/>
          </w:tcPr>
          <w:p>
            <w:pPr>
              <w:spacing w:after="0"/>
            </w:pPr>
            <w:r/>
            <w:r>
              <w:rPr>
                <w:b w:val="0"/>
              </w:rPr>
              <w:t>100%</w:t>
            </w:r>
          </w:p>
        </w:tc>
        <w:tc>
          <w:tcPr>
            <w:tcW w:type="dxa" w:w="2736"/>
            <w:vAlign w:val="center"/>
          </w:tcPr>
          <w:p>
            <w:pPr>
              <w:spacing w:after="0"/>
            </w:pPr>
            <w:r/>
            <w:r>
              <w:rPr>
                <w:b w:val="0"/>
              </w:rPr>
              <w:t>V1</w:t>
            </w:r>
          </w:p>
        </w:tc>
      </w:tr>
      <w:tr>
        <w:tc>
          <w:tcPr>
            <w:tcW w:type="dxa" w:w="3456"/>
            <w:vAlign w:val="center"/>
          </w:tcPr>
          <w:p>
            <w:pPr>
              <w:spacing w:after="0"/>
            </w:pPr>
            <w:r/>
            <w:r>
              <w:rPr>
                <w:b w:val="0"/>
              </w:rPr>
              <w:t>Extracted code syntax valid</w:t>
            </w:r>
          </w:p>
        </w:tc>
        <w:tc>
          <w:tcPr>
            <w:tcW w:type="dxa" w:w="1584"/>
            <w:vAlign w:val="center"/>
          </w:tcPr>
          <w:p>
            <w:pPr>
              <w:spacing w:after="0"/>
            </w:pPr>
            <w:r/>
            <w:r>
              <w:rPr>
                <w:b w:val="0"/>
              </w:rPr>
              <w:t>100%</w:t>
            </w:r>
          </w:p>
        </w:tc>
        <w:tc>
          <w:tcPr>
            <w:tcW w:type="dxa" w:w="1584"/>
            <w:vAlign w:val="center"/>
          </w:tcPr>
          <w:p>
            <w:pPr>
              <w:spacing w:after="0"/>
            </w:pPr>
            <w:r/>
            <w:r>
              <w:rPr>
                <w:b w:val="0"/>
              </w:rPr>
              <w:t>100%</w:t>
            </w:r>
          </w:p>
        </w:tc>
        <w:tc>
          <w:tcPr>
            <w:tcW w:type="dxa" w:w="2736"/>
            <w:vAlign w:val="center"/>
          </w:tcPr>
          <w:p>
            <w:pPr>
              <w:spacing w:after="0"/>
            </w:pPr>
            <w:r/>
            <w:r>
              <w:rPr>
                <w:b w:val="0"/>
              </w:rPr>
              <w:t>Tie/near tie</w:t>
            </w:r>
          </w:p>
        </w:tc>
      </w:tr>
      <w:tr>
        <w:tc>
          <w:tcPr>
            <w:tcW w:type="dxa" w:w="3456"/>
            <w:vAlign w:val="center"/>
          </w:tcPr>
          <w:p>
            <w:pPr>
              <w:spacing w:after="0"/>
            </w:pPr>
            <w:r/>
            <w:r>
              <w:rPr>
                <w:b w:val="0"/>
              </w:rPr>
              <w:t>Markdown fence present</w:t>
            </w:r>
          </w:p>
        </w:tc>
        <w:tc>
          <w:tcPr>
            <w:tcW w:type="dxa" w:w="1584"/>
            <w:vAlign w:val="center"/>
          </w:tcPr>
          <w:p>
            <w:pPr>
              <w:spacing w:after="0"/>
            </w:pPr>
            <w:r/>
            <w:r>
              <w:rPr>
                <w:b w:val="0"/>
              </w:rPr>
              <w:t>100%</w:t>
            </w:r>
          </w:p>
        </w:tc>
        <w:tc>
          <w:tcPr>
            <w:tcW w:type="dxa" w:w="1584"/>
            <w:vAlign w:val="center"/>
          </w:tcPr>
          <w:p>
            <w:pPr>
              <w:spacing w:after="0"/>
            </w:pPr>
            <w:r/>
            <w:r>
              <w:rPr>
                <w:b w:val="0"/>
              </w:rPr>
              <w:t>0%</w:t>
            </w:r>
          </w:p>
        </w:tc>
        <w:tc>
          <w:tcPr>
            <w:tcW w:type="dxa" w:w="2736"/>
            <w:vAlign w:val="center"/>
          </w:tcPr>
          <w:p>
            <w:pPr>
              <w:spacing w:after="0"/>
            </w:pPr>
            <w:r/>
            <w:r>
              <w:rPr>
                <w:b w:val="0"/>
              </w:rPr>
              <w:t>V1 lower is better</w:t>
            </w:r>
          </w:p>
        </w:tc>
      </w:tr>
      <w:tr>
        <w:tc>
          <w:tcPr>
            <w:tcW w:type="dxa" w:w="3456"/>
            <w:vAlign w:val="center"/>
          </w:tcPr>
          <w:p>
            <w:pPr>
              <w:spacing w:after="0"/>
            </w:pPr>
            <w:r/>
            <w:r>
              <w:rPr>
                <w:b w:val="0"/>
              </w:rPr>
              <w:t>Explanatory prose present</w:t>
            </w:r>
          </w:p>
        </w:tc>
        <w:tc>
          <w:tcPr>
            <w:tcW w:type="dxa" w:w="1584"/>
            <w:vAlign w:val="center"/>
          </w:tcPr>
          <w:p>
            <w:pPr>
              <w:spacing w:after="0"/>
            </w:pPr>
            <w:r/>
            <w:r>
              <w:rPr>
                <w:b w:val="0"/>
              </w:rPr>
              <w:t>90%</w:t>
            </w:r>
          </w:p>
        </w:tc>
        <w:tc>
          <w:tcPr>
            <w:tcW w:type="dxa" w:w="1584"/>
            <w:vAlign w:val="center"/>
          </w:tcPr>
          <w:p>
            <w:pPr>
              <w:spacing w:after="0"/>
            </w:pPr>
            <w:r/>
            <w:r>
              <w:rPr>
                <w:b w:val="0"/>
              </w:rPr>
              <w:t>0%</w:t>
            </w:r>
          </w:p>
        </w:tc>
        <w:tc>
          <w:tcPr>
            <w:tcW w:type="dxa" w:w="2736"/>
            <w:vAlign w:val="center"/>
          </w:tcPr>
          <w:p>
            <w:pPr>
              <w:spacing w:after="0"/>
            </w:pPr>
            <w:r/>
            <w:r>
              <w:rPr>
                <w:b w:val="0"/>
              </w:rPr>
              <w:t>V1 lower is better</w:t>
            </w:r>
          </w:p>
        </w:tc>
      </w:tr>
      <w:tr>
        <w:tc>
          <w:tcPr>
            <w:tcW w:type="dxa" w:w="3456"/>
            <w:vAlign w:val="center"/>
          </w:tcPr>
          <w:p>
            <w:pPr>
              <w:spacing w:after="0"/>
            </w:pPr>
            <w:r/>
            <w:r>
              <w:rPr>
                <w:b w:val="0"/>
              </w:rPr>
              <w:t>Missing import signal</w:t>
            </w:r>
          </w:p>
        </w:tc>
        <w:tc>
          <w:tcPr>
            <w:tcW w:type="dxa" w:w="1584"/>
            <w:vAlign w:val="center"/>
          </w:tcPr>
          <w:p>
            <w:pPr>
              <w:spacing w:after="0"/>
            </w:pPr>
            <w:r/>
            <w:r>
              <w:rPr>
                <w:b w:val="0"/>
              </w:rPr>
              <w:t>0%</w:t>
            </w:r>
          </w:p>
        </w:tc>
        <w:tc>
          <w:tcPr>
            <w:tcW w:type="dxa" w:w="1584"/>
            <w:vAlign w:val="center"/>
          </w:tcPr>
          <w:p>
            <w:pPr>
              <w:spacing w:after="0"/>
            </w:pPr>
            <w:r/>
            <w:r>
              <w:rPr>
                <w:b w:val="0"/>
              </w:rPr>
              <w:t>50%</w:t>
            </w:r>
          </w:p>
        </w:tc>
        <w:tc>
          <w:tcPr>
            <w:tcW w:type="dxa" w:w="2736"/>
            <w:vAlign w:val="center"/>
          </w:tcPr>
          <w:p>
            <w:pPr>
              <w:spacing w:after="0"/>
            </w:pPr>
            <w:r/>
            <w:r>
              <w:rPr>
                <w:b w:val="0"/>
              </w:rPr>
              <w:t>Needs improvement</w:t>
            </w:r>
          </w:p>
        </w:tc>
      </w:tr>
      <w:tr>
        <w:tc>
          <w:tcPr>
            <w:tcW w:type="dxa" w:w="3456"/>
            <w:vAlign w:val="center"/>
          </w:tcPr>
          <w:p>
            <w:pPr>
              <w:spacing w:after="0"/>
            </w:pPr>
            <w:r/>
            <w:r>
              <w:rPr>
                <w:b w:val="0"/>
              </w:rPr>
              <w:t>Average tokens per second</w:t>
            </w:r>
          </w:p>
        </w:tc>
        <w:tc>
          <w:tcPr>
            <w:tcW w:type="dxa" w:w="1584"/>
            <w:vAlign w:val="center"/>
          </w:tcPr>
          <w:p>
            <w:pPr>
              <w:spacing w:after="0"/>
            </w:pPr>
            <w:r/>
            <w:r>
              <w:rPr>
                <w:b w:val="0"/>
              </w:rPr>
              <w:t>29.1</w:t>
            </w:r>
          </w:p>
        </w:tc>
        <w:tc>
          <w:tcPr>
            <w:tcW w:type="dxa" w:w="1584"/>
            <w:vAlign w:val="center"/>
          </w:tcPr>
          <w:p>
            <w:pPr>
              <w:spacing w:after="0"/>
            </w:pPr>
            <w:r/>
            <w:r>
              <w:rPr>
                <w:b w:val="0"/>
              </w:rPr>
              <w:t>2.0</w:t>
            </w:r>
          </w:p>
        </w:tc>
        <w:tc>
          <w:tcPr>
            <w:tcW w:type="dxa" w:w="2736"/>
            <w:vAlign w:val="center"/>
          </w:tcPr>
          <w:p>
            <w:pPr>
              <w:spacing w:after="0"/>
            </w:pPr>
            <w:r/>
            <w:r>
              <w:rPr>
                <w:b w:val="0"/>
              </w:rPr>
              <w:t>Base</w:t>
            </w:r>
          </w:p>
        </w:tc>
      </w:tr>
      <w:tr>
        <w:tc>
          <w:tcPr>
            <w:tcW w:type="dxa" w:w="3456"/>
            <w:vAlign w:val="center"/>
          </w:tcPr>
          <w:p>
            <w:pPr>
              <w:spacing w:after="0"/>
            </w:pPr>
            <w:r/>
            <w:r>
              <w:rPr>
                <w:b w:val="0"/>
              </w:rPr>
              <w:t>Average extracted code lines</w:t>
            </w:r>
          </w:p>
        </w:tc>
        <w:tc>
          <w:tcPr>
            <w:tcW w:type="dxa" w:w="1584"/>
            <w:vAlign w:val="center"/>
          </w:tcPr>
          <w:p>
            <w:pPr>
              <w:spacing w:after="0"/>
            </w:pPr>
            <w:r/>
            <w:r>
              <w:rPr>
                <w:b w:val="0"/>
              </w:rPr>
              <w:t>12.9</w:t>
            </w:r>
          </w:p>
        </w:tc>
        <w:tc>
          <w:tcPr>
            <w:tcW w:type="dxa" w:w="1584"/>
            <w:vAlign w:val="center"/>
          </w:tcPr>
          <w:p>
            <w:pPr>
              <w:spacing w:after="0"/>
            </w:pPr>
            <w:r/>
            <w:r>
              <w:rPr>
                <w:b w:val="0"/>
              </w:rPr>
              <w:t>10.2</w:t>
            </w:r>
          </w:p>
        </w:tc>
        <w:tc>
          <w:tcPr>
            <w:tcW w:type="dxa" w:w="2736"/>
            <w:vAlign w:val="center"/>
          </w:tcPr>
          <w:p>
            <w:pPr>
              <w:spacing w:after="0"/>
            </w:pPr>
            <w:r/>
            <w:r>
              <w:rPr>
                <w:b w:val="0"/>
              </w:rPr>
              <w:t>Context dependent</w:t>
            </w:r>
          </w:p>
        </w:tc>
      </w:tr>
    </w:tbl>
    <w:p/>
    <w:p>
      <w:pPr>
        <w:pStyle w:val="Heading1"/>
      </w:pPr>
      <w:r>
        <w:t>Real Difference Between Base and V1</w:t>
      </w:r>
    </w:p>
    <w:p>
      <w:r>
        <w:t>The real difference is not that V1 became universally smarter after only 300 steps. The strongest evidence is that V1 learned the desired output contract. It more often returns a standalone Python function, while the base model behaves like a general assistant that explains, formats with Markdown, and includes examples.</w:t>
      </w:r>
    </w:p>
    <w:p>
      <w:r>
        <w:t>That output-contract shift matters because this project is building a local coding tool, not a tutorial chatbot. In the GUI, cleaner raw code is more useful than a long answer that must be manually cleaned before use.</w:t>
      </w:r>
    </w:p>
    <w:p>
      <w:r>
        <w:t>However, the fine-tune did not fully solve correctness. Some V1 outputs still need missing imports, avoid class-method habits such as self, and pass executable unit tests. The next iteration should measure those properties directly.</w:t>
      </w:r>
    </w:p>
    <w:p>
      <w:pPr>
        <w:pStyle w:val="Heading1"/>
      </w:pPr>
      <w:r>
        <w:t>Improvement Plan</w:t>
      </w:r>
    </w:p>
    <w:p>
      <w:pPr>
        <w:pStyle w:val="ListNumber"/>
      </w:pPr>
      <w:r>
        <w:t>Add executable unit tests for every benchmark prompt and score pass/fail behavior.</w:t>
      </w:r>
    </w:p>
    <w:p>
      <w:pPr>
        <w:pStyle w:val="ListNumber"/>
      </w:pPr>
      <w:r>
        <w:t>Add explicit checks for missing imports, unwanted self parameters, and prompt mismatch.</w:t>
      </w:r>
    </w:p>
    <w:p>
      <w:pPr>
        <w:pStyle w:val="ListNumber"/>
      </w:pPr>
      <w:r>
        <w:t>Create a larger evaluation suite with easy, medium, and edge-case Python tasks.</w:t>
      </w:r>
    </w:p>
    <w:p>
      <w:pPr>
        <w:pStyle w:val="ListNumber"/>
      </w:pPr>
      <w:r>
        <w:t>Compare raw base output, code-extracted base output, and V1 output to separate formatting gains from coding gains.</w:t>
      </w:r>
    </w:p>
    <w:p>
      <w:pPr>
        <w:pStyle w:val="ListNumber"/>
      </w:pPr>
      <w:r>
        <w:t>Improve the training data mix so standalone functions are favored unless the prompt requests a class method.</w:t>
      </w:r>
    </w:p>
    <w:p>
      <w:pPr>
        <w:pStyle w:val="ListNumber"/>
      </w:pPr>
      <w:r>
        <w:t>Track results across future checkpoints, not only the final merged model.</w:t>
      </w:r>
    </w:p>
    <w:p>
      <w:pPr>
        <w:pStyle w:val="Heading1"/>
      </w:pPr>
      <w:r>
        <w:t>How to Use the Updated Evaluation Notebook</w:t>
      </w:r>
    </w:p>
    <w:p>
      <w:pPr>
        <w:pStyle w:val="ListBullet"/>
      </w:pPr>
      <w:r>
        <w:t>Run the model-generation cells only when you want fresh outputs.</w:t>
      </w:r>
    </w:p>
    <w:p>
      <w:pPr>
        <w:pStyle w:val="ListBullet"/>
      </w:pPr>
      <w:r>
        <w:t>Run the evidence-first analysis cells anytime `Evaluation_results/evaluation_results.json` already exists.</w:t>
      </w:r>
    </w:p>
    <w:p>
      <w:pPr>
        <w:pStyle w:val="ListBullet"/>
      </w:pPr>
      <w:r>
        <w:t>Use the charts to identify behavior changes, not just score changes.</w:t>
      </w:r>
    </w:p>
    <w:p>
      <w:pPr>
        <w:pStyle w:val="ListBullet"/>
      </w:pPr>
      <w:r>
        <w:t>Use the final interpretation section as the current project conclusion and next-action guide.</w:t>
      </w:r>
    </w:p>
    <w:p>
      <w:pPr>
        <w:pStyle w:val="Heading1"/>
      </w:pPr>
      <w:r>
        <w:t>Known Limitations</w:t>
      </w:r>
    </w:p>
    <w:p>
      <w:pPr>
        <w:pStyle w:val="ListBullet"/>
      </w:pPr>
      <w:r>
        <w:t>The benchmark still has only ten prompts, so it is a useful smoke test rather than a final model benchmark.</w:t>
      </w:r>
    </w:p>
    <w:p>
      <w:pPr>
        <w:pStyle w:val="ListBullet"/>
      </w:pPr>
      <w:r>
        <w:t>The derived quality score is a practical rubric, not a scientific metric.</w:t>
      </w:r>
    </w:p>
    <w:p>
      <w:pPr>
        <w:pStyle w:val="ListBullet"/>
      </w:pPr>
      <w:r>
        <w:t>Current evaluation checks syntax and behavior signals, but not full functional correctness.</w:t>
      </w:r>
    </w:p>
    <w:p>
      <w:pPr>
        <w:pStyle w:val="ListBullet"/>
      </w:pPr>
      <w:r>
        <w:t>Visual charts are generated in the notebook, not embedded in this Word document.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Mini GPT Coder V1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