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L’université Cadi Ayyad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Créée en 1978, l'</w:t>
      </w:r>
      <w:r w:rsidDel="00000000" w:rsidR="00000000" w:rsidRPr="00000000">
        <w:rPr>
          <w:b w:val="1"/>
          <w:color w:val="c00000"/>
          <w:rtl w:val="0"/>
        </w:rPr>
        <w:t xml:space="preserve">UCA</w:t>
      </w:r>
      <w:r w:rsidDel="00000000" w:rsidR="00000000" w:rsidRPr="00000000">
        <w:rPr>
          <w:rtl w:val="0"/>
        </w:rPr>
        <w:t xml:space="preserve"> s'est appliquée efficacement depuis trente ans à faire face aux défis conjoints de la croissance massive de ses effectifs étudiants et des transformations de la demande sociale de formation et de recherche.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L'UCA compte, actuellement, 15 établissements implantés sur 4 Villes Universitaires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Marrakech (</w:t>
      </w: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FSSM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FST, ENSAM, FMP, FSHLM, FSJSE</w:t>
      </w:r>
      <w:r w:rsidDel="00000000" w:rsidR="00000000" w:rsidRPr="00000000">
        <w:rPr>
          <w:rtl w:val="0"/>
        </w:rPr>
        <w:t xml:space="preserve">, ENCG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FLAM, ENS)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Kalaa des Sraghna (FSJESK, ESTK)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Essaouira (ESTE)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Safi (ENSA, ESTS,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S)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D7E10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D40ED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9s7/gZbWfjP62CE7PYfJs4jE3g==">CgMxLjA4AHIhMU5NT3pSLUc1UFJfaGdxNDdhaC14Mm50aFV1UWdMYXVI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2012-12-05T17:57:00Z</dcterms:created>
  <dc:creator>cgdi</dc:creator>
</cp:coreProperties>
</file>