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000000"/>
          <w:sz w:val="30"/>
        </w:rPr>
        <w:t>计算机软件著作权登记 · 信息采集表（填写稿）</w:t>
      </w:r>
    </w:p>
    <w:p>
      <w:pPr>
        <w:jc w:val="center"/>
      </w:pPr>
      <w:r>
        <w:rPr>
          <w:rFonts w:ascii="宋体" w:hAnsi="宋体" w:eastAsia="宋体"/>
          <w:b w:val="0"/>
          <w:color w:val="000000"/>
          <w:sz w:val="18"/>
        </w:rPr>
        <w:t>对应代办方《附件1-新系统-软件著作权信息采集表》，字段与顺序一致，可直接照抄填写</w:t>
      </w:r>
    </w:p>
    <w:tbl>
      <w:tblPr>
        <w:tblStyle w:val="TableGrid"/>
        <w:tblW w:type="auto" w:w="0"/>
        <w:tblLook w:firstColumn="1" w:firstRow="1" w:lastColumn="0" w:lastRow="0" w:noHBand="0" w:noVBand="1" w:val="04A0"/>
      </w:tblPr>
      <w:tblGrid>
        <w:gridCol w:w="3000"/>
        <w:gridCol w:w="5000"/>
      </w:tblGrid>
      <w:tr>
        <w:tc>
          <w:tcPr>
            <w:tcW w:type="dxa" w:w="5000"/>
          </w:tcPr>
          <w:p>
            <w:r/>
            <w:r>
              <w:rPr>
                <w:rFonts w:ascii="黑体" w:hAnsi="黑体" w:eastAsia="黑体"/>
                <w:b/>
                <w:color w:val="000000"/>
                <w:sz w:val="21"/>
              </w:rPr>
              <w:t>字段</w:t>
            </w:r>
          </w:p>
        </w:tc>
        <w:tc>
          <w:tcPr>
            <w:tcW w:type="dxa" w:w="5000"/>
          </w:tcPr>
          <w:p>
            <w:r/>
            <w:r>
              <w:rPr>
                <w:rFonts w:ascii="黑体" w:hAnsi="黑体" w:eastAsia="黑体"/>
                <w:b/>
                <w:color w:val="000000"/>
                <w:sz w:val="21"/>
              </w:rPr>
              <w:t>填写内容</w:t>
            </w:r>
          </w:p>
        </w:tc>
      </w:tr>
      <w:tr>
        <w:tc>
          <w:tcPr>
            <w:tcW w:type="dxa" w:w="8000"/>
            <w:gridSpan w:val="2"/>
          </w:tcPr>
          <w:p>
            <w:r>
              <w:rPr>
                <w:rFonts w:ascii="黑体" w:hAnsi="黑体" w:eastAsia="黑体"/>
                <w:b/>
                <w:color w:val="000000"/>
                <w:sz w:val="22"/>
              </w:rPr>
              <w:t>一、软件基本信息</w:t>
            </w:r>
          </w:p>
        </w:tc>
      </w:tr>
      <w:tr>
        <w:tc>
          <w:tcPr>
            <w:tcW w:type="dxa" w:w="3000"/>
          </w:tcPr>
          <w:p>
            <w:r>
              <w:rPr>
                <w:rFonts w:ascii="宋体" w:hAnsi="宋体" w:eastAsia="宋体"/>
                <w:b/>
                <w:color w:val="000000"/>
                <w:sz w:val="21"/>
              </w:rPr>
              <w:t>软件全称</w:t>
            </w:r>
          </w:p>
        </w:tc>
        <w:tc>
          <w:tcPr>
            <w:tcW w:type="dxa" w:w="5000"/>
          </w:tcPr>
          <w:p>
            <w:r>
              <w:rPr>
                <w:rFonts w:ascii="宋体" w:hAnsi="宋体" w:eastAsia="宋体"/>
                <w:b w:val="0"/>
                <w:color w:val="000000"/>
                <w:sz w:val="21"/>
              </w:rPr>
              <w:t>历史遗留废弃矿山自然恢复适宜性评价系统</w:t>
            </w:r>
          </w:p>
        </w:tc>
      </w:tr>
      <w:tr>
        <w:tc>
          <w:tcPr>
            <w:tcW w:type="dxa" w:w="3000"/>
          </w:tcPr>
          <w:p>
            <w:r>
              <w:rPr>
                <w:rFonts w:ascii="宋体" w:hAnsi="宋体" w:eastAsia="宋体"/>
                <w:b/>
                <w:color w:val="000000"/>
                <w:sz w:val="21"/>
              </w:rPr>
              <w:t>软件简称</w:t>
            </w:r>
          </w:p>
        </w:tc>
        <w:tc>
          <w:tcPr>
            <w:tcW w:type="dxa" w:w="5000"/>
          </w:tcPr>
          <w:p>
            <w:r>
              <w:rPr>
                <w:rFonts w:ascii="宋体" w:hAnsi="宋体" w:eastAsia="宋体"/>
                <w:b w:val="0"/>
                <w:color w:val="000000"/>
                <w:sz w:val="21"/>
              </w:rPr>
              <w:t>（无简称，留空）</w:t>
            </w:r>
          </w:p>
        </w:tc>
      </w:tr>
      <w:tr>
        <w:tc>
          <w:tcPr>
            <w:tcW w:type="dxa" w:w="3000"/>
          </w:tcPr>
          <w:p>
            <w:r>
              <w:rPr>
                <w:rFonts w:ascii="宋体" w:hAnsi="宋体" w:eastAsia="宋体"/>
                <w:b/>
                <w:color w:val="000000"/>
                <w:sz w:val="21"/>
              </w:rPr>
              <w:t>版本号</w:t>
            </w:r>
          </w:p>
        </w:tc>
        <w:tc>
          <w:tcPr>
            <w:tcW w:type="dxa" w:w="5000"/>
          </w:tcPr>
          <w:p>
            <w:r>
              <w:rPr>
                <w:rFonts w:ascii="宋体" w:hAnsi="宋体" w:eastAsia="宋体"/>
                <w:b w:val="0"/>
                <w:color w:val="000000"/>
                <w:sz w:val="21"/>
              </w:rPr>
              <w:t>V1.0</w:t>
            </w:r>
          </w:p>
        </w:tc>
      </w:tr>
      <w:tr>
        <w:tc>
          <w:tcPr>
            <w:tcW w:type="dxa" w:w="3000"/>
          </w:tcPr>
          <w:p>
            <w:r>
              <w:rPr>
                <w:rFonts w:ascii="宋体" w:hAnsi="宋体" w:eastAsia="宋体"/>
                <w:b/>
                <w:color w:val="000000"/>
                <w:sz w:val="21"/>
              </w:rPr>
              <w:t>软件分类</w:t>
            </w:r>
          </w:p>
        </w:tc>
        <w:tc>
          <w:tcPr>
            <w:tcW w:type="dxa" w:w="5000"/>
          </w:tcPr>
          <w:p>
            <w:r>
              <w:rPr>
                <w:rFonts w:ascii="宋体" w:hAnsi="宋体" w:eastAsia="宋体"/>
                <w:b w:val="0"/>
                <w:color w:val="000000"/>
                <w:sz w:val="21"/>
              </w:rPr>
              <w:t>应用软件</w:t>
            </w:r>
          </w:p>
        </w:tc>
      </w:tr>
      <w:tr>
        <w:tc>
          <w:tcPr>
            <w:tcW w:type="dxa" w:w="3000"/>
          </w:tcPr>
          <w:p>
            <w:r>
              <w:rPr>
                <w:rFonts w:ascii="宋体" w:hAnsi="宋体" w:eastAsia="宋体"/>
                <w:b/>
                <w:color w:val="000000"/>
                <w:sz w:val="21"/>
              </w:rPr>
              <w:t>软件作品说明</w:t>
            </w:r>
          </w:p>
        </w:tc>
        <w:tc>
          <w:tcPr>
            <w:tcW w:type="dxa" w:w="5000"/>
          </w:tcPr>
          <w:p>
            <w:r>
              <w:rPr>
                <w:rFonts w:ascii="宋体" w:hAnsi="宋体" w:eastAsia="宋体"/>
                <w:b w:val="0"/>
                <w:color w:val="000000"/>
                <w:sz w:val="21"/>
              </w:rPr>
              <w:t>原创</w:t>
            </w:r>
          </w:p>
        </w:tc>
      </w:tr>
      <w:tr>
        <w:tc>
          <w:tcPr>
            <w:tcW w:type="dxa" w:w="3000"/>
          </w:tcPr>
          <w:p>
            <w:r>
              <w:rPr>
                <w:rFonts w:ascii="宋体" w:hAnsi="宋体" w:eastAsia="宋体"/>
                <w:b/>
                <w:color w:val="000000"/>
                <w:sz w:val="21"/>
              </w:rPr>
              <w:t>开发完成日期</w:t>
            </w:r>
          </w:p>
        </w:tc>
        <w:tc>
          <w:tcPr>
            <w:tcW w:type="dxa" w:w="5000"/>
          </w:tcPr>
          <w:p>
            <w:r>
              <w:rPr>
                <w:rFonts w:ascii="宋体" w:hAnsi="宋体" w:eastAsia="宋体"/>
                <w:b w:val="0"/>
                <w:color w:val="C00000"/>
                <w:sz w:val="21"/>
              </w:rPr>
              <w:t>待填</w:t>
            </w:r>
          </w:p>
        </w:tc>
      </w:tr>
      <w:tr>
        <w:tc>
          <w:tcPr>
            <w:tcW w:type="dxa" w:w="3000"/>
          </w:tcPr>
          <w:p>
            <w:r>
              <w:rPr>
                <w:rFonts w:ascii="宋体" w:hAnsi="宋体" w:eastAsia="宋体"/>
                <w:b/>
                <w:color w:val="000000"/>
                <w:sz w:val="21"/>
              </w:rPr>
              <w:t>发表状态</w:t>
            </w:r>
          </w:p>
        </w:tc>
        <w:tc>
          <w:tcPr>
            <w:tcW w:type="dxa" w:w="5000"/>
          </w:tcPr>
          <w:p>
            <w:r>
              <w:rPr>
                <w:rFonts w:ascii="宋体" w:hAnsi="宋体" w:eastAsia="宋体"/>
                <w:b w:val="0"/>
                <w:color w:val="000000"/>
                <w:sz w:val="21"/>
              </w:rPr>
              <w:t>已发表（建议；对权利保护最充分）</w:t>
            </w:r>
          </w:p>
        </w:tc>
      </w:tr>
      <w:tr>
        <w:tc>
          <w:tcPr>
            <w:tcW w:type="dxa" w:w="3000"/>
          </w:tcPr>
          <w:p>
            <w:r>
              <w:rPr>
                <w:rFonts w:ascii="宋体" w:hAnsi="宋体" w:eastAsia="宋体"/>
                <w:b/>
                <w:color w:val="000000"/>
                <w:sz w:val="21"/>
              </w:rPr>
              <w:t>首次发表日期</w:t>
            </w:r>
          </w:p>
        </w:tc>
        <w:tc>
          <w:tcPr>
            <w:tcW w:type="dxa" w:w="5000"/>
          </w:tcPr>
          <w:p>
            <w:r>
              <w:rPr>
                <w:rFonts w:ascii="宋体" w:hAnsi="宋体" w:eastAsia="宋体"/>
                <w:b w:val="0"/>
                <w:color w:val="C00000"/>
                <w:sz w:val="21"/>
              </w:rPr>
              <w:t>待填</w:t>
            </w:r>
          </w:p>
        </w:tc>
      </w:tr>
      <w:tr>
        <w:tc>
          <w:tcPr>
            <w:tcW w:type="dxa" w:w="3000"/>
          </w:tcPr>
          <w:p>
            <w:r>
              <w:rPr>
                <w:rFonts w:ascii="宋体" w:hAnsi="宋体" w:eastAsia="宋体"/>
                <w:b/>
                <w:color w:val="000000"/>
                <w:sz w:val="21"/>
              </w:rPr>
              <w:t>首次发表地点</w:t>
            </w:r>
          </w:p>
        </w:tc>
        <w:tc>
          <w:tcPr>
            <w:tcW w:type="dxa" w:w="5000"/>
          </w:tcPr>
          <w:p>
            <w:r>
              <w:rPr>
                <w:rFonts w:ascii="宋体" w:hAnsi="宋体" w:eastAsia="宋体"/>
                <w:b w:val="0"/>
                <w:color w:val="C00000"/>
                <w:sz w:val="21"/>
              </w:rPr>
              <w:t>待填（例：2026.10.8  河北  唐山）</w:t>
            </w:r>
          </w:p>
        </w:tc>
      </w:tr>
      <w:tr>
        <w:tc>
          <w:tcPr>
            <w:tcW w:type="dxa" w:w="3000"/>
          </w:tcPr>
          <w:p>
            <w:r>
              <w:rPr>
                <w:rFonts w:ascii="宋体" w:hAnsi="宋体" w:eastAsia="宋体"/>
                <w:b/>
                <w:color w:val="000000"/>
                <w:sz w:val="21"/>
              </w:rPr>
              <w:t>开发方式</w:t>
            </w:r>
          </w:p>
        </w:tc>
        <w:tc>
          <w:tcPr>
            <w:tcW w:type="dxa" w:w="5000"/>
          </w:tcPr>
          <w:p>
            <w:r>
              <w:rPr>
                <w:rFonts w:ascii="宋体" w:hAnsi="宋体" w:eastAsia="宋体"/>
                <w:b w:val="0"/>
                <w:color w:val="000000"/>
                <w:sz w:val="21"/>
              </w:rPr>
              <w:t>独立开发</w:t>
            </w:r>
          </w:p>
        </w:tc>
      </w:tr>
      <w:tr>
        <w:tc>
          <w:tcPr>
            <w:tcW w:type="dxa" w:w="3000"/>
          </w:tcPr>
          <w:p>
            <w:r>
              <w:rPr>
                <w:rFonts w:ascii="宋体" w:hAnsi="宋体" w:eastAsia="宋体"/>
                <w:b/>
                <w:color w:val="000000"/>
                <w:sz w:val="21"/>
              </w:rPr>
              <w:t>二、著作权人</w:t>
            </w:r>
          </w:p>
        </w:tc>
        <w:tc>
          <w:tcPr>
            <w:tcW w:type="dxa" w:w="5000"/>
          </w:tcPr>
          <w:p>
            <w:r>
              <w:rPr>
                <w:rFonts w:ascii="宋体" w:hAnsi="宋体" w:eastAsia="宋体"/>
                <w:b w:val="0"/>
                <w:color w:val="000000"/>
                <w:sz w:val="21"/>
              </w:rPr>
              <w:t>本软件是一款面向生态环境与自然资源领域的应用软件，用于历史遗留废弃矿山自然恢复适宜性的定量评价。软件以一套完整的自然恢复适宜性评价指标体系与计算方法为算法内核，实现评价工作的规范化、自动化与可追溯。软件共包含九个功能模块。</w:t>
              <w:br/>
              <w:t>账号与权限管理模块提供自助注册、登录、注销与职务权限控制，管理员可维护账号、设置职务并查看操作日志，职务分为管理员与操作员两种，写操作全部自动留痕以供追溯。项目与矿山档案模块用于建立评价项目、录入矿山图斑的基础信息、挂接遥感底图或无人机正射影像，并设置参照生态系统。政策与标准知识库模块收录十二项地方标准与政策文件，并将其判定条件结构化为可执行规则，支持同一指标在不同省份的阈值横向比对，并可在评价完成后把评价结论与当地文件逐条对照，给出符合、不符合与待人工判断三种结果。限制性指标判定模块对政策约束、区位约束、土壤污染、地质灾害四项条件逐项判定，任一项不通过即给出生态重建或人工辅助的结论。微地质单元管理模块将矿山图斑划分为岩质边坡、碎石边坡、平台三类单元，自动计算各单元面积占比并校验合计是否为百分之百。</w:t>
              <w:br/>
              <w:t>指标体系与权重计算模块采用层次分析法，以 1 至 9 标度构造判断矩阵，用特征根法计算权重，并计算最大特征值、一致性指标与一致性比例完成一致性检验；检验不通过时自动定位最不一致的一对比较并提示调整位置。模块同时提供指标定义维护，各项指标的名称、计量单位、标准化类型与理想取值均可在界面维护并直接参与标准化计算；权重按三类微地质单元分别管理，并支持多位专家分别录入判断矩阵后按几何平均汇总，汇总后再做一致性检验。指标数据采集模块按单元类型动态显示应录入的指标，岩质边坡不启用土壤指标、平台不启用地形指标，并区分不适用与实测为零两种状态；每个图斑可设置参照生态系统的植被覆盖度与生物多样性基准值，作为标准化基准参与计算；同时支持通过 CSV 或 Excel 批量导入指标数据，并逐行报告未导入的原因。</w:t>
              <w:br/>
              <w:t>适宜性定量评价模块按内置公式对各项指标做标准化处理，分为越大越优、越小越优、适中型与离散赋值四类算法，随后按各单元权重赋分并按面积占比加权合成，得到整个矿山的评价因子，据此判定不适宜、基本适宜、适宜三个等级并输出对应的推荐措施；执行评价前先校验各微地质单元的必填指标是否录入齐全，缺项时逐条列出并说明去哪补录，不满足前置条件不予出分。报告与结果输出模块以条形图与环形图呈现各微地质单元得分与各一级指标的平均得分，逐层列出各指标的实测值、标准化值、权重与加权贡献，使评价过程完全可复核，对未检测的指标在结果与报告中如实标注，并支持导出 PDF 与 Word 两种格式的评价报告。</w:t>
            </w:r>
          </w:p>
        </w:tc>
      </w:tr>
      <w:tr>
        <w:tc>
          <w:tcPr>
            <w:tcW w:type="dxa" w:w="3000"/>
          </w:tcPr>
          <w:p>
            <w:r>
              <w:rPr>
                <w:rFonts w:ascii="宋体" w:hAnsi="宋体" w:eastAsia="宋体"/>
                <w:b/>
                <w:color w:val="000000"/>
                <w:sz w:val="21"/>
              </w:rPr>
              <w:t>姓名或名称</w:t>
            </w:r>
          </w:p>
        </w:tc>
        <w:tc>
          <w:tcPr>
            <w:tcW w:type="dxa" w:w="5000"/>
          </w:tcPr>
          <w:p>
            <w:r>
              <w:rPr>
                <w:rFonts w:ascii="宋体" w:hAnsi="宋体" w:eastAsia="宋体"/>
                <w:b w:val="0"/>
                <w:color w:val="C00000"/>
                <w:sz w:val="21"/>
              </w:rPr>
              <w:t>待填（单位填工商登记全称，个人填身份证姓名）</w:t>
            </w:r>
          </w:p>
        </w:tc>
      </w:tr>
      <w:tr>
        <w:tc>
          <w:tcPr>
            <w:tcW w:type="dxa" w:w="3000"/>
          </w:tcPr>
          <w:p>
            <w:r>
              <w:rPr>
                <w:rFonts w:ascii="宋体" w:hAnsi="宋体" w:eastAsia="宋体"/>
                <w:b/>
                <w:color w:val="000000"/>
                <w:sz w:val="21"/>
              </w:rPr>
              <w:t>证件类型</w:t>
            </w:r>
          </w:p>
        </w:tc>
        <w:tc>
          <w:tcPr>
            <w:tcW w:type="dxa" w:w="5000"/>
          </w:tcPr>
          <w:p>
            <w:r>
              <w:rPr>
                <w:rFonts w:ascii="宋体" w:hAnsi="宋体" w:eastAsia="宋体"/>
                <w:b w:val="0"/>
                <w:color w:val="C00000"/>
                <w:sz w:val="21"/>
              </w:rPr>
              <w:t>待填</w:t>
            </w:r>
          </w:p>
        </w:tc>
      </w:tr>
      <w:tr>
        <w:tc>
          <w:tcPr>
            <w:tcW w:type="dxa" w:w="3000"/>
          </w:tcPr>
          <w:p>
            <w:r>
              <w:rPr>
                <w:rFonts w:ascii="宋体" w:hAnsi="宋体" w:eastAsia="宋体"/>
                <w:b/>
                <w:color w:val="000000"/>
                <w:sz w:val="21"/>
              </w:rPr>
              <w:t>证件号码</w:t>
            </w:r>
          </w:p>
        </w:tc>
        <w:tc>
          <w:tcPr>
            <w:tcW w:type="dxa" w:w="5000"/>
          </w:tcPr>
          <w:p>
            <w:r>
              <w:rPr>
                <w:rFonts w:ascii="宋体" w:hAnsi="宋体" w:eastAsia="宋体"/>
                <w:b w:val="0"/>
                <w:color w:val="C00000"/>
                <w:sz w:val="21"/>
              </w:rPr>
              <w:t>待填（统一社会信用代码或身份证号）</w:t>
            </w:r>
          </w:p>
        </w:tc>
      </w:tr>
      <w:tr>
        <w:tc>
          <w:tcPr>
            <w:tcW w:type="dxa" w:w="3000"/>
          </w:tcPr>
          <w:p>
            <w:r>
              <w:rPr>
                <w:rFonts w:ascii="宋体" w:hAnsi="宋体" w:eastAsia="宋体"/>
                <w:b/>
                <w:color w:val="000000"/>
                <w:sz w:val="21"/>
              </w:rPr>
              <w:t>省份/城市</w:t>
            </w:r>
          </w:p>
        </w:tc>
        <w:tc>
          <w:tcPr>
            <w:tcW w:type="dxa" w:w="5000"/>
          </w:tcPr>
          <w:p>
            <w:r>
              <w:rPr>
                <w:rFonts w:ascii="宋体" w:hAnsi="宋体" w:eastAsia="宋体"/>
                <w:b w:val="0"/>
                <w:color w:val="C00000"/>
                <w:sz w:val="21"/>
              </w:rPr>
              <w:t>待填</w:t>
            </w:r>
          </w:p>
        </w:tc>
      </w:tr>
      <w:tr>
        <w:tc>
          <w:tcPr>
            <w:tcW w:type="dxa" w:w="8000"/>
            <w:gridSpan w:val="2"/>
          </w:tcPr>
          <w:p>
            <w:r>
              <w:rPr>
                <w:rFonts w:ascii="黑体" w:hAnsi="黑体" w:eastAsia="黑体"/>
                <w:b/>
                <w:color w:val="000000"/>
                <w:sz w:val="22"/>
              </w:rPr>
              <w:t>三、权利说明</w:t>
            </w:r>
          </w:p>
        </w:tc>
      </w:tr>
      <w:tr>
        <w:tc>
          <w:tcPr>
            <w:tcW w:type="dxa" w:w="3000"/>
          </w:tcPr>
          <w:p>
            <w:r>
              <w:rPr>
                <w:rFonts w:ascii="宋体" w:hAnsi="宋体" w:eastAsia="宋体"/>
                <w:b/>
                <w:color w:val="000000"/>
                <w:sz w:val="21"/>
              </w:rPr>
              <w:t>权利取得方式</w:t>
            </w:r>
          </w:p>
        </w:tc>
        <w:tc>
          <w:tcPr>
            <w:tcW w:type="dxa" w:w="5000"/>
          </w:tcPr>
          <w:p>
            <w:r>
              <w:rPr>
                <w:rFonts w:ascii="宋体" w:hAnsi="宋体" w:eastAsia="宋体"/>
                <w:b w:val="0"/>
                <w:color w:val="000000"/>
                <w:sz w:val="21"/>
              </w:rPr>
              <w:t>原始取得</w:t>
            </w:r>
          </w:p>
        </w:tc>
      </w:tr>
      <w:tr>
        <w:tc>
          <w:tcPr>
            <w:tcW w:type="dxa" w:w="3000"/>
          </w:tcPr>
          <w:p>
            <w:r>
              <w:rPr>
                <w:rFonts w:ascii="宋体" w:hAnsi="宋体" w:eastAsia="宋体"/>
                <w:b/>
                <w:color w:val="000000"/>
                <w:sz w:val="21"/>
              </w:rPr>
              <w:t>权利范围</w:t>
            </w:r>
          </w:p>
        </w:tc>
        <w:tc>
          <w:tcPr>
            <w:tcW w:type="dxa" w:w="5000"/>
          </w:tcPr>
          <w:p>
            <w:r>
              <w:rPr>
                <w:rFonts w:ascii="宋体" w:hAnsi="宋体" w:eastAsia="宋体"/>
                <w:b w:val="0"/>
                <w:color w:val="000000"/>
                <w:sz w:val="21"/>
              </w:rPr>
              <w:t>全部</w:t>
            </w:r>
          </w:p>
        </w:tc>
      </w:tr>
      <w:tr>
        <w:tc>
          <w:tcPr>
            <w:tcW w:type="dxa" w:w="8000"/>
            <w:gridSpan w:val="2"/>
          </w:tcPr>
          <w:p>
            <w:r>
              <w:rPr>
                <w:rFonts w:ascii="黑体" w:hAnsi="黑体" w:eastAsia="黑体"/>
                <w:b/>
                <w:color w:val="000000"/>
                <w:sz w:val="22"/>
              </w:rPr>
              <w:t>四、软件鉴别材料</w:t>
            </w:r>
          </w:p>
        </w:tc>
      </w:tr>
      <w:tr>
        <w:tc>
          <w:tcPr>
            <w:tcW w:type="dxa" w:w="3000"/>
          </w:tcPr>
          <w:p>
            <w:r>
              <w:rPr>
                <w:rFonts w:ascii="宋体" w:hAnsi="宋体" w:eastAsia="宋体"/>
                <w:b/>
                <w:color w:val="000000"/>
                <w:sz w:val="21"/>
              </w:rPr>
              <w:t>交存方式</w:t>
            </w:r>
          </w:p>
        </w:tc>
        <w:tc>
          <w:tcPr>
            <w:tcW w:type="dxa" w:w="5000"/>
          </w:tcPr>
          <w:p>
            <w:r>
              <w:rPr>
                <w:rFonts w:ascii="宋体" w:hAnsi="宋体" w:eastAsia="宋体"/>
                <w:b w:val="0"/>
                <w:color w:val="000000"/>
                <w:sz w:val="21"/>
              </w:rPr>
              <w:t>一般交存</w:t>
            </w:r>
          </w:p>
        </w:tc>
      </w:tr>
      <w:tr>
        <w:tc>
          <w:tcPr>
            <w:tcW w:type="dxa" w:w="3000"/>
          </w:tcPr>
          <w:p>
            <w:r>
              <w:rPr>
                <w:rFonts w:ascii="宋体" w:hAnsi="宋体" w:eastAsia="宋体"/>
                <w:b/>
                <w:color w:val="000000"/>
                <w:sz w:val="21"/>
              </w:rPr>
              <w:t>源程序</w:t>
            </w:r>
          </w:p>
        </w:tc>
        <w:tc>
          <w:tcPr>
            <w:tcW w:type="dxa" w:w="5000"/>
          </w:tcPr>
          <w:p>
            <w:r>
              <w:rPr>
                <w:rFonts w:ascii="宋体" w:hAnsi="宋体" w:eastAsia="宋体"/>
                <w:b w:val="0"/>
                <w:color w:val="000000"/>
                <w:sz w:val="21"/>
              </w:rPr>
              <w:t>《源程序_提交版（前30页+后30页）_历史遗留废弃矿山自然恢复适宜性评价系统V1.0.pdf》共 60 页，每页 50 行</w:t>
            </w:r>
          </w:p>
        </w:tc>
      </w:tr>
      <w:tr>
        <w:tc>
          <w:tcPr>
            <w:tcW w:type="dxa" w:w="3000"/>
          </w:tcPr>
          <w:p>
            <w:r>
              <w:rPr>
                <w:rFonts w:ascii="宋体" w:hAnsi="宋体" w:eastAsia="宋体"/>
                <w:b/>
                <w:color w:val="000000"/>
                <w:sz w:val="21"/>
              </w:rPr>
              <w:t>文档</w:t>
            </w:r>
          </w:p>
        </w:tc>
        <w:tc>
          <w:tcPr>
            <w:tcW w:type="dxa" w:w="5000"/>
          </w:tcPr>
          <w:p>
            <w:r>
              <w:rPr>
                <w:rFonts w:ascii="宋体" w:hAnsi="宋体" w:eastAsia="宋体"/>
                <w:b w:val="0"/>
                <w:color w:val="000000"/>
                <w:sz w:val="21"/>
              </w:rPr>
              <w:t>一种文档：《历史遗留废弃矿山自然恢复适宜性评价系统V1.0 操作使用手册》，共 31 页（不足 60 页全部提交），含 29 张界面插图</w:t>
            </w:r>
          </w:p>
        </w:tc>
      </w:tr>
      <w:tr>
        <w:tc>
          <w:tcPr>
            <w:tcW w:type="dxa" w:w="8000"/>
            <w:gridSpan w:val="2"/>
          </w:tcPr>
          <w:p>
            <w:r>
              <w:rPr>
                <w:rFonts w:ascii="黑体" w:hAnsi="黑体" w:eastAsia="黑体"/>
                <w:b/>
                <w:color w:val="000000"/>
                <w:sz w:val="22"/>
              </w:rPr>
              <w:t>五、软件功能和技术特点</w:t>
            </w:r>
          </w:p>
        </w:tc>
      </w:tr>
      <w:tr>
        <w:tc>
          <w:tcPr>
            <w:tcW w:type="dxa" w:w="3000"/>
          </w:tcPr>
          <w:p>
            <w:r>
              <w:rPr>
                <w:rFonts w:ascii="宋体" w:hAnsi="宋体" w:eastAsia="宋体"/>
                <w:b/>
                <w:color w:val="000000"/>
                <w:sz w:val="21"/>
              </w:rPr>
              <w:t>开发的硬件环境</w:t>
            </w:r>
          </w:p>
        </w:tc>
        <w:tc>
          <w:tcPr>
            <w:tcW w:type="dxa" w:w="5000"/>
          </w:tcPr>
          <w:p>
            <w:r>
              <w:rPr>
                <w:rFonts w:ascii="宋体" w:hAnsi="宋体" w:eastAsia="宋体"/>
                <w:b w:val="0"/>
                <w:color w:val="000000"/>
                <w:sz w:val="21"/>
              </w:rPr>
              <w:t>x86-64 计算机，四核 CPU 及以上，内存 8GB 及以上</w:t>
            </w:r>
          </w:p>
        </w:tc>
      </w:tr>
      <w:tr>
        <w:tc>
          <w:tcPr>
            <w:tcW w:type="dxa" w:w="3000"/>
          </w:tcPr>
          <w:p>
            <w:r>
              <w:rPr>
                <w:rFonts w:ascii="宋体" w:hAnsi="宋体" w:eastAsia="宋体"/>
                <w:b/>
                <w:color w:val="000000"/>
                <w:sz w:val="21"/>
              </w:rPr>
              <w:t>运行的硬件环境</w:t>
            </w:r>
          </w:p>
        </w:tc>
        <w:tc>
          <w:tcPr>
            <w:tcW w:type="dxa" w:w="5000"/>
          </w:tcPr>
          <w:p>
            <w:r>
              <w:rPr>
                <w:rFonts w:ascii="宋体" w:hAnsi="宋体" w:eastAsia="宋体"/>
                <w:b w:val="0"/>
                <w:color w:val="000000"/>
                <w:sz w:val="21"/>
              </w:rPr>
              <w:t>x86-64 计算机，双核 CPU 及以上，内存 4GB 及以上，磁盘可用 500MB</w:t>
            </w:r>
          </w:p>
        </w:tc>
      </w:tr>
      <w:tr>
        <w:tc>
          <w:tcPr>
            <w:tcW w:type="dxa" w:w="3000"/>
          </w:tcPr>
          <w:p>
            <w:r>
              <w:rPr>
                <w:rFonts w:ascii="宋体" w:hAnsi="宋体" w:eastAsia="宋体"/>
                <w:b/>
                <w:color w:val="000000"/>
                <w:sz w:val="21"/>
              </w:rPr>
              <w:t>开发该软件的操作系统</w:t>
            </w:r>
          </w:p>
        </w:tc>
        <w:tc>
          <w:tcPr>
            <w:tcW w:type="dxa" w:w="5000"/>
          </w:tcPr>
          <w:p>
            <w:r>
              <w:rPr>
                <w:rFonts w:ascii="宋体" w:hAnsi="宋体" w:eastAsia="宋体"/>
                <w:b w:val="0"/>
                <w:color w:val="000000"/>
                <w:sz w:val="21"/>
              </w:rPr>
              <w:t>Windows 10 64 位 / Windows 11 64 位</w:t>
            </w:r>
          </w:p>
        </w:tc>
      </w:tr>
      <w:tr>
        <w:tc>
          <w:tcPr>
            <w:tcW w:type="dxa" w:w="3000"/>
          </w:tcPr>
          <w:p>
            <w:r>
              <w:rPr>
                <w:rFonts w:ascii="宋体" w:hAnsi="宋体" w:eastAsia="宋体"/>
                <w:b/>
                <w:color w:val="000000"/>
                <w:sz w:val="21"/>
              </w:rPr>
              <w:t>软件开发环境 / 开发工具</w:t>
            </w:r>
          </w:p>
        </w:tc>
        <w:tc>
          <w:tcPr>
            <w:tcW w:type="dxa" w:w="5000"/>
          </w:tcPr>
          <w:p>
            <w:r>
              <w:rPr>
                <w:rFonts w:ascii="宋体" w:hAnsi="宋体" w:eastAsia="宋体"/>
                <w:b w:val="0"/>
                <w:color w:val="000000"/>
                <w:sz w:val="21"/>
              </w:rPr>
              <w:t>Python 3.12、Flask 3.0、SQLAlchemy 2.0、Jinja2、VS Code</w:t>
            </w:r>
          </w:p>
        </w:tc>
      </w:tr>
      <w:tr>
        <w:tc>
          <w:tcPr>
            <w:tcW w:type="dxa" w:w="3000"/>
          </w:tcPr>
          <w:p>
            <w:r>
              <w:rPr>
                <w:rFonts w:ascii="宋体" w:hAnsi="宋体" w:eastAsia="宋体"/>
                <w:b/>
                <w:color w:val="000000"/>
                <w:sz w:val="21"/>
              </w:rPr>
              <w:t>该软件的运行平台 / 操作系统</w:t>
            </w:r>
          </w:p>
        </w:tc>
        <w:tc>
          <w:tcPr>
            <w:tcW w:type="dxa" w:w="5000"/>
          </w:tcPr>
          <w:p>
            <w:r>
              <w:rPr>
                <w:rFonts w:ascii="宋体" w:hAnsi="宋体" w:eastAsia="宋体"/>
                <w:b w:val="0"/>
                <w:color w:val="000000"/>
                <w:sz w:val="21"/>
              </w:rPr>
              <w:t>Windows 10 / Windows 11 64 位（Python 3.10 及以上）</w:t>
            </w:r>
          </w:p>
        </w:tc>
      </w:tr>
      <w:tr>
        <w:tc>
          <w:tcPr>
            <w:tcW w:type="dxa" w:w="3000"/>
          </w:tcPr>
          <w:p>
            <w:r>
              <w:rPr>
                <w:rFonts w:ascii="宋体" w:hAnsi="宋体" w:eastAsia="宋体"/>
                <w:b/>
                <w:color w:val="000000"/>
                <w:sz w:val="21"/>
              </w:rPr>
              <w:t>软件运行支撑环境 / 支持软件</w:t>
            </w:r>
          </w:p>
        </w:tc>
        <w:tc>
          <w:tcPr>
            <w:tcW w:type="dxa" w:w="5000"/>
          </w:tcPr>
          <w:p>
            <w:r>
              <w:rPr>
                <w:rFonts w:ascii="宋体" w:hAnsi="宋体" w:eastAsia="宋体"/>
                <w:b w:val="0"/>
                <w:color w:val="000000"/>
                <w:sz w:val="21"/>
              </w:rPr>
              <w:t>Flask、SQLAlchemy、NumPy、openpyxl；SQLite 数据库</w:t>
            </w:r>
          </w:p>
        </w:tc>
      </w:tr>
      <w:tr>
        <w:tc>
          <w:tcPr>
            <w:tcW w:type="dxa" w:w="3000"/>
          </w:tcPr>
          <w:p>
            <w:r>
              <w:rPr>
                <w:rFonts w:ascii="宋体" w:hAnsi="宋体" w:eastAsia="宋体"/>
                <w:b/>
                <w:color w:val="000000"/>
                <w:sz w:val="21"/>
              </w:rPr>
              <w:t>编程语言</w:t>
            </w:r>
          </w:p>
        </w:tc>
        <w:tc>
          <w:tcPr>
            <w:tcW w:type="dxa" w:w="5000"/>
          </w:tcPr>
          <w:p>
            <w:r>
              <w:rPr>
                <w:rFonts w:ascii="宋体" w:hAnsi="宋体" w:eastAsia="宋体"/>
                <w:b w:val="0"/>
                <w:color w:val="000000"/>
                <w:sz w:val="21"/>
              </w:rPr>
              <w:t>Python</w:t>
            </w:r>
          </w:p>
        </w:tc>
      </w:tr>
      <w:tr>
        <w:tc>
          <w:tcPr>
            <w:tcW w:type="dxa" w:w="3000"/>
          </w:tcPr>
          <w:p>
            <w:r>
              <w:rPr>
                <w:rFonts w:ascii="宋体" w:hAnsi="宋体" w:eastAsia="宋体"/>
                <w:b/>
                <w:color w:val="000000"/>
                <w:sz w:val="21"/>
              </w:rPr>
              <w:t>源程序量</w:t>
            </w:r>
          </w:p>
        </w:tc>
        <w:tc>
          <w:tcPr>
            <w:tcW w:type="dxa" w:w="5000"/>
          </w:tcPr>
          <w:p>
            <w:r>
              <w:rPr>
                <w:rFonts w:ascii="宋体" w:hAnsi="宋体" w:eastAsia="宋体"/>
                <w:b w:val="0"/>
                <w:color w:val="000000"/>
                <w:sz w:val="21"/>
              </w:rPr>
              <w:t>11883 行（不含空行；含空行 13330 行，源程序材料共 279 页）</w:t>
            </w:r>
          </w:p>
        </w:tc>
      </w:tr>
      <w:tr>
        <w:tc>
          <w:tcPr>
            <w:tcW w:type="dxa" w:w="3000"/>
          </w:tcPr>
          <w:p>
            <w:r>
              <w:rPr>
                <w:rFonts w:ascii="宋体" w:hAnsi="宋体" w:eastAsia="宋体"/>
                <w:b/>
                <w:color w:val="000000"/>
                <w:sz w:val="21"/>
              </w:rPr>
              <w:t>开发目的</w:t>
            </w:r>
          </w:p>
        </w:tc>
        <w:tc>
          <w:tcPr>
            <w:tcW w:type="dxa" w:w="5000"/>
          </w:tcPr>
          <w:p>
            <w:r>
              <w:rPr>
                <w:rFonts w:ascii="宋体" w:hAnsi="宋体" w:eastAsia="宋体"/>
                <w:b w:val="0"/>
                <w:color w:val="000000"/>
                <w:sz w:val="21"/>
              </w:rPr>
              <w:t>为历史遗留废弃矿山自然恢复适宜性评价提供定量计算与标准对照工具，支撑生态修复决策</w:t>
            </w:r>
          </w:p>
        </w:tc>
      </w:tr>
      <w:tr>
        <w:tc>
          <w:tcPr>
            <w:tcW w:type="dxa" w:w="3000"/>
          </w:tcPr>
          <w:p>
            <w:r>
              <w:rPr>
                <w:rFonts w:ascii="宋体" w:hAnsi="宋体" w:eastAsia="宋体"/>
                <w:b/>
                <w:color w:val="000000"/>
                <w:sz w:val="21"/>
              </w:rPr>
              <w:t>面向领域 / 行业</w:t>
            </w:r>
          </w:p>
        </w:tc>
        <w:tc>
          <w:tcPr>
            <w:tcW w:type="dxa" w:w="5000"/>
          </w:tcPr>
          <w:p>
            <w:r>
              <w:rPr>
                <w:rFonts w:ascii="宋体" w:hAnsi="宋体" w:eastAsia="宋体"/>
                <w:b w:val="0"/>
                <w:color w:val="000000"/>
                <w:sz w:val="21"/>
              </w:rPr>
              <w:t>矿山生态修复、自然资源调查监测、国土空间生态治理</w:t>
            </w:r>
          </w:p>
        </w:tc>
      </w:tr>
      <w:tr>
        <w:tc>
          <w:tcPr>
            <w:tcW w:type="dxa" w:w="3000"/>
          </w:tcPr>
          <w:p>
            <w:r>
              <w:rPr>
                <w:rFonts w:ascii="宋体" w:hAnsi="宋体" w:eastAsia="宋体"/>
                <w:b/>
                <w:color w:val="000000"/>
                <w:sz w:val="21"/>
              </w:rPr>
              <w:t>软件的主要功能</w:t>
            </w:r>
          </w:p>
        </w:tc>
        <w:tc>
          <w:tcPr>
            <w:tcW w:type="dxa" w:w="5000"/>
          </w:tcPr>
          <w:p>
            <w:r>
              <w:rPr>
                <w:rFonts w:ascii="宋体" w:hAnsi="宋体" w:eastAsia="宋体"/>
                <w:b w:val="0"/>
                <w:color w:val="000000"/>
                <w:sz w:val="21"/>
              </w:rPr>
              <w:t>本软件是一款面向生态环境与自然资源领域的应用软件，用于历史遗留废弃矿山自然恢复适宜性的定量评价。软件以一套完整的自然恢复适宜性评价指标体系与计算方法为算法内核，实现评价工作的规范化、自动化与可追溯。软件共包含九个功能模块。</w:t>
              <w:br/>
              <w:t>账号与权限管理模块提供自助注册、登录、注销与职务权限控制，管理员可维护账号、设置职务并查看操作日志，职务分为管理员与操作员两种，写操作全部自动留痕以供追溯。项目与矿山档案模块用于建立评价项目、录入矿山图斑的基础信息、挂接遥感底图或无人机正射影像，并设置参照生态系统。政策与标准知识库模块收录十二项地方标准与政策文件，并将其判定条件结构化为可执行规则，支持同一指标在不同省份的阈值横向比对，并可在评价完成后把评价结论与当地文件逐条对照，给出符合、不符合与待人工判断三种结果。限制性指标判定模块对政策约束、区位约束、土壤污染、地质灾害四项条件逐项判定，任一项不通过即给出生态重建或人工辅助的结论。微地质单元管理模块将矿山图斑划分为岩质边坡、碎石边坡、平台三类单元，自动计算各单元面积占比并校验合计是否为百分之百。</w:t>
              <w:br/>
              <w:t>指标体系与权重计算模块采用层次分析法，以 1 至 9 标度构造判断矩阵，用特征根法计算权重，并计算最大特征值、一致性指标与一致性比例完成一致性检验；检验不通过时自动定位最不一致的一对比较并提示调整位置。模块同时提供指标定义维护，各项指标的名称、计量单位、标准化类型与理想取值均可在界面维护并直接参与标准化计算；权重按三类微地质单元分别管理，并支持多位专家分别录入判断矩阵后按几何平均汇总，汇总后再做一致性检验。指标数据采集模块按单元类型动态显示应录入的指标，岩质边坡不启用土壤指标、平台不启用地形指标，并区分不适用与实测为零两种状态；每个图斑可设置参照生态系统的植被覆盖度与生物多样性基准值，作为标准化基准参与计算；同时支持通过 CSV 或 Excel 批量导入指标数据，并逐行报告未导入的原因。</w:t>
              <w:br/>
              <w:t>适宜性定量评价模块按内置公式对各项指标做标准化处理，分为越大越优、越小越优、适中型与离散赋值四类算法，随后按各单元权重赋分并按面积占比加权合成，得到整个矿山的评价因子，据此判定不适宜、基本适宜、适宜三个等级并输出对应的推荐措施；执行评价前先校验各微地质单元的必填指标是否录入齐全，缺项时逐条列出并说明去哪补录，不满足前置条件不予出分。报告与结果输出模块以条形图与环形图呈现各微地质单元得分与各一级指标的平均得分，逐层列出各指标的实测值、标准化值、权重与加权贡献，使评价过程完全可复核，对未检测的指标在结果与报告中如实标注，并支持导出 PDF 与 Word 两种格式的评价报告。</w:t>
            </w:r>
          </w:p>
        </w:tc>
      </w:tr>
      <w:tr>
        <w:tc>
          <w:tcPr>
            <w:tcW w:type="dxa" w:w="3000"/>
          </w:tcPr>
          <w:p>
            <w:r>
              <w:rPr>
                <w:rFonts w:ascii="宋体" w:hAnsi="宋体" w:eastAsia="宋体"/>
                <w:b/>
                <w:color w:val="000000"/>
                <w:sz w:val="21"/>
              </w:rPr>
              <w:t>软件的技术特点</w:t>
            </w:r>
          </w:p>
        </w:tc>
        <w:tc>
          <w:tcPr>
            <w:tcW w:type="dxa" w:w="5000"/>
          </w:tcPr>
          <w:p>
            <w:r>
              <w:rPr>
                <w:rFonts w:ascii="宋体" w:hAnsi="宋体" w:eastAsia="宋体"/>
                <w:b w:val="0"/>
                <w:color w:val="000000"/>
                <w:sz w:val="21"/>
              </w:rPr>
              <w:t>以层次分析法自动定权并按微地质单元分别赋权，四类标准化与面积加权合成，地方标准规则化对照，评价过程逐层可追溯、结果可复核</w:t>
            </w:r>
          </w:p>
        </w:tc>
      </w:tr>
    </w:tbl>
    <w:p>
      <w:r>
        <w:rPr>
          <w:rFonts w:ascii="宋体" w:hAnsi="宋体" w:eastAsia="宋体"/>
          <w:b/>
          <w:color w:val="C00000"/>
          <w:sz w:val="21"/>
        </w:rPr>
        <w:t>待申请人确定：著作权人（名称、证件类型、证件号码、省份/城市）、开发完成日期、首次发表日期与地点。</w:t>
      </w:r>
    </w:p>
    <w:p>
      <w:r>
        <w:rPr>
          <w:rFonts w:ascii="宋体" w:hAnsi="宋体" w:eastAsia="宋体"/>
          <w:b w:val="0"/>
          <w:color w:val="000000"/>
          <w:sz w:val="18"/>
        </w:rPr>
        <w:t>说明：手册与源程序材料已按代办方模板制作——手册封面为《操作使用手册》（版本 V1.0，含申请人栏），章节为「一、系统简介 / 二、主要功能 / 三、计算方法与口径说明」，插图按 图1…图29 编号；源程序提交版与前 30 页 + 后 30 页共 3000 行，另有全文 Word（13901 行）备查。</w:t>
      </w:r>
    </w:p>
    <w:sectPr w:rsidR="00FC693F" w:rsidRPr="0006063C"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