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本系统将论文建立的矿山自然恢复适宜性评价方法，做成一套可以操作、可以计算的软件。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：论文建立的评价方法，手工执行比较繁琐——评价要按岩质边坡、碎石土边坡、平台三类微地质单元分别定权、分别算分，再用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系统的算法主体严格依据论文实现</w:t>
      </w:r>
      <w:r>
        <w:t xml:space="preserve">：判断矩阵构造与一致性检验、四类指标标准化、按微地质单元分别定权、面积加权合成、三级判定阈值、五项限制性条件一票否决，均按论文给定的公式、权重表与理想取值落地。</w:t>
      </w:r>
    </w:p>
    <w:p>
      <w:pPr>
        <w:pStyle w:val="BodyText"/>
      </w:pPr>
      <w:r>
        <w:t xml:space="preserve">有两处论文未给出细则、由系统补充约定（已在说明书中写明，也便于复核）：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：论文只给出"25°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：论文给出理想区间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这两处属于工程补充，不影响论文已规定的部分；评价报告中会随结果一并说明。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：软件运行的基本管理需要，非论文内容。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基于</w:t>
      </w:r>
      <w:r>
        <w:t xml:space="preserve">：论文 4.2.2 节，植被覆盖度和生物多样性指标"参考参照生态系统，分别为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收录论文梳理的 11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基于</w:t>
      </w:r>
      <w:r>
        <w:t xml:space="preserve">：论文第 3 节及表 1。含辽宁、湖北、内蒙古、江西、宁夏 5 项地方标准，安徽、山东、湖南、新疆、广西、西藏 6 项政策文件。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基于</w:t>
      </w:r>
      <w:r>
        <w:t xml:space="preserve">：论文表 2 第四章限制性指标，以及 4.1 节评价流程。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：论文明确"土壤污染状况同时作为限制性指标与评价指标"，因此该指标既参与这里的判定，也参与后续打分。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基于</w:t>
      </w:r>
      <w:r>
        <w:t xml:space="preserve">：论文 4.1 节"按照地形地貌划分，将其划分为平台、碎石边坡和岩质边坡三种地质微单元类型，并计算各种地形面积占比"。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：面积占比即式(9) 中的权重系数。论文案例中三类单元分别占 13.86%、62.95%、23.19%。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基于</w:t>
      </w:r>
      <w:r>
        <w:t xml:space="preserve">：论文 4.2.1 节，式(1)–(7)。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：论文表 3。三类微地质单元的权重各不相同，且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：论文要求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：论文的权重由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基于</w:t>
      </w:r>
      <w:r>
        <w:t xml:space="preserve">：论文表 5 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基于</w:t>
      </w:r>
      <w:r>
        <w:t xml:space="preserve">：论文式(8) 标准化方法、式(9) 加权合成、表 4 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：全部采用论文给定的理想极值，包括土石比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为界线性折减、坡向按三类离散赋值这类来自论文的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基于</w:t>
      </w:r>
      <w:r>
        <w:t xml:space="preserve">：论文表 4 的等级与措施、表 5 的结果表达方式。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系统的操作顺序与论文 4.1 节的评价流程一致：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整理论文的指标、权重、标准化取值与判定阈值，形成算法规格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功能测试，并以论文典型案例走通完整评价流程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2026-09-29T13:46:10Z</dcterms:created>
  <dcterms:modified xsi:type="dcterms:W3CDTF">2026-09-29T13:46:10Z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