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历史遗留废弃矿山自然恢复适宜性评价系统-v10"/>
    <w:p>
      <w:pPr>
        <w:pStyle w:val="Heading1"/>
      </w:pPr>
      <w:r>
        <w:t xml:space="preserve">历史遗留废弃矿山自然恢复适宜性评价系统 V1.0</w:t>
      </w:r>
    </w:p>
    <w:bookmarkStart w:id="20" w:name="软件著作权登记--功能计划"/>
    <w:p>
      <w:pPr>
        <w:pStyle w:val="Heading2"/>
      </w:pPr>
      <w:r>
        <w:t xml:space="preserve">软件著作权登记 · 功能计划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软件全称</w:t>
      </w:r>
      <w:r>
        <w:t xml:space="preserve">：历史遗留废弃矿山自然恢复适宜性评价系统</w:t>
      </w:r>
      <w:r>
        <w:t xml:space="preserve"> </w:t>
      </w:r>
      <w:r>
        <w:rPr>
          <w:bCs/>
          <w:b/>
        </w:rPr>
        <w:t xml:space="preserve">版本号</w:t>
      </w:r>
      <w:r>
        <w:t xml:space="preserve">：V1.0</w:t>
      </w:r>
      <w:r>
        <w:t xml:space="preserve"> </w:t>
      </w:r>
      <w:r>
        <w:rPr>
          <w:bCs/>
          <w:b/>
        </w:rPr>
        <w:t xml:space="preserve">技术依据</w:t>
      </w:r>
      <w:r>
        <w:t xml:space="preserve">：《历史遗留废弃矿山自然恢复适宜性评价指标体系建设及典型案例》</w:t>
      </w:r>
      <w:r>
        <w:t xml:space="preserve"> </w:t>
      </w:r>
      <w:r>
        <w:rPr>
          <w:bCs/>
          <w:b/>
        </w:rPr>
        <w:t xml:space="preserve">拟登记方式</w:t>
      </w:r>
      <w:r>
        <w:t xml:space="preserve">：计算机软件著作权登记</w:t>
      </w:r>
    </w:p>
    <w:p>
      <w:r>
        <w:pict>
          <v:rect style="width:0;height:1.5pt" o:hralign="center" o:hrstd="t" o:hr="t"/>
        </w:pict>
      </w:r>
    </w:p>
    <w:bookmarkEnd w:id="20"/>
    <w:bookmarkStart w:id="21" w:name="一项目说明"/>
    <w:p>
      <w:pPr>
        <w:pStyle w:val="Heading2"/>
      </w:pPr>
      <w:r>
        <w:t xml:space="preserve">一、项目说明</w:t>
      </w:r>
    </w:p>
    <w:p>
      <w:pPr>
        <w:pStyle w:val="FirstParagraph"/>
      </w:pPr>
      <w:r>
        <w:t xml:space="preserve">本系统把矿山自然恢复适宜性评价方法做成一套可以操作、可以计算的软件。</w:t>
      </w:r>
    </w:p>
    <w:p>
      <w:pPr>
        <w:pStyle w:val="BodyText"/>
      </w:pPr>
      <w:r>
        <w:rPr>
          <w:bCs/>
          <w:b/>
        </w:rPr>
        <w:t xml:space="preserve">为什么要做</w:t>
      </w:r>
      <w:r>
        <w:t xml:space="preserve">：整套评价方法手工执行比较繁琐——评价要按岩质边坡、碎石土边坡、平台三类微地质单元分别定权、分别算分，再用 AHP 方法反复校验权重一致性，最后按面积加权。做成软件后，这些计算可以自动完成，结果可查询、可复核。</w:t>
      </w:r>
    </w:p>
    <w:p>
      <w:pPr>
        <w:pStyle w:val="BodyText"/>
      </w:pPr>
      <w:r>
        <w:rPr>
          <w:bCs/>
          <w:b/>
        </w:rPr>
        <w:t xml:space="preserve">系统做什么</w:t>
      </w:r>
      <w:r>
        <w:t xml:space="preserve">：从建立矿山档案开始，到限制性条件判定、微地质单元划分、权重确定、指标数据录入、定量评价计算，直到输出评价报告和适宜性等级，整个流程都在系统内完成。</w:t>
      </w:r>
    </w:p>
    <w:p>
      <w:pPr>
        <w:pStyle w:val="BodyText"/>
      </w:pPr>
      <w:r>
        <w:rPr>
          <w:bCs/>
          <w:b/>
        </w:rPr>
        <w:t xml:space="preserve">系统的算法主体严格按评价方法实现</w:t>
      </w:r>
      <w:r>
        <w:t xml:space="preserve">：判断矩阵构造与一致性检验、四类指标标准化、按微地质单元分别定权、面积加权合成、三级判定阈值、五项限制性条件一票否决，均按评价方法给定的公式、权重与理想取值落地。</w:t>
      </w:r>
    </w:p>
    <w:p>
      <w:pPr>
        <w:pStyle w:val="BodyText"/>
      </w:pPr>
      <w:r>
        <w:t xml:space="preserve">有两处评价方法未给出细则、由系统补充约定（已在说明书中写明，也便于复核）：</w:t>
      </w:r>
    </w:p>
    <w:p>
      <w:pPr>
        <w:pStyle w:val="BodyText"/>
      </w:pPr>
      <w:r>
        <w:t xml:space="preserve">一、</w:t>
      </w:r>
      <w:r>
        <w:rPr>
          <w:bCs/>
          <w:b/>
        </w:rPr>
        <w:t xml:space="preserve">坡度超过 25° 后如何衰减</w:t>
      </w:r>
      <w:r>
        <w:t xml:space="preserve">：评价方法只给出"25° 为陡坡分界"，未给分界之后的折算方式；系统按 25°–90° 线性折减、90° 记 0 处理，避免得分在分界处突变。</w:t>
      </w:r>
    </w:p>
    <w:p>
      <w:pPr>
        <w:pStyle w:val="BodyText"/>
      </w:pPr>
      <w:r>
        <w:t xml:space="preserve">二、</w:t>
      </w:r>
      <w:r>
        <w:rPr>
          <w:bCs/>
          <w:b/>
        </w:rPr>
        <w:t xml:space="preserve">pH 超出 5–9 后如何衰减</w:t>
      </w:r>
      <w:r>
        <w:t xml:space="preserve">：评价方法给出理想区间 5–9，未给区间外取值；系统按 4–10 的容差线性衰减到 0。</w:t>
      </w:r>
    </w:p>
    <w:p>
      <w:pPr>
        <w:pStyle w:val="BodyText"/>
      </w:pPr>
      <w:r>
        <w:t xml:space="preserve">这两处属于工程补充，不影响评价方法已规定的部分；评价报告中会随结果一并说明。</w:t>
      </w:r>
    </w:p>
    <w:p>
      <w:r>
        <w:pict>
          <v:rect style="width:0;height:1.5pt" o:hralign="center" o:hrstd="t" o:hr="t"/>
        </w:pict>
      </w:r>
    </w:p>
    <w:bookmarkEnd w:id="21"/>
    <w:bookmarkStart w:id="31" w:name="二系统功能"/>
    <w:p>
      <w:pPr>
        <w:pStyle w:val="Heading2"/>
      </w:pPr>
      <w:r>
        <w:t xml:space="preserve">二、系统功能</w:t>
      </w:r>
    </w:p>
    <w:p>
      <w:pPr>
        <w:pStyle w:val="FirstParagraph"/>
      </w:pPr>
      <w:r>
        <w:t xml:space="preserve">系统共 9 个功能模块。</w:t>
      </w:r>
    </w:p>
    <w:bookmarkStart w:id="22" w:name="m1-账号与权限管理"/>
    <w:p>
      <w:pPr>
        <w:pStyle w:val="Heading3"/>
      </w:pPr>
      <w:r>
        <w:t xml:space="preserve">M1 账号与权限管理</w:t>
      </w:r>
    </w:p>
    <w:p>
      <w:pPr>
        <w:pStyle w:val="FirstParagraph"/>
      </w:pPr>
      <w:r>
        <w:t xml:space="preserve">管理使用人员及其操作权限，职务分管理员与操作员两种：管理员可管理系统、维护基础数据并查看操作日志，操作员可使用全部业务功能。账号支持自助注册，也可由管理员新增，注册账号一律为操作员，职务只能由管理员调整。系统自动记录全部写操作日志。</w:t>
      </w:r>
    </w:p>
    <w:p>
      <w:pPr>
        <w:pStyle w:val="BodyText"/>
      </w:pPr>
      <w:r>
        <w:t xml:space="preserve">三、</w:t>
      </w:r>
      <w:r>
        <w:rPr>
          <w:bCs/>
          <w:b/>
        </w:rPr>
        <w:t xml:space="preserve">基于</w:t>
      </w:r>
      <w:r>
        <w:t xml:space="preserve">：软件运行的基本管理需要，非评价方法内容。</w:t>
      </w:r>
    </w:p>
    <w:bookmarkEnd w:id="22"/>
    <w:bookmarkStart w:id="23" w:name="m2-项目与矿山档案"/>
    <w:p>
      <w:pPr>
        <w:pStyle w:val="Heading3"/>
      </w:pPr>
      <w:r>
        <w:t xml:space="preserve">M2 项目与矿山档案</w:t>
      </w:r>
    </w:p>
    <w:p>
      <w:pPr>
        <w:pStyle w:val="FirstParagraph"/>
      </w:pPr>
      <w:r>
        <w:t xml:space="preserve">建立评价项目，录入矿山图斑的基本信息（名称、位置、面积、开采矿种、停产年限等），挂接遥感影像，并设置参照生态系统。</w:t>
      </w:r>
    </w:p>
    <w:p>
      <w:pPr>
        <w:pStyle w:val="BodyText"/>
      </w:pPr>
      <w:r>
        <w:t xml:space="preserve">四、</w:t>
      </w:r>
      <w:r>
        <w:rPr>
          <w:bCs/>
          <w:b/>
        </w:rPr>
        <w:t xml:space="preserve">取值</w:t>
      </w:r>
      <w:r>
        <w:t xml:space="preserve">：植被覆盖度和生物多样性指标"参考参照生态系统，分别为 75% 和 0.7"。参照生态系统是后续标准化的基准，因此与矿山图斑绑定管理。</w:t>
      </w:r>
    </w:p>
    <w:bookmarkEnd w:id="23"/>
    <w:bookmarkStart w:id="24" w:name="m3-政策与标准知识库"/>
    <w:p>
      <w:pPr>
        <w:pStyle w:val="Heading3"/>
      </w:pPr>
      <w:r>
        <w:t xml:space="preserve">M3 政策与标准知识库</w:t>
      </w:r>
    </w:p>
    <w:p>
      <w:pPr>
        <w:pStyle w:val="FirstParagraph"/>
      </w:pPr>
      <w:r>
        <w:t xml:space="preserve">收录内置的 12 项地方标准与政策文件，并把其中的判定条件整理成可执行的规则，支持比较同一指标在不同省份的阈值差异。</w:t>
      </w:r>
    </w:p>
    <w:p>
      <w:pPr>
        <w:pStyle w:val="BodyText"/>
      </w:pPr>
      <w:r>
        <w:t xml:space="preserve">五、</w:t>
      </w:r>
      <w:r>
        <w:rPr>
          <w:bCs/>
          <w:b/>
        </w:rPr>
        <w:t xml:space="preserve">收录范围</w:t>
      </w:r>
      <w:r>
        <w:t xml:space="preserve">：辽宁（2 项）、湖北、内蒙古、江西、宁夏 6 项地方标准，安徽、山东、湖南、新疆、广西、西藏 6 项政策文件，共 12 项。</w:t>
      </w:r>
    </w:p>
    <w:p>
      <w:pPr>
        <w:pStyle w:val="BodyText"/>
      </w:pPr>
      <w:r>
        <w:t xml:space="preserve">六、</w:t>
      </w:r>
      <w:r>
        <w:rPr>
          <w:bCs/>
          <w:b/>
        </w:rPr>
        <w:t xml:space="preserve">用途</w:t>
      </w:r>
      <w:r>
        <w:t xml:space="preserve">：评价人员不必再翻阅多份文件人工比对。例如植被覆盖度，辽宁要求 ≥50%、湖南要求 &gt;75%、新疆要求达到周边的 30%，系统可直接列出对比。</w:t>
      </w:r>
    </w:p>
    <w:p>
      <w:pPr>
        <w:pStyle w:val="BodyText"/>
      </w:pPr>
      <w:r>
        <w:t xml:space="preserve">七、</w:t>
      </w:r>
      <w:r>
        <w:rPr>
          <w:bCs/>
          <w:b/>
        </w:rPr>
        <w:t xml:space="preserve">结论对照</w:t>
      </w:r>
      <w:r>
        <w:t xml:space="preserve">：评价完成后，把评价结论与图斑所在省份的文件逐条对照，给出「符合」「不符合」「待人工判断」三种结果，并写明每条判定所依据的系统内数据；某省份未收录文件时明确提示，不拿其他省份的口径代替。该功能只做对照，不参与评价计算。</w:t>
      </w:r>
    </w:p>
    <w:bookmarkEnd w:id="24"/>
    <w:bookmarkStart w:id="25" w:name="m4-限制性指标判定"/>
    <w:p>
      <w:pPr>
        <w:pStyle w:val="Heading3"/>
      </w:pPr>
      <w:r>
        <w:t xml:space="preserve">M4 限制性指标判定</w:t>
      </w:r>
    </w:p>
    <w:p>
      <w:pPr>
        <w:pStyle w:val="FirstParagraph"/>
      </w:pPr>
      <w:r>
        <w:t xml:space="preserve">逐项判定矿山是否满足自然恢复的前提条件，共 5 项：政策约束、区位约束、土壤污染、地质灾害、耕地属性。任一项不满足，则判定为"人工辅助或生态重建"，不再进入后续计算。</w:t>
      </w:r>
    </w:p>
    <w:p>
      <w:pPr>
        <w:pStyle w:val="BodyText"/>
      </w:pPr>
      <w:r>
        <w:t xml:space="preserve">七、</w:t>
      </w:r>
      <w:r>
        <w:rPr>
          <w:bCs/>
          <w:b/>
        </w:rPr>
        <w:t xml:space="preserve">依据</w:t>
      </w:r>
      <w:r>
        <w:t xml:space="preserve">：评价指标清单中的限制性指标，以及评价流程的先后顺序。</w:t>
      </w:r>
    </w:p>
    <w:p>
      <w:pPr>
        <w:pStyle w:val="BodyText"/>
      </w:pPr>
      <w:r>
        <w:t xml:space="preserve">八、</w:t>
      </w:r>
      <w:r>
        <w:rPr>
          <w:bCs/>
          <w:b/>
        </w:rPr>
        <w:t xml:space="preserve">说明</w:t>
      </w:r>
      <w:r>
        <w:t xml:space="preserve">：评价方法明确"土壤污染状况同时作为限制性指标与评价指标"，因此该指标既参与这里的判定，也参与后续打分。</w:t>
      </w:r>
    </w:p>
    <w:bookmarkEnd w:id="25"/>
    <w:bookmarkStart w:id="26" w:name="m5-微地质单元管理"/>
    <w:p>
      <w:pPr>
        <w:pStyle w:val="Heading3"/>
      </w:pPr>
      <w:r>
        <w:t xml:space="preserve">M5 微地质单元管理</w:t>
      </w:r>
    </w:p>
    <w:p>
      <w:pPr>
        <w:pStyle w:val="FirstParagraph"/>
      </w:pPr>
      <w:r>
        <w:t xml:space="preserve">把矿山图斑划分为岩质边坡、碎石土边坡、平台三类微地质单元，录入各单元面积，系统自动计算面积占比。</w:t>
      </w:r>
    </w:p>
    <w:p>
      <w:pPr>
        <w:pStyle w:val="BodyText"/>
      </w:pPr>
      <w:r>
        <w:t xml:space="preserve">九、</w:t>
      </w:r>
      <w:r>
        <w:rPr>
          <w:bCs/>
          <w:b/>
        </w:rPr>
        <w:t xml:space="preserve">依据</w:t>
      </w:r>
      <w:r>
        <w:t xml:space="preserve">：评价流程"按照地形地貌划分，将其划分为平台、碎石边坡和岩质边坡三种地质微单元类型，并计算各种地形面积占比"。</w:t>
      </w:r>
    </w:p>
    <w:p>
      <w:pPr>
        <w:pStyle w:val="BodyText"/>
      </w:pPr>
      <w:r>
        <w:t xml:space="preserve">十、</w:t>
      </w:r>
      <w:r>
        <w:rPr>
          <w:bCs/>
          <w:b/>
        </w:rPr>
        <w:t xml:space="preserve">说明</w:t>
      </w:r>
      <w:r>
        <w:t xml:space="preserve">：面积占比即加权合成公式中的权重系数。示例案例中三类单元分别占平台 26.3%、碎石边坡 69.5%、岩质边坡 4.2%。</w:t>
      </w:r>
    </w:p>
    <w:bookmarkEnd w:id="26"/>
    <w:bookmarkStart w:id="27" w:name="m6-指标体系与-ahp-权重计算"/>
    <w:p>
      <w:pPr>
        <w:pStyle w:val="Heading3"/>
      </w:pPr>
      <w:r>
        <w:t xml:space="preserve">M6 指标体系与 AHP 权重计算</w:t>
      </w:r>
    </w:p>
    <w:p>
      <w:pPr>
        <w:pStyle w:val="FirstParagraph"/>
      </w:pPr>
      <w:r>
        <w:t xml:space="preserve">维护评价指标，录入专家判断矩阵，系统计算各指标权重并做一致性检验；权重按三类微地质单元分别管理。</w:t>
      </w:r>
    </w:p>
    <w:p>
      <w:pPr>
        <w:pStyle w:val="BodyText"/>
      </w:pPr>
      <w:r>
        <w:t xml:space="preserve">十一、</w:t>
      </w:r>
      <w:r>
        <w:rPr>
          <w:bCs/>
          <w:b/>
        </w:rPr>
        <w:t xml:space="preserve">依据</w:t>
      </w:r>
      <w:r>
        <w:t xml:space="preserve">：权重计算方法。</w:t>
      </w:r>
    </w:p>
    <w:p>
      <w:pPr>
        <w:pStyle w:val="BodyText"/>
      </w:pPr>
      <w:r>
        <w:t xml:space="preserve">十二、</w:t>
      </w:r>
      <w:r>
        <w:rPr>
          <w:bCs/>
          <w:b/>
        </w:rPr>
        <w:t xml:space="preserve">权重来源</w:t>
      </w:r>
      <w:r>
        <w:t xml:space="preserve">：系统默认权重。三类微地质单元的权重各不相同，且</w:t>
      </w:r>
      <w:r>
        <w:rPr>
          <w:bCs/>
          <w:b/>
        </w:rPr>
        <w:t xml:space="preserve">岩质边坡不评价土壤指标、平台不评价地形指标</w:t>
      </w:r>
      <w:r>
        <w:t xml:space="preserve">。</w:t>
      </w:r>
    </w:p>
    <w:p>
      <w:pPr>
        <w:pStyle w:val="BodyText"/>
      </w:pPr>
      <w:r>
        <w:t xml:space="preserve">十三、</w:t>
      </w:r>
      <w:r>
        <w:rPr>
          <w:bCs/>
          <w:b/>
        </w:rPr>
        <w:t xml:space="preserve">一致性检验</w:t>
      </w:r>
      <w:r>
        <w:t xml:space="preserve">：评价方法要求 CR &lt; 0.1。若检验不通过，系统提示需要调整哪一项比较，避免手工反复试算。</w:t>
      </w:r>
    </w:p>
    <w:p>
      <w:pPr>
        <w:pStyle w:val="BodyText"/>
      </w:pPr>
      <w:r>
        <w:t xml:space="preserve">十四、</w:t>
      </w:r>
      <w:r>
        <w:rPr>
          <w:bCs/>
          <w:b/>
        </w:rPr>
        <w:t xml:space="preserve">专家打分</w:t>
      </w:r>
      <w:r>
        <w:t xml:space="preserve">：评价方法的权重由 10 位专家打分确定，系统支持多位专家分别录入后再汇总。</w:t>
      </w:r>
    </w:p>
    <w:bookmarkEnd w:id="27"/>
    <w:bookmarkStart w:id="28" w:name="m7-指标数据采集与管理"/>
    <w:p>
      <w:pPr>
        <w:pStyle w:val="Heading3"/>
      </w:pPr>
      <w:r>
        <w:t xml:space="preserve">M7 指标数据采集与管理</w:t>
      </w:r>
    </w:p>
    <w:p>
      <w:pPr>
        <w:pStyle w:val="FirstParagraph"/>
      </w:pPr>
      <w:r>
        <w:t xml:space="preserve">录入各微地质单元的实测数据：土壤指标（土石比、土层厚度、pH、有机质、重金属）、植被指标（覆盖度、生物多样性）、地形指标（坡度、坡向），支持批量导入。</w:t>
      </w:r>
    </w:p>
    <w:p>
      <w:pPr>
        <w:pStyle w:val="BodyText"/>
      </w:pPr>
      <w:r>
        <w:t xml:space="preserve">十五、</w:t>
      </w:r>
      <w:r>
        <w:rPr>
          <w:bCs/>
          <w:b/>
        </w:rPr>
        <w:t xml:space="preserve">依据</w:t>
      </w:r>
      <w:r>
        <w:t xml:space="preserve">：示例案例的数据项。</w:t>
      </w:r>
    </w:p>
    <w:p>
      <w:pPr>
        <w:pStyle w:val="BodyText"/>
      </w:pPr>
      <w:r>
        <w:t xml:space="preserve">十六、</w:t>
      </w:r>
      <w:r>
        <w:rPr>
          <w:bCs/>
          <w:b/>
        </w:rPr>
        <w:t xml:space="preserve">说明</w:t>
      </w:r>
      <w:r>
        <w:t xml:space="preserve">：系统按单元类型自动显示应录入的指标，避免误填；并区分"不适用"与"实测为 0"两种状态。</w:t>
      </w:r>
    </w:p>
    <w:bookmarkEnd w:id="28"/>
    <w:bookmarkStart w:id="29" w:name="m8-适宜性定量评价计算"/>
    <w:p>
      <w:pPr>
        <w:pStyle w:val="Heading3"/>
      </w:pPr>
      <w:r>
        <w:t xml:space="preserve">M8 适宜性定量评价计算</w:t>
      </w:r>
    </w:p>
    <w:p>
      <w:pPr>
        <w:pStyle w:val="FirstParagraph"/>
      </w:pPr>
      <w:r>
        <w:t xml:space="preserve">系统的核心计算模块。对各项指标做标准化处理，按各单元权重算分，再按面积占比加权，得到矿山的最终评价因子 F，并判定适宜性等级。</w:t>
      </w:r>
    </w:p>
    <w:p>
      <w:pPr>
        <w:pStyle w:val="BodyText"/>
      </w:pPr>
      <w:r>
        <w:t xml:space="preserve">十七、</w:t>
      </w:r>
      <w:r>
        <w:rPr>
          <w:bCs/>
          <w:b/>
        </w:rPr>
        <w:t xml:space="preserve">依据</w:t>
      </w:r>
      <w:r>
        <w:t xml:space="preserve">：标准化公式、加权合成公式与三级判定标准。</w:t>
      </w:r>
    </w:p>
    <w:p>
      <w:pPr>
        <w:pStyle w:val="BodyText"/>
      </w:pPr>
      <w:r>
        <w:t xml:space="preserve">十八、</w:t>
      </w:r>
      <w:r>
        <w:rPr>
          <w:bCs/>
          <w:b/>
        </w:rPr>
        <w:t xml:space="preserve">标准化取值</w:t>
      </w:r>
      <w:r>
        <w:t xml:space="preserve">：全部采用评价方法给定的理想极值，包括土石比 0.8、土层厚度 20 cm、pH 5~9、有机质 30 g/kg、重金属按《绿化种植土壤》IV 级最高值、植被覆盖度 75%、多样性 0.7、坡度以 25° 为分界、坡向按阳坡 0.2 / 阴阳坡 0.6 / 阴坡 1.0 赋值。</w:t>
      </w:r>
    </w:p>
    <w:p>
      <w:pPr>
        <w:pStyle w:val="BodyText"/>
      </w:pPr>
      <w:r>
        <w:t xml:space="preserve">（一）</w:t>
      </w:r>
      <w:r>
        <w:rPr>
          <w:bCs/>
          <w:b/>
        </w:rPr>
        <w:t xml:space="preserve">可调整的</w:t>
      </w:r>
      <w:r>
        <w:t xml:space="preserve">：各指标的</w:t>
      </w:r>
      <w:r>
        <w:rPr>
          <w:bCs/>
          <w:b/>
        </w:rPr>
        <w:t xml:space="preserve">数值型理想取值</w:t>
      </w:r>
      <w:r>
        <w:t xml:space="preserve">，以及每个图斑的</w:t>
      </w:r>
      <w:r>
        <w:rPr>
          <w:bCs/>
          <w:b/>
        </w:rPr>
        <w:t xml:space="preserve">参照生态系统基准值</w:t>
      </w:r>
      <w:r>
        <w:t xml:space="preserve">（植被覆盖度、生物多样性），均可在界面上维护，并直接参与标准化计算。</w:t>
      </w:r>
    </w:p>
    <w:p>
      <w:pPr>
        <w:pStyle w:val="BodyText"/>
      </w:pPr>
      <w:r>
        <w:t xml:space="preserve">（二）</w:t>
      </w:r>
      <w:r>
        <w:rPr>
          <w:bCs/>
          <w:b/>
        </w:rPr>
        <w:t xml:space="preserve">不可调整的</w:t>
      </w:r>
      <w:r>
        <w:t xml:space="preserve">：坡度以 25° 为界线性折减、坡向按三类离散赋值这类评价方法规定的</w:t>
      </w:r>
      <w:r>
        <w:rPr>
          <w:bCs/>
          <w:b/>
        </w:rPr>
        <w:t xml:space="preserve">规则型取值</w:t>
      </w:r>
      <w:r>
        <w:t xml:space="preserve">，固化在算法中。</w:t>
      </w:r>
    </w:p>
    <w:p>
      <w:pPr>
        <w:pStyle w:val="BodyText"/>
      </w:pPr>
      <w:r>
        <w:t xml:space="preserve">十九、</w:t>
      </w:r>
      <w:r>
        <w:rPr>
          <w:bCs/>
          <w:b/>
        </w:rPr>
        <w:t xml:space="preserve">等级判定</w:t>
      </w:r>
      <w:r>
        <w:t xml:space="preserve">：F&lt;0.3 不适宜、0.3≤F≤0.7 基本适宜、F≥0.7 适宜，并给出对应的推荐措施。</w:t>
      </w:r>
    </w:p>
    <w:bookmarkEnd w:id="29"/>
    <w:bookmarkStart w:id="30" w:name="m9-报告与结果输出"/>
    <w:p>
      <w:pPr>
        <w:pStyle w:val="Heading3"/>
      </w:pPr>
      <w:r>
        <w:t xml:space="preserve">M9 报告与结果输出</w:t>
      </w:r>
    </w:p>
    <w:p>
      <w:pPr>
        <w:pStyle w:val="FirstParagraph"/>
      </w:pPr>
      <w:r>
        <w:t xml:space="preserve">生成评价报告，列出各层指标的权重、标准化值与算分明细，输出图表，并可导出 Word / PDF。</w:t>
      </w:r>
    </w:p>
    <w:p>
      <w:pPr>
        <w:pStyle w:val="BodyText"/>
      </w:pPr>
      <w:r>
        <w:t xml:space="preserve">二十、</w:t>
      </w:r>
      <w:r>
        <w:rPr>
          <w:bCs/>
          <w:b/>
        </w:rPr>
        <w:t xml:space="preserve">依据</w:t>
      </w:r>
      <w:r>
        <w:t xml:space="preserve">：适宜性等级划分表的等级与措施。</w:t>
      </w:r>
    </w:p>
    <w:p>
      <w:pPr>
        <w:pStyle w:val="BodyText"/>
      </w:pPr>
      <w:r>
        <w:t xml:space="preserve">二十一、</w:t>
      </w:r>
      <w:r>
        <w:rPr>
          <w:bCs/>
          <w:b/>
        </w:rPr>
        <w:t xml:space="preserve">说明</w:t>
      </w:r>
      <w:r>
        <w:t xml:space="preserve">：算分明细逐层列出，便于复核。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三系统流程"/>
    <w:p>
      <w:pPr>
        <w:pStyle w:val="Heading2"/>
      </w:pPr>
      <w:r>
        <w:t xml:space="preserve">三、系统流程</w:t>
      </w:r>
    </w:p>
    <w:p>
      <w:pPr>
        <w:pStyle w:val="FirstParagraph"/>
      </w:pPr>
      <w:r>
        <w:t xml:space="preserve">系统的操作顺序与评价流程的评价流程一致：</w:t>
      </w:r>
    </w:p>
    <w:p>
      <w:pPr>
        <w:pStyle w:val="SourceCode"/>
      </w:pPr>
      <w:r>
        <w:rPr>
          <w:rStyle w:val="VerbatimChar"/>
        </w:rPr>
        <w:t xml:space="preserve">1. 新建项目，录入矿山档案、设置参照生态系统          （M2）</w:t>
      </w:r>
      <w:r>
        <w:br/>
      </w:r>
      <w:r>
        <w:rPr>
          <w:rStyle w:val="VerbatimChar"/>
        </w:rPr>
        <w:t xml:space="preserve">2. 加载所在省份的标准与政策规则                      （M3）</w:t>
      </w:r>
      <w:r>
        <w:br/>
      </w:r>
      <w:r>
        <w:rPr>
          <w:rStyle w:val="VerbatimChar"/>
        </w:rPr>
        <w:t xml:space="preserve">3. 限制性条件判定</w:t>
      </w:r>
      <w:r>
        <w:br/>
      </w:r>
      <w:r>
        <w:rPr>
          <w:rStyle w:val="VerbatimChar"/>
        </w:rPr>
        <w:t xml:space="preserve">      ├─ 不通过 → 判定"人工辅助或生态重建"，流程结束   （M4）</w:t>
      </w:r>
      <w:r>
        <w:br/>
      </w:r>
      <w:r>
        <w:rPr>
          <w:rStyle w:val="VerbatimChar"/>
        </w:rPr>
        <w:t xml:space="preserve">      └─ 通过 →</w:t>
      </w:r>
      <w:r>
        <w:br/>
      </w:r>
      <w:r>
        <w:rPr>
          <w:rStyle w:val="VerbatimChar"/>
        </w:rPr>
        <w:t xml:space="preserve">4. 划分微地质单元，录入各单元面积                    （M5）</w:t>
      </w:r>
      <w:r>
        <w:br/>
      </w:r>
      <w:r>
        <w:rPr>
          <w:rStyle w:val="VerbatimChar"/>
        </w:rPr>
        <w:t xml:space="preserve">5. 确定各单元指标权重（AHP 计算 + 一致性检验）       （M6）</w:t>
      </w:r>
      <w:r>
        <w:br/>
      </w:r>
      <w:r>
        <w:rPr>
          <w:rStyle w:val="VerbatimChar"/>
        </w:rPr>
        <w:t xml:space="preserve">6. 录入各单元指标实测数据                            （M7）</w:t>
      </w:r>
      <w:r>
        <w:br/>
      </w:r>
      <w:r>
        <w:rPr>
          <w:rStyle w:val="VerbatimChar"/>
        </w:rPr>
        <w:t xml:space="preserve">7. 执行定量评价，计算评价因子 F，判定适宜性等级      （M8）</w:t>
      </w:r>
      <w:r>
        <w:br/>
      </w:r>
      <w:r>
        <w:rPr>
          <w:rStyle w:val="VerbatimChar"/>
        </w:rPr>
        <w:t xml:space="preserve">8. 生成评价报告，导出结果                            （M9）</w:t>
      </w:r>
    </w:p>
    <w:p>
      <w:r>
        <w:pict>
          <v:rect style="width:0;height:1.5pt" o:hralign="center" o:hrstd="t" o:hr="t"/>
        </w:pict>
      </w:r>
    </w:p>
    <w:bookmarkEnd w:id="32"/>
    <w:bookmarkStart w:id="33" w:name="四软件著作权登记材料"/>
    <w:p>
      <w:pPr>
        <w:pStyle w:val="Heading2"/>
      </w:pPr>
      <w:r>
        <w:t xml:space="preserve">四、软件著作权登记材料</w:t>
      </w:r>
    </w:p>
    <w:p>
      <w:pPr>
        <w:pStyle w:val="FirstParagraph"/>
      </w:pPr>
      <w:r>
        <w:t xml:space="preserve">按登记要求，需准备以下材料：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软件说明书（用户手册）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15～25 页，含操作流程与界面截图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源程序鉴别材料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页，每页不少于 50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登记申请表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使用现行版本，主要功能描述 500–1300 字</w:t>
            </w:r>
          </w:p>
        </w:tc>
      </w:tr>
    </w:tbl>
    <w:p>
      <w:pPr>
        <w:pStyle w:val="BodyText"/>
      </w:pPr>
      <w:r>
        <w:rPr>
          <w:bCs/>
          <w:b/>
        </w:rPr>
        <w:t xml:space="preserve">材料格式要求</w:t>
      </w:r>
      <w:r>
        <w:t xml:space="preserve">（依据《计算机软件著作权登记办法》第十条及中国版权保护中心办事指南）：</w:t>
      </w:r>
    </w:p>
    <w:p>
      <w:pPr>
        <w:pStyle w:val="BodyText"/>
      </w:pPr>
      <w:r>
        <w:t xml:space="preserve">二十二、源程序与文档各取前、后连续 30 页，共 60 页；</w:t>
      </w:r>
    </w:p>
    <w:p>
      <w:pPr>
        <w:pStyle w:val="BodyText"/>
      </w:pPr>
      <w:r>
        <w:t xml:space="preserve">二十三、源程序每页不少于 50 行，文档每页不少于 30 行；</w:t>
      </w:r>
    </w:p>
    <w:p>
      <w:pPr>
        <w:pStyle w:val="BodyText"/>
      </w:pPr>
      <w:r>
        <w:t xml:space="preserve">二十四、页眉标注软件名称与版本号，须与申请表完全一致；</w:t>
      </w:r>
    </w:p>
    <w:p>
      <w:pPr>
        <w:pStyle w:val="BodyText"/>
      </w:pPr>
      <w:r>
        <w:t xml:space="preserve">二十五、页码标注于右上角；</w:t>
      </w:r>
    </w:p>
    <w:p>
      <w:pPr>
        <w:pStyle w:val="BodyText"/>
      </w:pPr>
      <w:r>
        <w:t xml:space="preserve">二十六、源程序最后一页应为程序的结束页；</w:t>
      </w:r>
    </w:p>
    <w:p>
      <w:pPr>
        <w:pStyle w:val="BodyText"/>
      </w:pPr>
      <w:r>
        <w:t xml:space="preserve">二十七、A4 纸、纵向、单面打印。</w:t>
      </w:r>
    </w:p>
    <w:p>
      <w:pPr>
        <w:pStyle w:val="BodyText"/>
      </w:pPr>
      <w:r>
        <w:t xml:space="preserve">按上述要求，源程序有效代码规模需达到约 3000～3600 行。</w:t>
      </w:r>
    </w:p>
    <w:p>
      <w:r>
        <w:pict>
          <v:rect style="width:0;height:1.5pt" o:hralign="center" o:hrstd="t" o:hr="t"/>
        </w:pict>
      </w:r>
    </w:p>
    <w:bookmarkEnd w:id="33"/>
    <w:bookmarkStart w:id="34" w:name="五实施步骤"/>
    <w:p>
      <w:pPr>
        <w:pStyle w:val="Heading2"/>
      </w:pPr>
      <w:r>
        <w:t xml:space="preserve">五、实施步骤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整理评价方法的指标、权重、标准化取值与判定阈值，形成算法规格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算法技术规格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开发核心计算功能（权重计算、标准化、加权合成、等级判定）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可运行的计算程序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开发各功能模块的操作界面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完整可操作的系统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功能测试，并以典型案例走通完整评价流程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界面截图、编写说明书、源程序排版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软著申请材料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形式自检，填报登记申请表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提交登记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六预期成果"/>
    <w:p>
      <w:pPr>
        <w:pStyle w:val="Heading2"/>
      </w:pPr>
      <w:r>
        <w:t xml:space="preserve">六、预期成果</w:t>
      </w:r>
    </w:p>
    <w:p>
      <w:pPr>
        <w:pStyle w:val="FirstParagraph"/>
      </w:pPr>
      <w:r>
        <w:t xml:space="preserve">二十八、</w:t>
      </w:r>
      <w:r>
        <w:rPr>
          <w:bCs/>
          <w:b/>
        </w:rPr>
        <w:t xml:space="preserve">可运行的软件系统</w:t>
      </w:r>
      <w:r>
        <w:t xml:space="preserve">：历史遗留废弃矿山自然恢复适宜性评价系统 V1.0，含 9 个功能模块；</w:t>
      </w:r>
    </w:p>
    <w:p>
      <w:pPr>
        <w:pStyle w:val="BodyText"/>
      </w:pPr>
      <w:r>
        <w:t xml:space="preserve">二十九、</w:t>
      </w:r>
      <w:r>
        <w:rPr>
          <w:bCs/>
          <w:b/>
        </w:rPr>
        <w:t xml:space="preserve">软件说明书</w:t>
      </w:r>
      <w:r>
        <w:t xml:space="preserve">：15～25 页；</w:t>
      </w:r>
    </w:p>
    <w:p>
      <w:pPr>
        <w:pStyle w:val="BodyText"/>
      </w:pPr>
      <w:r>
        <w:t xml:space="preserve">三十、</w:t>
      </w:r>
      <w:r>
        <w:rPr>
          <w:bCs/>
          <w:b/>
        </w:rPr>
        <w:t xml:space="preserve">源程序鉴别材料</w:t>
      </w:r>
      <w:r>
        <w:t xml:space="preserve">：60 页；</w:t>
      </w:r>
    </w:p>
    <w:p>
      <w:pPr>
        <w:pStyle w:val="BodyText"/>
      </w:pPr>
      <w:r>
        <w:t xml:space="preserve">三十一、</w:t>
      </w:r>
      <w:r>
        <w:rPr>
          <w:bCs/>
          <w:b/>
        </w:rPr>
        <w:t xml:space="preserve">软件著作权登记申请材料</w:t>
      </w:r>
      <w:r>
        <w:t xml:space="preserve">。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宋体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sz w:val="24"/>
    <w:szCs w:val="24"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sz w:val="24"/>
    <w:szCs w:val="24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="黑体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="黑体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="黑体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="黑体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="黑体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="宋体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="宋体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sz w:val="22"/>
    <w:szCs w:val="22"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宋体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800080"/>
      </a:folHlink>
    </a:clrScheme>
    <a:fontScheme name="Office">
      <a:majorFont>
        <a:latin typeface="Times New Roman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2026-10-08T12:23:16Z</dcterms:created>
  <dcterms:modified xsi:type="dcterms:W3CDTF">2026-10-08T12:23:16Z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