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F4013">
      <w:pPr>
        <w:pStyle w:val="39"/>
      </w:pPr>
      <w:sdt>
        <w:sdtPr>
          <w:id w:val="147474965"/>
          <w:docPartObj>
            <w:docPartGallery w:val="Table of Contents"/>
            <w:docPartUnique/>
          </w:docPartObj>
        </w:sdtPr>
        <w:sdtContent>
          <w:r>
            <w:fldChar w:fldCharType="begin"/>
          </w:r>
          <w:r>
            <w:instrText xml:space="preserve">TOC \o "1-2" \h \z \u</w:instrText>
          </w:r>
          <w:r>
            <w:fldChar w:fldCharType="separate"/>
          </w:r>
          <w:r>
            <w:fldChar w:fldCharType="end"/>
          </w:r>
        </w:sdtContent>
      </w:sdt>
      <w:bookmarkStart w:id="0" w:name="计算机软件著作权登记项目计划书"/>
      <w:r>
        <w:t>计算机软件著作权登记项目计划书</w:t>
      </w:r>
    </w:p>
    <w:p w14:paraId="60F2F92E">
      <w:pPr>
        <w:pStyle w:val="4"/>
      </w:pPr>
      <w:bookmarkStart w:id="1" w:name="历史遗留废弃矿山自然恢复适宜性评价系统-v1.0"/>
      <w:r>
        <w:t>历史遗留废弃矿山自然恢复适宜性评价系统 V1.0</w:t>
      </w:r>
    </w:p>
    <w:p w14:paraId="2115C681">
      <w:r>
        <w:pict>
          <v:rect id="_x0000_i1025" o:spt="1" style="height:1.5pt;width:0pt;" coordsize="21600,21600" o:hr="t" o:hrstd="t" o:hralign="center">
            <v:path/>
            <v:fill focussize="0,0"/>
            <v:stroke/>
            <v:imagedata o:title=""/>
            <o:lock v:ext="edit"/>
            <w10:wrap type="none"/>
            <w10:anchorlock/>
          </v:rect>
        </w:pict>
      </w:r>
    </w:p>
    <w:p w14:paraId="796875CE">
      <w:pPr>
        <w:pStyle w:val="23"/>
      </w:pPr>
      <w:r>
        <w:rPr>
          <w:b/>
          <w:bCs/>
        </w:rPr>
        <w:t>软件全称</w:t>
      </w:r>
      <w:r>
        <w:t xml:space="preserve">：历史遗留废弃矿山自然恢复适宜性评价系统 </w:t>
      </w:r>
      <w:r>
        <w:rPr>
          <w:b/>
          <w:bCs/>
        </w:rPr>
        <w:t>版本号</w:t>
      </w:r>
      <w:r>
        <w:t xml:space="preserve">：V1.0 </w:t>
      </w:r>
      <w:r>
        <w:rPr>
          <w:b/>
          <w:bCs/>
        </w:rPr>
        <w:t>软件分类</w:t>
      </w:r>
      <w:r>
        <w:t xml:space="preserve">：应用软件（生态环境／自然资源领域） </w:t>
      </w:r>
      <w:r>
        <w:rPr>
          <w:b/>
          <w:bCs/>
        </w:rPr>
        <w:t>编制日期</w:t>
      </w:r>
      <w:r>
        <w:t>：2026 年 9 月</w:t>
      </w:r>
    </w:p>
    <w:p w14:paraId="211E2DD2">
      <w:r>
        <w:pict>
          <v:rect id="_x0000_i1026" o:spt="1" style="height:1.5pt;width:0pt;" coordsize="21600,21600" o:hr="t" o:hrstd="t" o:hralign="center">
            <v:path/>
            <v:fill focussize="0,0"/>
            <v:stroke/>
            <v:imagedata o:title=""/>
            <o:lock v:ext="edit"/>
            <w10:wrap type="none"/>
            <w10:anchorlock/>
          </v:rect>
        </w:pict>
      </w:r>
    </w:p>
    <w:bookmarkEnd w:id="1"/>
    <w:p w14:paraId="5AEA0DE1">
      <w:pPr>
        <w:pStyle w:val="4"/>
      </w:pPr>
      <w:bookmarkStart w:id="2" w:name="一项目背景与建设意义"/>
      <w:r>
        <w:t>一、项目背景与建设意义</w:t>
      </w:r>
      <w:bookmarkStart w:id="29" w:name="_GoBack"/>
      <w:bookmarkEnd w:id="29"/>
    </w:p>
    <w:p w14:paraId="62F71F83">
      <w:pPr>
        <w:pStyle w:val="5"/>
      </w:pPr>
      <w:bookmarkStart w:id="3" w:name="项目来源"/>
      <w:r>
        <w:t>1.1 项目来源</w:t>
      </w:r>
    </w:p>
    <w:p w14:paraId="5432DCBA">
      <w:pPr>
        <w:pStyle w:val="23"/>
      </w:pPr>
      <w:r>
        <w:t>本项目以《历史遗留废弃矿山自然恢复适宜性评价指标体系建设及典型案例》一文所建立的理论方法与评价模型为技术内核，将其转化为可运行的计算机软件系统，并申请计算机软件著作权登记。</w:t>
      </w:r>
    </w:p>
    <w:p w14:paraId="2DA5257D">
      <w:pPr>
        <w:pStyle w:val="3"/>
      </w:pPr>
      <w:r>
        <w:t>论文已形成完整的评价方法论，包括：历史遗留废弃矿山自然恢复适宜性评价的指标体系、基于层次分析法（AHP）的指标权重确定方法、指标标准化计算方法、微地质单元划分与面积加权合成方法，以及适宜性三级判定标准，并以河北省唐山市玉田县某历史遗留废弃矿山作为典型案例完成了实证验证。</w:t>
      </w:r>
    </w:p>
    <w:bookmarkEnd w:id="3"/>
    <w:p w14:paraId="21897A45">
      <w:pPr>
        <w:pStyle w:val="5"/>
      </w:pPr>
      <w:bookmarkStart w:id="4" w:name="建设意义"/>
      <w:r>
        <w:t>1.2 建设意义</w:t>
      </w:r>
    </w:p>
    <w:p w14:paraId="6DBA4992">
      <w:pPr>
        <w:pStyle w:val="23"/>
      </w:pPr>
      <w:r>
        <w:rPr>
          <w:b/>
          <w:bCs/>
        </w:rPr>
        <w:t>（1）方法落地需要工具支撑。</w:t>
      </w:r>
      <w:r>
        <w:t xml:space="preserve"> 论文建立的评价体系在数学上是严谨的，但手工执行十分困难：评价涉及 4 项限制性指标与 3 类一级评价指标、9 项二级评价指标，按 AHP 方法构造判断矩阵需完成数十次两两比较，每次矩阵调整后都必须重新计算最大特征值与一致性比例，不满足一致性要求时需反复修正。同时，评价须按岩质边坡、碎石土边坡、平台三类微地质单元分别定权、分别计算、再加权合成，计算链路长、易出错。</w:t>
      </w:r>
    </w:p>
    <w:p w14:paraId="706FB6C1">
      <w:pPr>
        <w:pStyle w:val="3"/>
      </w:pPr>
      <w:r>
        <w:rPr>
          <w:b/>
          <w:bCs/>
        </w:rPr>
        <w:t>（2）评价工作亟需标准化与可追溯。</w:t>
      </w:r>
      <w:r>
        <w:t xml:space="preserve"> 目前各省（自治区）已陆续出台历史遗留废弃矿山自然恢复的地方标准与政策文件，但各地在判定条件、指标阈值上存在明显差异。基层评价人员在实际工作中需要同时查阅多份标准文件并人工比对，效率低且难以保证口径统一。将标准条文结构化为可执行规则，是提升评价规范化水平的有效途径。</w:t>
      </w:r>
    </w:p>
    <w:p w14:paraId="28C496B5">
      <w:pPr>
        <w:pStyle w:val="3"/>
      </w:pPr>
      <w:r>
        <w:rPr>
          <w:b/>
          <w:bCs/>
        </w:rPr>
        <w:t>（3）成果可复用、可推广。</w:t>
      </w:r>
      <w:r>
        <w:t xml:space="preserve"> 系统建成后，评价过程中形成的指标体系、权重方案、标准规则库与案例数据均可沉淀复用，可直接服务于后续不同气候区、不同地貌区的矿山自然恢复适宜性评价工作，为论文提出的后续研究方向提供工具基础。</w:t>
      </w:r>
    </w:p>
    <w:bookmarkEnd w:id="4"/>
    <w:p w14:paraId="514EFE23">
      <w:pPr>
        <w:pStyle w:val="5"/>
      </w:pPr>
      <w:bookmarkStart w:id="5" w:name="现有成果调研"/>
      <w:r>
        <w:t>1.3 现有成果调研</w:t>
      </w:r>
    </w:p>
    <w:p w14:paraId="568BB1BB">
      <w:pPr>
        <w:pStyle w:val="23"/>
      </w:pPr>
      <w:r>
        <w:t>经初步检索，目前与矿山生态修复评价相关的计算机软件成果主要包括：面向金属矿山</w:t>
      </w:r>
      <w:r>
        <w:rPr>
          <w:b/>
          <w:bCs/>
        </w:rPr>
        <w:t>土地复垦</w:t>
      </w:r>
      <w:r>
        <w:t>适宜性评价的系统，其评价目标为农林牧适宜性，与自然恢复路径判定不同；以及若干涉及矿山生态修复监测评价的专利成果，其技术侧重为全流程监测与适生植物推荐，未采用层次分析法进行指标定权。</w:t>
      </w:r>
    </w:p>
    <w:p w14:paraId="3D3B1C66">
      <w:pPr>
        <w:pStyle w:val="3"/>
      </w:pPr>
      <w:r>
        <w:rPr>
          <w:b/>
          <w:bCs/>
        </w:rPr>
        <w:t>本系统的差异化定位</w:t>
      </w:r>
      <w:r>
        <w:t>：以”自然恢复与人工修复路径判定”为目标，以 AHP 分层定权与微地质单元面积加权为核心算法，以地方标准规则库为约束判定依据，形成面向历史遗留废弃矿山自然恢复适宜性判定的专用工具。经检索，尚未发现采用同类技术路线的已登记软件。</w:t>
      </w:r>
    </w:p>
    <w:p w14:paraId="10C56335">
      <w:r>
        <w:pict>
          <v:rect id="_x0000_i1034" o:spt="1" style="height:1.5pt;width:0pt;" coordsize="21600,21600" o:hr="t" o:hrstd="t" o:hralign="center">
            <v:path/>
            <v:fill focussize="0,0"/>
            <v:stroke/>
            <v:imagedata o:title=""/>
            <o:lock v:ext="edit"/>
            <w10:wrap type="none"/>
            <w10:anchorlock/>
          </v:rect>
        </w:pict>
      </w:r>
    </w:p>
    <w:bookmarkEnd w:id="2"/>
    <w:bookmarkEnd w:id="5"/>
    <w:p w14:paraId="6732FB51">
      <w:pPr>
        <w:pStyle w:val="4"/>
      </w:pPr>
      <w:bookmarkStart w:id="6" w:name="二技术依据论文方法梳理"/>
      <w:r>
        <w:t>二、技术依据：论文方法梳理</w:t>
      </w:r>
    </w:p>
    <w:p w14:paraId="4D096A32">
      <w:pPr>
        <w:pStyle w:val="23"/>
      </w:pPr>
      <w:r>
        <w:t>本系统的全部算法逻辑均来源于论文，现将可软件化的技术要点归纳如下。</w:t>
      </w:r>
    </w:p>
    <w:p w14:paraId="6BFB1D5C">
      <w:pPr>
        <w:pStyle w:val="5"/>
      </w:pPr>
      <w:bookmarkStart w:id="7" w:name="限制性指标体系一票否决"/>
      <w:r>
        <w:t>2.1 限制性指标体系（一票否决）</w:t>
      </w:r>
    </w:p>
    <w:p w14:paraId="66874E1C">
      <w:pPr>
        <w:pStyle w:val="23"/>
      </w:pPr>
      <w:r>
        <w:t xml:space="preserve">论文建立的限制性指标共 </w:t>
      </w:r>
      <w:r>
        <w:rPr>
          <w:b/>
          <w:bCs/>
        </w:rPr>
        <w:t>4 项</w:t>
      </w:r>
      <w:r>
        <w:t>：</w:t>
      </w:r>
    </w:p>
    <w:tbl>
      <w:tblPr>
        <w:tblStyle w:val="29"/>
        <w:tblW w:w="5000" w:type="pct"/>
        <w:tblInd w:w="0" w:type="dxa"/>
        <w:tblLayout w:type="fixed"/>
        <w:tblCellMar>
          <w:top w:w="0" w:type="dxa"/>
          <w:left w:w="108" w:type="dxa"/>
          <w:bottom w:w="0" w:type="dxa"/>
          <w:right w:w="108" w:type="dxa"/>
        </w:tblCellMar>
      </w:tblPr>
      <w:tblGrid>
        <w:gridCol w:w="2214"/>
        <w:gridCol w:w="2214"/>
        <w:gridCol w:w="2214"/>
        <w:gridCol w:w="2214"/>
      </w:tblGrid>
      <w:tr w14:paraId="61CB0AC8">
        <w:tblPrEx>
          <w:tblCellMar>
            <w:top w:w="0" w:type="dxa"/>
            <w:left w:w="108" w:type="dxa"/>
            <w:bottom w:w="0" w:type="dxa"/>
            <w:right w:w="108" w:type="dxa"/>
          </w:tblCellMar>
        </w:tblPrEx>
        <w:trPr>
          <w:tblHeader/>
        </w:trPr>
        <w:tc>
          <w:p w14:paraId="227C163E">
            <w:pPr>
              <w:pStyle w:val="24"/>
              <w:jc w:val="left"/>
            </w:pPr>
            <w:r>
              <w:t>序号</w:t>
            </w:r>
          </w:p>
        </w:tc>
        <w:tc>
          <w:p w14:paraId="2D30A05F">
            <w:pPr>
              <w:pStyle w:val="24"/>
              <w:jc w:val="left"/>
            </w:pPr>
            <w:r>
              <w:t>一级指标</w:t>
            </w:r>
          </w:p>
        </w:tc>
        <w:tc>
          <w:p w14:paraId="01B43882">
            <w:pPr>
              <w:pStyle w:val="24"/>
              <w:jc w:val="left"/>
            </w:pPr>
            <w:r>
              <w:t>二级指标</w:t>
            </w:r>
          </w:p>
        </w:tc>
        <w:tc>
          <w:p w14:paraId="473F96A9">
            <w:pPr>
              <w:pStyle w:val="24"/>
              <w:jc w:val="left"/>
            </w:pPr>
            <w:r>
              <w:t>判定内容</w:t>
            </w:r>
          </w:p>
        </w:tc>
      </w:tr>
      <w:tr w14:paraId="0B7A2664">
        <w:tblPrEx>
          <w:tblCellMar>
            <w:top w:w="0" w:type="dxa"/>
            <w:left w:w="108" w:type="dxa"/>
            <w:bottom w:w="0" w:type="dxa"/>
            <w:right w:w="108" w:type="dxa"/>
          </w:tblCellMar>
        </w:tblPrEx>
        <w:tc>
          <w:p w14:paraId="17BDE70D">
            <w:pPr>
              <w:pStyle w:val="24"/>
              <w:jc w:val="left"/>
            </w:pPr>
            <w:r>
              <w:t>①</w:t>
            </w:r>
          </w:p>
        </w:tc>
        <w:tc>
          <w:p w14:paraId="530FC929">
            <w:pPr>
              <w:pStyle w:val="24"/>
              <w:jc w:val="left"/>
            </w:pPr>
            <w:r>
              <w:t>政策</w:t>
            </w:r>
          </w:p>
        </w:tc>
        <w:tc>
          <w:p w14:paraId="11EC4F3B">
            <w:pPr>
              <w:pStyle w:val="24"/>
              <w:jc w:val="left"/>
            </w:pPr>
            <w:r>
              <w:t>是否在重要区域可视范围内</w:t>
            </w:r>
          </w:p>
        </w:tc>
        <w:tc>
          <w:p w14:paraId="4B9413AE">
            <w:pPr>
              <w:pStyle w:val="24"/>
              <w:jc w:val="left"/>
            </w:pPr>
            <w:r>
              <w:t>是否位于”三区两线／三线三边”可视范围，是否符合国土空间规划，责任主体是否为政府，废弃设备构筑物是否拆除清运完毕</w:t>
            </w:r>
          </w:p>
        </w:tc>
      </w:tr>
      <w:tr w14:paraId="048ECEBB">
        <w:tblPrEx>
          <w:tblCellMar>
            <w:top w:w="0" w:type="dxa"/>
            <w:left w:w="108" w:type="dxa"/>
            <w:bottom w:w="0" w:type="dxa"/>
            <w:right w:w="108" w:type="dxa"/>
          </w:tblCellMar>
        </w:tblPrEx>
        <w:tc>
          <w:p w14:paraId="15D90AF2">
            <w:pPr>
              <w:pStyle w:val="24"/>
              <w:jc w:val="left"/>
            </w:pPr>
            <w:r>
              <w:t>②</w:t>
            </w:r>
          </w:p>
        </w:tc>
        <w:tc>
          <w:p w14:paraId="05422F9B">
            <w:pPr>
              <w:pStyle w:val="24"/>
              <w:jc w:val="left"/>
            </w:pPr>
            <w:r>
              <w:t>区位约束</w:t>
            </w:r>
          </w:p>
        </w:tc>
        <w:tc>
          <w:p w14:paraId="69450C5C">
            <w:pPr>
              <w:pStyle w:val="24"/>
              <w:jc w:val="left"/>
            </w:pPr>
            <w:r>
              <w:t>与市区乡镇距离</w:t>
            </w:r>
          </w:p>
        </w:tc>
        <w:tc>
          <w:p w14:paraId="7541C55F">
            <w:pPr>
              <w:pStyle w:val="24"/>
              <w:jc w:val="left"/>
            </w:pPr>
            <w:r>
              <w:t>与市区、乡镇的距离，是否位于人员集中生活区周边</w:t>
            </w:r>
          </w:p>
        </w:tc>
      </w:tr>
      <w:tr w14:paraId="27A3340A">
        <w:tblPrEx>
          <w:tblCellMar>
            <w:top w:w="0" w:type="dxa"/>
            <w:left w:w="108" w:type="dxa"/>
            <w:bottom w:w="0" w:type="dxa"/>
            <w:right w:w="108" w:type="dxa"/>
          </w:tblCellMar>
        </w:tblPrEx>
        <w:tc>
          <w:p w14:paraId="61DC43B7">
            <w:pPr>
              <w:pStyle w:val="24"/>
              <w:jc w:val="left"/>
            </w:pPr>
            <w:r>
              <w:t>③</w:t>
            </w:r>
          </w:p>
        </w:tc>
        <w:tc>
          <w:p w14:paraId="1CDE3505">
            <w:pPr>
              <w:pStyle w:val="24"/>
              <w:jc w:val="left"/>
            </w:pPr>
            <w:r>
              <w:t>土壤污染</w:t>
            </w:r>
          </w:p>
        </w:tc>
        <w:tc>
          <w:p w14:paraId="1483A9F7">
            <w:pPr>
              <w:pStyle w:val="24"/>
              <w:jc w:val="left"/>
            </w:pPr>
            <w:r>
              <w:t>开采是否导致土壤重金属污染</w:t>
            </w:r>
          </w:p>
        </w:tc>
        <w:tc>
          <w:p w14:paraId="2B82B15D">
            <w:pPr>
              <w:pStyle w:val="24"/>
              <w:jc w:val="left"/>
            </w:pPr>
            <w:r>
              <w:t>重金属污染等级</w:t>
            </w:r>
          </w:p>
        </w:tc>
      </w:tr>
      <w:tr w14:paraId="033FE9E3">
        <w:tblPrEx>
          <w:tblCellMar>
            <w:top w:w="0" w:type="dxa"/>
            <w:left w:w="108" w:type="dxa"/>
            <w:bottom w:w="0" w:type="dxa"/>
            <w:right w:w="108" w:type="dxa"/>
          </w:tblCellMar>
        </w:tblPrEx>
        <w:tc>
          <w:p w14:paraId="49BA8E01">
            <w:pPr>
              <w:pStyle w:val="24"/>
              <w:jc w:val="left"/>
            </w:pPr>
            <w:r>
              <w:t>④</w:t>
            </w:r>
          </w:p>
        </w:tc>
        <w:tc>
          <w:p w14:paraId="6BCC9155">
            <w:pPr>
              <w:pStyle w:val="24"/>
              <w:jc w:val="left"/>
            </w:pPr>
            <w:r>
              <w:t>地质环境</w:t>
            </w:r>
          </w:p>
        </w:tc>
        <w:tc>
          <w:p w14:paraId="0380FA32">
            <w:pPr>
              <w:pStyle w:val="24"/>
              <w:jc w:val="left"/>
            </w:pPr>
            <w:r>
              <w:t>地质灾害</w:t>
            </w:r>
          </w:p>
        </w:tc>
        <w:tc>
          <w:p w14:paraId="771969C2">
            <w:pPr>
              <w:pStyle w:val="24"/>
              <w:jc w:val="left"/>
            </w:pPr>
            <w:r>
              <w:t>地质灾害危害等级、是否存在威胁对象</w:t>
            </w:r>
          </w:p>
        </w:tc>
      </w:tr>
    </w:tbl>
    <w:p w14:paraId="5C188F61">
      <w:pPr>
        <w:pStyle w:val="3"/>
      </w:pPr>
      <w:r>
        <w:t>此外，论文评价流程中明确将”是否为耕地”作为约束条件之一（耕地不适宜自然恢复）。</w:t>
      </w:r>
    </w:p>
    <w:p w14:paraId="24675507">
      <w:pPr>
        <w:pStyle w:val="3"/>
      </w:pPr>
      <w:r>
        <w:rPr>
          <w:b/>
          <w:bCs/>
        </w:rPr>
        <w:t>判定逻辑</w:t>
      </w:r>
      <w:r>
        <w:t>：任一项限制性指标不满足，即直接判定为”人工辅助或生态重建”，不再进入后续定量评价。</w:t>
      </w:r>
    </w:p>
    <w:p w14:paraId="4CCBEE03">
      <w:pPr>
        <w:pStyle w:val="3"/>
      </w:pPr>
      <w:r>
        <w:rPr>
          <w:b/>
          <w:bCs/>
        </w:rPr>
        <w:t>需特别说明</w:t>
      </w:r>
      <w:r>
        <w:t>：论文明确”</w:t>
      </w:r>
      <w:r>
        <w:rPr>
          <w:b/>
          <w:bCs/>
        </w:rPr>
        <w:t>土壤污染状况同时作为限制性指标与评价指标</w:t>
      </w:r>
      <w:r>
        <w:t>”，即该指标既参与一票否决判定，又参与定量打分。系统在设计上须支持此类具有双重身份的指标。</w:t>
      </w:r>
    </w:p>
    <w:bookmarkEnd w:id="7"/>
    <w:p w14:paraId="69B15EA1">
      <w:pPr>
        <w:pStyle w:val="5"/>
      </w:pPr>
      <w:bookmarkStart w:id="8" w:name="评价指标体系与分单元权重"/>
      <w:r>
        <w:t>2.2 评价指标体系与分单元权重</w:t>
      </w:r>
    </w:p>
    <w:p w14:paraId="31DF30E9">
      <w:pPr>
        <w:pStyle w:val="23"/>
      </w:pPr>
      <w:r>
        <w:t>评价指标分为土壤指标、植被指标、地形指标三个一级指标，下设二级指标，部分二级指标下设三级指标。</w:t>
      </w:r>
    </w:p>
    <w:p w14:paraId="0E31D6A5">
      <w:pPr>
        <w:pStyle w:val="3"/>
      </w:pPr>
      <w:r>
        <w:rPr>
          <w:b/>
          <w:bCs/>
        </w:rPr>
        <w:t>关键特征：权重按微地质单元类型分别确定。</w:t>
      </w:r>
      <w:r>
        <w:t xml:space="preserve"> 论文明确”鉴于不同微地质单元自然恢复的影响因素具有差异性，划分岩质边坡、碎石土边坡、平台三类微地质单元开展独立评价，分别计算评价指标权重”，且权重由 </w:t>
      </w:r>
      <w:r>
        <w:rPr>
          <w:b/>
          <w:bCs/>
        </w:rPr>
        <w:t>10 位专家</w:t>
      </w:r>
      <w:r>
        <w:t>打分后经 AHP 方法计算获得。</w:t>
      </w:r>
    </w:p>
    <w:p w14:paraId="06170ADF">
      <w:pPr>
        <w:pStyle w:val="3"/>
      </w:pPr>
      <w:r>
        <w:t>各类微地质单元的权重结构如下：</w:t>
      </w:r>
    </w:p>
    <w:tbl>
      <w:tblPr>
        <w:tblStyle w:val="29"/>
        <w:tblW w:w="5000" w:type="pct"/>
        <w:tblInd w:w="0" w:type="dxa"/>
        <w:tblLayout w:type="fixed"/>
        <w:tblCellMar>
          <w:top w:w="0" w:type="dxa"/>
          <w:left w:w="108" w:type="dxa"/>
          <w:bottom w:w="0" w:type="dxa"/>
          <w:right w:w="108" w:type="dxa"/>
        </w:tblCellMar>
      </w:tblPr>
      <w:tblGrid>
        <w:gridCol w:w="2952"/>
        <w:gridCol w:w="2952"/>
        <w:gridCol w:w="2952"/>
      </w:tblGrid>
      <w:tr w14:paraId="0245AEB6">
        <w:tblPrEx>
          <w:tblCellMar>
            <w:top w:w="0" w:type="dxa"/>
            <w:left w:w="108" w:type="dxa"/>
            <w:bottom w:w="0" w:type="dxa"/>
            <w:right w:w="108" w:type="dxa"/>
          </w:tblCellMar>
        </w:tblPrEx>
        <w:trPr>
          <w:tblHeader/>
        </w:trPr>
        <w:tc>
          <w:p w14:paraId="6C4B88DD">
            <w:pPr>
              <w:pStyle w:val="24"/>
              <w:jc w:val="left"/>
            </w:pPr>
            <w:r>
              <w:t>微地质单元</w:t>
            </w:r>
          </w:p>
        </w:tc>
        <w:tc>
          <w:p w14:paraId="5DEC907A">
            <w:pPr>
              <w:pStyle w:val="24"/>
              <w:jc w:val="left"/>
            </w:pPr>
            <w:r>
              <w:t>一级指标权重</w:t>
            </w:r>
          </w:p>
        </w:tc>
        <w:tc>
          <w:p w14:paraId="0DC07F9F">
            <w:pPr>
              <w:pStyle w:val="24"/>
              <w:jc w:val="left"/>
            </w:pPr>
            <w:r>
              <w:t>二级指标权重</w:t>
            </w:r>
          </w:p>
        </w:tc>
      </w:tr>
      <w:tr w14:paraId="2A21B085">
        <w:tblPrEx>
          <w:tblCellMar>
            <w:top w:w="0" w:type="dxa"/>
            <w:left w:w="108" w:type="dxa"/>
            <w:bottom w:w="0" w:type="dxa"/>
            <w:right w:w="108" w:type="dxa"/>
          </w:tblCellMar>
        </w:tblPrEx>
        <w:tc>
          <w:p w14:paraId="005F096B">
            <w:pPr>
              <w:pStyle w:val="24"/>
              <w:jc w:val="left"/>
            </w:pPr>
            <w:r>
              <w:rPr>
                <w:b/>
                <w:bCs/>
              </w:rPr>
              <w:t>岩质边坡</w:t>
            </w:r>
          </w:p>
        </w:tc>
        <w:tc>
          <w:p w14:paraId="61F6DF23">
            <w:pPr>
              <w:pStyle w:val="24"/>
              <w:jc w:val="left"/>
            </w:pPr>
            <w:r>
              <w:t>植被指标 0.45、地形指标 0.55（不设土壤指标）</w:t>
            </w:r>
          </w:p>
        </w:tc>
        <w:tc>
          <w:p w14:paraId="47B7AE24">
            <w:pPr>
              <w:pStyle w:val="24"/>
              <w:jc w:val="left"/>
            </w:pPr>
            <w:r>
              <w:t>植被：覆盖度 0.67、生物多样性 0.33；地形：坡度 0.64、坡向 0.36</w:t>
            </w:r>
          </w:p>
        </w:tc>
      </w:tr>
      <w:tr w14:paraId="19B38392">
        <w:tblPrEx>
          <w:tblCellMar>
            <w:top w:w="0" w:type="dxa"/>
            <w:left w:w="108" w:type="dxa"/>
            <w:bottom w:w="0" w:type="dxa"/>
            <w:right w:w="108" w:type="dxa"/>
          </w:tblCellMar>
        </w:tblPrEx>
        <w:tc>
          <w:p w14:paraId="45489568">
            <w:pPr>
              <w:pStyle w:val="24"/>
              <w:jc w:val="left"/>
            </w:pPr>
            <w:r>
              <w:rPr>
                <w:b/>
                <w:bCs/>
              </w:rPr>
              <w:t>碎石土边坡</w:t>
            </w:r>
          </w:p>
        </w:tc>
        <w:tc>
          <w:p w14:paraId="6262A7D8">
            <w:pPr>
              <w:pStyle w:val="24"/>
              <w:jc w:val="left"/>
            </w:pPr>
            <w:r>
              <w:t>土壤指标 0.44、植被指标 0.31、地形指标 0.25</w:t>
            </w:r>
          </w:p>
        </w:tc>
        <w:tc>
          <w:p w14:paraId="626478AB">
            <w:pPr>
              <w:pStyle w:val="24"/>
              <w:jc w:val="left"/>
            </w:pPr>
            <w:r>
              <w:t>土壤：土石比 0.25、土层厚度 0.25、pH 0.17、有机质 0.17、污染指标 0.17；植被：覆盖度 0.64、生物多样性 0.36；地形：坡度 0.67、坡向 0.33</w:t>
            </w:r>
          </w:p>
        </w:tc>
      </w:tr>
      <w:tr w14:paraId="05704B88">
        <w:tblPrEx>
          <w:tblCellMar>
            <w:top w:w="0" w:type="dxa"/>
            <w:left w:w="108" w:type="dxa"/>
            <w:bottom w:w="0" w:type="dxa"/>
            <w:right w:w="108" w:type="dxa"/>
          </w:tblCellMar>
        </w:tblPrEx>
        <w:tc>
          <w:p w14:paraId="49EEFA07">
            <w:pPr>
              <w:pStyle w:val="24"/>
              <w:jc w:val="left"/>
            </w:pPr>
            <w:r>
              <w:rPr>
                <w:b/>
                <w:bCs/>
              </w:rPr>
              <w:t>平台</w:t>
            </w:r>
          </w:p>
        </w:tc>
        <w:tc>
          <w:p w14:paraId="4C1E7304">
            <w:pPr>
              <w:pStyle w:val="24"/>
              <w:jc w:val="left"/>
            </w:pPr>
            <w:r>
              <w:t>土壤指标 0.54、植被指标 0.46（不设地形指标）</w:t>
            </w:r>
          </w:p>
        </w:tc>
        <w:tc>
          <w:p w14:paraId="6118FBFB">
            <w:pPr>
              <w:pStyle w:val="24"/>
              <w:jc w:val="left"/>
            </w:pPr>
            <w:r>
              <w:t>土壤：土石比 0.25、土层厚度 0.25、pH 0.17、有机质 0.17、污染指标 0.17；植被：覆盖度 0.61、生物多样性 0.39</w:t>
            </w:r>
          </w:p>
        </w:tc>
      </w:tr>
    </w:tbl>
    <w:p w14:paraId="6E3EE8E3">
      <w:pPr>
        <w:pStyle w:val="3"/>
      </w:pPr>
      <w:r>
        <w:t>其中污染指标下设 8 种重金属三级指标（As、Cd、Cr、Cu、Hg、Ni、Pb、Zn），因重要性相当，各占权重 0.125。</w:t>
      </w:r>
    </w:p>
    <w:p w14:paraId="0F9FF13D">
      <w:pPr>
        <w:pStyle w:val="3"/>
      </w:pPr>
      <w:r>
        <w:rPr>
          <w:b/>
          <w:bCs/>
        </w:rPr>
        <w:t>设计要点</w:t>
      </w:r>
      <w:r>
        <w:t>：不同微地质单元的</w:t>
      </w:r>
      <w:r>
        <w:rPr>
          <w:b/>
          <w:bCs/>
        </w:rPr>
        <w:t>指标启用集不同</w:t>
      </w:r>
      <w:r>
        <w:t>——岩质边坡不评价土壤指标，平台不评价地形指标。系统须按单元类型动态调整指标树与权重方案。</w:t>
      </w:r>
    </w:p>
    <w:bookmarkEnd w:id="8"/>
    <w:p w14:paraId="6DAF85F1">
      <w:pPr>
        <w:pStyle w:val="5"/>
      </w:pPr>
      <w:bookmarkStart w:id="9" w:name="指标标准化方法"/>
      <w:r>
        <w:t>2.3 指标标准化方法</w:t>
      </w:r>
    </w:p>
    <w:p w14:paraId="32AB64A7">
      <w:pPr>
        <w:pStyle w:val="23"/>
      </w:pPr>
      <w:r>
        <w:t>指标标准化统一采用极值标准化方法，按指标性质分为三类处理：</w:t>
      </w:r>
    </w:p>
    <w:tbl>
      <w:tblPr>
        <w:tblStyle w:val="29"/>
        <w:tblW w:w="5000" w:type="pct"/>
        <w:tblInd w:w="0" w:type="dxa"/>
        <w:tblLayout w:type="fixed"/>
        <w:tblCellMar>
          <w:top w:w="0" w:type="dxa"/>
          <w:left w:w="108" w:type="dxa"/>
          <w:bottom w:w="0" w:type="dxa"/>
          <w:right w:w="108" w:type="dxa"/>
        </w:tblCellMar>
      </w:tblPr>
      <w:tblGrid>
        <w:gridCol w:w="2952"/>
        <w:gridCol w:w="2952"/>
        <w:gridCol w:w="2952"/>
      </w:tblGrid>
      <w:tr w14:paraId="14724261">
        <w:tblPrEx>
          <w:tblCellMar>
            <w:top w:w="0" w:type="dxa"/>
            <w:left w:w="108" w:type="dxa"/>
            <w:bottom w:w="0" w:type="dxa"/>
            <w:right w:w="108" w:type="dxa"/>
          </w:tblCellMar>
        </w:tblPrEx>
        <w:trPr>
          <w:tblHeader/>
        </w:trPr>
        <w:tc>
          <w:p w14:paraId="27F67318">
            <w:pPr>
              <w:pStyle w:val="24"/>
              <w:jc w:val="left"/>
            </w:pPr>
            <w:r>
              <w:t>类型</w:t>
            </w:r>
          </w:p>
        </w:tc>
        <w:tc>
          <w:p w14:paraId="647DC450">
            <w:pPr>
              <w:pStyle w:val="24"/>
              <w:jc w:val="left"/>
            </w:pPr>
            <w:r>
              <w:t>适用指标</w:t>
            </w:r>
          </w:p>
        </w:tc>
        <w:tc>
          <w:p w14:paraId="7E99247D">
            <w:pPr>
              <w:pStyle w:val="24"/>
              <w:jc w:val="left"/>
            </w:pPr>
            <w:r>
              <w:t>处理方式</w:t>
            </w:r>
          </w:p>
        </w:tc>
      </w:tr>
      <w:tr w14:paraId="62D9187E">
        <w:tblPrEx>
          <w:tblCellMar>
            <w:top w:w="0" w:type="dxa"/>
            <w:left w:w="108" w:type="dxa"/>
            <w:bottom w:w="0" w:type="dxa"/>
            <w:right w:w="108" w:type="dxa"/>
          </w:tblCellMar>
        </w:tblPrEx>
        <w:tc>
          <w:p w14:paraId="12A844BA">
            <w:pPr>
              <w:pStyle w:val="24"/>
              <w:jc w:val="left"/>
            </w:pPr>
            <w:r>
              <w:t>越大越优</w:t>
            </w:r>
          </w:p>
        </w:tc>
        <w:tc>
          <w:p w14:paraId="2251B6CA">
            <w:pPr>
              <w:pStyle w:val="24"/>
              <w:jc w:val="left"/>
            </w:pPr>
            <w:r>
              <w:t>土石比、土层厚度、有机质、植被覆盖度、生物多样性</w:t>
            </w:r>
          </w:p>
        </w:tc>
        <w:tc>
          <w:p w14:paraId="6A40349C">
            <w:pPr>
              <w:pStyle w:val="24"/>
              <w:jc w:val="left"/>
            </w:pPr>
            <w:r>
              <w:t>按极值正向标准化</w:t>
            </w:r>
          </w:p>
        </w:tc>
      </w:tr>
      <w:tr w14:paraId="46869356">
        <w:tblPrEx>
          <w:tblCellMar>
            <w:top w:w="0" w:type="dxa"/>
            <w:left w:w="108" w:type="dxa"/>
            <w:bottom w:w="0" w:type="dxa"/>
            <w:right w:w="108" w:type="dxa"/>
          </w:tblCellMar>
        </w:tblPrEx>
        <w:tc>
          <w:p w14:paraId="29FA5F35">
            <w:pPr>
              <w:pStyle w:val="24"/>
              <w:jc w:val="left"/>
            </w:pPr>
            <w:r>
              <w:t>适中</w:t>
            </w:r>
          </w:p>
        </w:tc>
        <w:tc>
          <w:p w14:paraId="45D507CC">
            <w:pPr>
              <w:pStyle w:val="24"/>
              <w:jc w:val="left"/>
            </w:pPr>
            <w:r>
              <w:t>pH</w:t>
            </w:r>
          </w:p>
        </w:tc>
        <w:tc>
          <w:p w14:paraId="71B01351">
            <w:pPr>
              <w:pStyle w:val="24"/>
              <w:jc w:val="left"/>
            </w:pPr>
            <w:r>
              <w:t>按理想区间（5~9）标准化</w:t>
            </w:r>
          </w:p>
        </w:tc>
      </w:tr>
      <w:tr w14:paraId="7F1C738B">
        <w:tblPrEx>
          <w:tblCellMar>
            <w:top w:w="0" w:type="dxa"/>
            <w:left w:w="108" w:type="dxa"/>
            <w:bottom w:w="0" w:type="dxa"/>
            <w:right w:w="108" w:type="dxa"/>
          </w:tblCellMar>
        </w:tblPrEx>
        <w:tc>
          <w:p w14:paraId="2410CBA8">
            <w:pPr>
              <w:pStyle w:val="24"/>
              <w:jc w:val="left"/>
            </w:pPr>
            <w:r>
              <w:t>越小越优</w:t>
            </w:r>
          </w:p>
        </w:tc>
        <w:tc>
          <w:p w14:paraId="6185E0A6">
            <w:pPr>
              <w:pStyle w:val="24"/>
              <w:jc w:val="left"/>
            </w:pPr>
            <w:r>
              <w:t>重金属、坡度</w:t>
            </w:r>
          </w:p>
        </w:tc>
        <w:tc>
          <w:p w14:paraId="20127F74">
            <w:pPr>
              <w:pStyle w:val="24"/>
              <w:jc w:val="left"/>
            </w:pPr>
            <w:r>
              <w:t>按极值反向标准化</w:t>
            </w:r>
          </w:p>
        </w:tc>
      </w:tr>
      <w:tr w14:paraId="27DE03EE">
        <w:tblPrEx>
          <w:tblCellMar>
            <w:top w:w="0" w:type="dxa"/>
            <w:left w:w="108" w:type="dxa"/>
            <w:bottom w:w="0" w:type="dxa"/>
            <w:right w:w="108" w:type="dxa"/>
          </w:tblCellMar>
        </w:tblPrEx>
        <w:tc>
          <w:p w14:paraId="6174B391">
            <w:pPr>
              <w:pStyle w:val="24"/>
              <w:jc w:val="left"/>
            </w:pPr>
            <w:r>
              <w:t>离散赋值</w:t>
            </w:r>
          </w:p>
        </w:tc>
        <w:tc>
          <w:p w14:paraId="2E1D1178">
            <w:pPr>
              <w:pStyle w:val="24"/>
              <w:jc w:val="left"/>
            </w:pPr>
            <w:r>
              <w:t>坡向</w:t>
            </w:r>
          </w:p>
        </w:tc>
        <w:tc>
          <w:p w14:paraId="7D530A1A">
            <w:pPr>
              <w:pStyle w:val="24"/>
              <w:jc w:val="left"/>
            </w:pPr>
            <w:r>
              <w:t>阳坡 0.2、阴阳坡 0.6、阴坡 1.0</w:t>
            </w:r>
          </w:p>
        </w:tc>
      </w:tr>
    </w:tbl>
    <w:p w14:paraId="69E3A756">
      <w:pPr>
        <w:pStyle w:val="3"/>
      </w:pPr>
      <w:r>
        <w:rPr>
          <w:b/>
          <w:bCs/>
        </w:rPr>
        <w:t>理想极值取值依据</w:t>
      </w:r>
      <w:r>
        <w:t>（论文已逐项明确）：</w:t>
      </w:r>
    </w:p>
    <w:p w14:paraId="2FD0CB31">
      <w:pPr>
        <w:pStyle w:val="24"/>
        <w:numPr>
          <w:ilvl w:val="0"/>
          <w:numId w:val="1"/>
        </w:numPr>
      </w:pPr>
      <w:r>
        <w:t>土石比 0.8，土壤厚度 20 cm，pH 理想区间 5~9；</w:t>
      </w:r>
    </w:p>
    <w:p w14:paraId="13115A52">
      <w:pPr>
        <w:pStyle w:val="24"/>
        <w:numPr>
          <w:ilvl w:val="0"/>
          <w:numId w:val="1"/>
        </w:numPr>
      </w:pPr>
      <w:r>
        <w:t>有机质 30 g/kg（《全国第二次土壤普查养分等级划分标准》二等”较丰富”最低值）；</w:t>
      </w:r>
    </w:p>
    <w:p w14:paraId="06A4661E">
      <w:pPr>
        <w:pStyle w:val="24"/>
        <w:numPr>
          <w:ilvl w:val="0"/>
          <w:numId w:val="1"/>
        </w:numPr>
      </w:pPr>
      <w:r>
        <w:t>重金属上限（《绿化种植土壤》CJ/T 340—2016 土壤重金属含量 IV 级最高值）：Cd 2、Hg 2、Pb 530、Cr 400、As 45、Ni 220、Cu 600、Zn 800 mg/kg；</w:t>
      </w:r>
    </w:p>
    <w:p w14:paraId="6BD1596D">
      <w:pPr>
        <w:pStyle w:val="24"/>
        <w:numPr>
          <w:ilvl w:val="0"/>
          <w:numId w:val="1"/>
        </w:numPr>
      </w:pPr>
      <w:r>
        <w:t>植被覆盖度 75%、Shannon-Wiener 多样性指数 0.7（均参照生态系统确定）；</w:t>
      </w:r>
    </w:p>
    <w:p w14:paraId="56A1AD4E">
      <w:pPr>
        <w:pStyle w:val="24"/>
        <w:numPr>
          <w:ilvl w:val="0"/>
          <w:numId w:val="1"/>
        </w:numPr>
      </w:pPr>
      <w:r>
        <w:rPr>
          <w:b/>
          <w:bCs/>
        </w:rPr>
        <w:t>坡度以 25° 为重要分界</w:t>
      </w:r>
      <w:r>
        <w:t>（依据《新一轮退耕还林还草总体方案》发改西部〔2014〕1772 号文，坡度大于 25° 水土流失强烈，优先封育、自然恢复）。</w:t>
      </w:r>
    </w:p>
    <w:p w14:paraId="36BCE3ED">
      <w:pPr>
        <w:pStyle w:val="23"/>
      </w:pPr>
      <w:r>
        <w:t>上述极值在系统中全部可配置，以支撑论文提出的”不同区域水热条件、地形地貌差异显著，理想值取值需结合具体区域细化”这一后续研究方向。</w:t>
      </w:r>
    </w:p>
    <w:bookmarkEnd w:id="9"/>
    <w:p w14:paraId="2788F72D">
      <w:pPr>
        <w:pStyle w:val="5"/>
      </w:pPr>
      <w:bookmarkStart w:id="10" w:name="适宜性合成与等级判定"/>
      <w:r>
        <w:t>2.4 适宜性合成与等级判定</w:t>
      </w:r>
    </w:p>
    <w:p w14:paraId="683F51AF">
      <w:pPr>
        <w:pStyle w:val="23"/>
      </w:pPr>
      <w:r>
        <w:rPr>
          <w:b/>
          <w:bCs/>
        </w:rPr>
        <w:t>单个微地质单元评价因子</w:t>
      </w:r>
      <w:r>
        <w:t>：由该单元类型对应的一级指标权重与二级指标标准化值加权求得。</w:t>
      </w:r>
    </w:p>
    <w:p w14:paraId="692739E0">
      <w:pPr>
        <w:pStyle w:val="3"/>
      </w:pPr>
      <w:r>
        <w:rPr>
          <w:b/>
          <w:bCs/>
        </w:rPr>
        <w:t>整个矿山评价因子</w:t>
      </w:r>
      <w:r>
        <w:t>：由各微地质单元评价因子按面积占比加权求和：</w:t>
      </w:r>
    </w:p>
    <w:p w14:paraId="1F7CB88F">
      <w:pPr>
        <w:pStyle w:val="13"/>
      </w:pPr>
      <w:r>
        <w:rPr>
          <w:b/>
          <w:bCs/>
        </w:rPr>
        <w:t>F = Σ（Sᵢ × F′ᵢ）</w:t>
      </w:r>
    </w:p>
    <w:p w14:paraId="667B5ECF">
      <w:pPr>
        <w:pStyle w:val="23"/>
      </w:pPr>
      <w:r>
        <w:t>其中 Sᵢ 为第 i 类微地质单元面积占比，F′ᵢ 为该单元评价因子。</w:t>
      </w:r>
    </w:p>
    <w:p w14:paraId="2B818097">
      <w:pPr>
        <w:pStyle w:val="3"/>
      </w:pPr>
      <w:r>
        <w:rPr>
          <w:b/>
          <w:bCs/>
        </w:rPr>
        <w:t>适宜性等级判定</w:t>
      </w:r>
      <w:r>
        <w:t>：</w:t>
      </w:r>
    </w:p>
    <w:tbl>
      <w:tblPr>
        <w:tblStyle w:val="29"/>
        <w:tblW w:w="5000" w:type="pct"/>
        <w:tblInd w:w="0" w:type="dxa"/>
        <w:tblLayout w:type="fixed"/>
        <w:tblCellMar>
          <w:top w:w="0" w:type="dxa"/>
          <w:left w:w="108" w:type="dxa"/>
          <w:bottom w:w="0" w:type="dxa"/>
          <w:right w:w="108" w:type="dxa"/>
        </w:tblCellMar>
      </w:tblPr>
      <w:tblGrid>
        <w:gridCol w:w="2214"/>
        <w:gridCol w:w="2214"/>
        <w:gridCol w:w="2214"/>
        <w:gridCol w:w="2214"/>
      </w:tblGrid>
      <w:tr w14:paraId="729DCEA4">
        <w:tblPrEx>
          <w:tblCellMar>
            <w:top w:w="0" w:type="dxa"/>
            <w:left w:w="108" w:type="dxa"/>
            <w:bottom w:w="0" w:type="dxa"/>
            <w:right w:w="108" w:type="dxa"/>
          </w:tblCellMar>
        </w:tblPrEx>
        <w:trPr>
          <w:tblHeader/>
        </w:trPr>
        <w:tc>
          <w:p w14:paraId="260B163F">
            <w:pPr>
              <w:pStyle w:val="24"/>
              <w:jc w:val="left"/>
            </w:pPr>
            <w:r>
              <w:t>等级</w:t>
            </w:r>
          </w:p>
        </w:tc>
        <w:tc>
          <w:p w14:paraId="5C758148">
            <w:pPr>
              <w:pStyle w:val="24"/>
              <w:jc w:val="left"/>
            </w:pPr>
            <w:r>
              <w:t>适宜性</w:t>
            </w:r>
          </w:p>
        </w:tc>
        <w:tc>
          <w:p w14:paraId="5AE5F135">
            <w:pPr>
              <w:pStyle w:val="24"/>
              <w:jc w:val="left"/>
            </w:pPr>
            <w:r>
              <w:t>F 值区间</w:t>
            </w:r>
          </w:p>
        </w:tc>
        <w:tc>
          <w:p w14:paraId="413AE1B6">
            <w:pPr>
              <w:pStyle w:val="24"/>
              <w:jc w:val="left"/>
            </w:pPr>
            <w:r>
              <w:t>推荐措施</w:t>
            </w:r>
          </w:p>
        </w:tc>
      </w:tr>
      <w:tr w14:paraId="4D848505">
        <w:tblPrEx>
          <w:tblCellMar>
            <w:top w:w="0" w:type="dxa"/>
            <w:left w:w="108" w:type="dxa"/>
            <w:bottom w:w="0" w:type="dxa"/>
            <w:right w:w="108" w:type="dxa"/>
          </w:tblCellMar>
        </w:tblPrEx>
        <w:tc>
          <w:p w14:paraId="052B19F0">
            <w:pPr>
              <w:pStyle w:val="24"/>
              <w:jc w:val="left"/>
            </w:pPr>
            <w:r>
              <w:t>Ⅰ</w:t>
            </w:r>
          </w:p>
        </w:tc>
        <w:tc>
          <w:p w14:paraId="5B84F26D">
            <w:pPr>
              <w:pStyle w:val="24"/>
              <w:jc w:val="left"/>
            </w:pPr>
            <w:r>
              <w:t>不适宜</w:t>
            </w:r>
          </w:p>
        </w:tc>
        <w:tc>
          <w:p w14:paraId="78E199FC">
            <w:pPr>
              <w:pStyle w:val="24"/>
              <w:jc w:val="left"/>
            </w:pPr>
            <w:r>
              <w:t>F&lt;0.3</w:t>
            </w:r>
          </w:p>
        </w:tc>
        <w:tc>
          <w:p w14:paraId="7B9D394A">
            <w:pPr>
              <w:pStyle w:val="24"/>
              <w:jc w:val="left"/>
            </w:pPr>
            <w:r>
              <w:t>生态重建、人工辅助</w:t>
            </w:r>
          </w:p>
        </w:tc>
      </w:tr>
      <w:tr w14:paraId="5B96CC40">
        <w:tblPrEx>
          <w:tblCellMar>
            <w:top w:w="0" w:type="dxa"/>
            <w:left w:w="108" w:type="dxa"/>
            <w:bottom w:w="0" w:type="dxa"/>
            <w:right w:w="108" w:type="dxa"/>
          </w:tblCellMar>
        </w:tblPrEx>
        <w:tc>
          <w:p w14:paraId="605A6188">
            <w:pPr>
              <w:pStyle w:val="24"/>
              <w:jc w:val="left"/>
            </w:pPr>
            <w:r>
              <w:t>Ⅱ</w:t>
            </w:r>
          </w:p>
        </w:tc>
        <w:tc>
          <w:p w14:paraId="3A461F06">
            <w:pPr>
              <w:pStyle w:val="24"/>
              <w:jc w:val="left"/>
            </w:pPr>
            <w:r>
              <w:t>基本适宜</w:t>
            </w:r>
          </w:p>
        </w:tc>
        <w:tc>
          <w:p w14:paraId="204DEB59">
            <w:pPr>
              <w:pStyle w:val="24"/>
              <w:jc w:val="left"/>
            </w:pPr>
            <w:r>
              <w:t>0.3≤F≤0.7</w:t>
            </w:r>
          </w:p>
        </w:tc>
        <w:tc>
          <w:p w14:paraId="6B5B7FB2">
            <w:pPr>
              <w:pStyle w:val="24"/>
              <w:jc w:val="left"/>
            </w:pPr>
            <w:r>
              <w:t>自然恢复为主，可辅以封闭场地、少量补种补植、飞播等</w:t>
            </w:r>
          </w:p>
        </w:tc>
      </w:tr>
      <w:tr w14:paraId="70FCB530">
        <w:tblPrEx>
          <w:tblCellMar>
            <w:top w:w="0" w:type="dxa"/>
            <w:left w:w="108" w:type="dxa"/>
            <w:bottom w:w="0" w:type="dxa"/>
            <w:right w:w="108" w:type="dxa"/>
          </w:tblCellMar>
        </w:tblPrEx>
        <w:tc>
          <w:p w14:paraId="2095EA53">
            <w:pPr>
              <w:pStyle w:val="24"/>
              <w:jc w:val="left"/>
            </w:pPr>
            <w:r>
              <w:t>Ⅲ</w:t>
            </w:r>
          </w:p>
        </w:tc>
        <w:tc>
          <w:p w14:paraId="3A48F08C">
            <w:pPr>
              <w:pStyle w:val="24"/>
              <w:jc w:val="left"/>
            </w:pPr>
            <w:r>
              <w:t>适宜</w:t>
            </w:r>
          </w:p>
        </w:tc>
        <w:tc>
          <w:p w14:paraId="7158E2CD">
            <w:pPr>
              <w:pStyle w:val="24"/>
              <w:jc w:val="left"/>
            </w:pPr>
            <w:r>
              <w:t>F≥0.7</w:t>
            </w:r>
          </w:p>
        </w:tc>
        <w:tc>
          <w:p w14:paraId="0D7EE4E0">
            <w:pPr>
              <w:pStyle w:val="24"/>
              <w:jc w:val="left"/>
            </w:pPr>
            <w:r>
              <w:t>自然恢复</w:t>
            </w:r>
          </w:p>
        </w:tc>
      </w:tr>
      <w:bookmarkEnd w:id="10"/>
    </w:tbl>
    <w:p w14:paraId="42B45D7D">
      <w:pPr>
        <w:pStyle w:val="5"/>
      </w:pPr>
      <w:bookmarkStart w:id="11" w:name="典型验证案例数据"/>
      <w:r>
        <w:t>2.5 典型验证案例数据</w:t>
      </w:r>
    </w:p>
    <w:p w14:paraId="60823332">
      <w:pPr>
        <w:pStyle w:val="23"/>
      </w:pPr>
      <w:r>
        <w:t>论文以河北省唐山市玉田县孤树镇某历史遗留白云岩采石场为验证案例，图斑面积约 5.6 公顷，距乡镇约 6 公里，无地质灾害隐患点。三类微地质单元面积占比分别为：岩质边坡 13.86%、碎石边坡 62.95%、平台 23.19%。</w:t>
      </w:r>
    </w:p>
    <w:p w14:paraId="2EEB87D8">
      <w:pPr>
        <w:pStyle w:val="3"/>
      </w:pPr>
      <w:r>
        <w:t>论文表 5 给出了完整的实测指标数据（土壤理化性质、6 种重金属含量、植被覆盖度、Shannon-Wiener 多样性指数、坡度、坡向），以及三类微地质单元的得分（0.56、0.74、0.85）与最终得分 0.76。该案例数据将作为系统的内置演示案例，用于功能验证与操作演示。</w:t>
      </w:r>
    </w:p>
    <w:bookmarkEnd w:id="11"/>
    <w:p w14:paraId="0A1722A4">
      <w:pPr>
        <w:pStyle w:val="5"/>
      </w:pPr>
      <w:bookmarkStart w:id="12" w:name="标准与政策知识库"/>
      <w:r>
        <w:t>2.6 标准与政策知识库</w:t>
      </w:r>
    </w:p>
    <w:p w14:paraId="128997E2">
      <w:pPr>
        <w:pStyle w:val="23"/>
      </w:pPr>
      <w:r>
        <w:t xml:space="preserve">论文系统梳理了各省（自治区）已出台的地方标准与政策文件，共 </w:t>
      </w:r>
      <w:r>
        <w:rPr>
          <w:b/>
          <w:bCs/>
        </w:rPr>
        <w:t>11 项</w:t>
      </w:r>
      <w:r>
        <w:t>，构成本系统规则库的数据基础：</w:t>
      </w:r>
    </w:p>
    <w:p w14:paraId="16032029">
      <w:pPr>
        <w:pStyle w:val="3"/>
      </w:pPr>
      <w:r>
        <w:rPr>
          <w:b/>
          <w:bCs/>
        </w:rPr>
        <w:t>地方标准（5 项）</w:t>
      </w:r>
      <w:r>
        <w:t>：辽宁《矿山废弃地植被自然恢复技术规程》（DB21/T 3702—2023）、湖北《废弃露天矿山生态环境自然恢复标准》（DB42/T 2421—2025）、内蒙古《历史遗留废弃矿山自然恢复判定规范》（DB15/T 4280—2026）、江西《废弃矿山自然恢复技术规范》（DB36/T 2221—2026）、宁夏《矿山自然恢复认定规程》（2026 年 6 月挂网征求意见）。</w:t>
      </w:r>
    </w:p>
    <w:p w14:paraId="0CF07A73">
      <w:pPr>
        <w:pStyle w:val="3"/>
      </w:pPr>
      <w:r>
        <w:rPr>
          <w:b/>
          <w:bCs/>
        </w:rPr>
        <w:t>政策文件（6 项）</w:t>
      </w:r>
      <w:r>
        <w:t>：安徽（皖自然资修函〔2020〕34 号）、山东（鲁自然资字〔2022〕104 号）、湖南（湘自资办发〔2023〕58 号）、新疆（新自然资源办函〔2024〕219 号）、广西（桂自然资办〔2024〕250 号）、西藏（藏自然资发〔2025〕19 号）。</w:t>
      </w:r>
    </w:p>
    <w:p w14:paraId="39430776">
      <w:pPr>
        <w:pStyle w:val="3"/>
      </w:pPr>
      <w:r>
        <w:t>其中宁夏标准采用分区差异化思路（划分三个一级生态修复分区及 22 个二级分区，按分区确定参照生态系统），新疆标准针对荒漠区设置了简化判定条件，西藏标准将”修复成本高、生态修复效益不显著”列为自然恢复适用条件，均具有较高的规则化价值。</w:t>
      </w:r>
    </w:p>
    <w:p w14:paraId="698A1870">
      <w:r>
        <w:pict>
          <v:rect id="_x0000_i1028" o:spt="1" style="height:1.5pt;width:0pt;" coordsize="21600,21600" o:hr="t" o:hrstd="t" o:hralign="center">
            <v:path/>
            <v:fill focussize="0,0"/>
            <v:stroke/>
            <v:imagedata o:title=""/>
            <o:lock v:ext="edit"/>
            <w10:wrap type="none"/>
            <w10:anchorlock/>
          </v:rect>
        </w:pict>
      </w:r>
    </w:p>
    <w:bookmarkEnd w:id="6"/>
    <w:bookmarkEnd w:id="12"/>
    <w:p w14:paraId="7B2CDDD3">
      <w:pPr>
        <w:pStyle w:val="4"/>
      </w:pPr>
      <w:bookmarkStart w:id="13" w:name="三系统总体设计"/>
      <w:r>
        <w:t>三、系统总体设计</w:t>
      </w:r>
    </w:p>
    <w:p w14:paraId="7427AA28">
      <w:pPr>
        <w:pStyle w:val="5"/>
      </w:pPr>
      <w:bookmarkStart w:id="14" w:name="建设目标"/>
      <w:r>
        <w:t>3.1 建设目标</w:t>
      </w:r>
    </w:p>
    <w:p w14:paraId="0075B05B">
      <w:pPr>
        <w:pStyle w:val="23"/>
      </w:pPr>
      <w:r>
        <w:t>建成一套面向历史遗留废弃矿山自然恢复适宜性评价的专用软件系统，实现以下目标：</w:t>
      </w:r>
    </w:p>
    <w:p w14:paraId="15EC84BA">
      <w:pPr>
        <w:pStyle w:val="24"/>
        <w:numPr>
          <w:ilvl w:val="0"/>
          <w:numId w:val="2"/>
        </w:numPr>
      </w:pPr>
      <w:r>
        <w:rPr>
          <w:b/>
          <w:bCs/>
        </w:rPr>
        <w:t>评价流程全覆盖</w:t>
      </w:r>
      <w:r>
        <w:t>：从基础档案建立、限制性条件判定、微地质单元划分、指标数据采集，到权重计算、定量评价、等级判定、报告输出的完整闭环；</w:t>
      </w:r>
    </w:p>
    <w:p w14:paraId="5DA8B83C">
      <w:pPr>
        <w:pStyle w:val="24"/>
        <w:numPr>
          <w:ilvl w:val="0"/>
          <w:numId w:val="2"/>
        </w:numPr>
      </w:pPr>
      <w:r>
        <w:rPr>
          <w:b/>
          <w:bCs/>
        </w:rPr>
        <w:t>计算自动化与可追溯</w:t>
      </w:r>
      <w:r>
        <w:t>：AHP 权重计算、一致性检验、指标标准化、面积加权合成、等级判定全部自动完成，每一步计算过程可查询、可复算；</w:t>
      </w:r>
    </w:p>
    <w:p w14:paraId="6AAB6EF1">
      <w:pPr>
        <w:pStyle w:val="24"/>
        <w:numPr>
          <w:ilvl w:val="0"/>
          <w:numId w:val="2"/>
        </w:numPr>
      </w:pPr>
      <w:r>
        <w:rPr>
          <w:b/>
          <w:bCs/>
        </w:rPr>
        <w:t>标准规则化</w:t>
      </w:r>
      <w:r>
        <w:t>：将 11 项地方标准与政策文件结构化为可执行规则，支持多省份判定口径自动比对；</w:t>
      </w:r>
    </w:p>
    <w:p w14:paraId="6D502581">
      <w:pPr>
        <w:pStyle w:val="24"/>
        <w:numPr>
          <w:ilvl w:val="0"/>
          <w:numId w:val="2"/>
        </w:numPr>
      </w:pPr>
      <w:r>
        <w:rPr>
          <w:b/>
          <w:bCs/>
        </w:rPr>
        <w:t>结果可视化</w:t>
      </w:r>
      <w:r>
        <w:t>：以图表形式呈现权重结构、指标得分、单元对比与最终等级；</w:t>
      </w:r>
    </w:p>
    <w:p w14:paraId="0D530E5C">
      <w:pPr>
        <w:pStyle w:val="24"/>
        <w:numPr>
          <w:ilvl w:val="0"/>
          <w:numId w:val="2"/>
        </w:numPr>
      </w:pPr>
      <w:r>
        <w:rPr>
          <w:b/>
          <w:bCs/>
        </w:rPr>
        <w:t>成果可复用</w:t>
      </w:r>
      <w:r>
        <w:t>：评价方案、权重方案、标准规则与案例数据可沉淀复用，支持多项目并行管理。</w:t>
      </w:r>
    </w:p>
    <w:bookmarkEnd w:id="14"/>
    <w:p w14:paraId="4E395D72">
      <w:pPr>
        <w:pStyle w:val="5"/>
      </w:pPr>
      <w:bookmarkStart w:id="15" w:name="功能模块设计"/>
      <w:r>
        <w:t>3.2 功能模块设计</w:t>
      </w:r>
    </w:p>
    <w:p w14:paraId="17826149">
      <w:pPr>
        <w:pStyle w:val="23"/>
      </w:pPr>
      <w:r>
        <w:t xml:space="preserve">系统共设计 </w:t>
      </w:r>
      <w:r>
        <w:rPr>
          <w:b/>
          <w:bCs/>
        </w:rPr>
        <w:t>10 个功能模块</w:t>
      </w:r>
      <w:r>
        <w:t>：</w:t>
      </w:r>
    </w:p>
    <w:tbl>
      <w:tblPr>
        <w:tblStyle w:val="29"/>
        <w:tblW w:w="5000" w:type="pct"/>
        <w:tblInd w:w="0" w:type="dxa"/>
        <w:tblLayout w:type="fixed"/>
        <w:tblCellMar>
          <w:top w:w="0" w:type="dxa"/>
          <w:left w:w="108" w:type="dxa"/>
          <w:bottom w:w="0" w:type="dxa"/>
          <w:right w:w="108" w:type="dxa"/>
        </w:tblCellMar>
      </w:tblPr>
      <w:tblGrid>
        <w:gridCol w:w="2952"/>
        <w:gridCol w:w="2952"/>
        <w:gridCol w:w="2952"/>
      </w:tblGrid>
      <w:tr w14:paraId="69F12857">
        <w:tblPrEx>
          <w:tblCellMar>
            <w:top w:w="0" w:type="dxa"/>
            <w:left w:w="108" w:type="dxa"/>
            <w:bottom w:w="0" w:type="dxa"/>
            <w:right w:w="108" w:type="dxa"/>
          </w:tblCellMar>
        </w:tblPrEx>
        <w:trPr>
          <w:tblHeader/>
        </w:trPr>
        <w:tc>
          <w:p w14:paraId="54FE8786">
            <w:pPr>
              <w:pStyle w:val="24"/>
              <w:jc w:val="left"/>
            </w:pPr>
            <w:r>
              <w:t>模块</w:t>
            </w:r>
          </w:p>
        </w:tc>
        <w:tc>
          <w:p w14:paraId="444BFE18">
            <w:pPr>
              <w:pStyle w:val="24"/>
              <w:jc w:val="left"/>
            </w:pPr>
            <w:r>
              <w:t>名称</w:t>
            </w:r>
          </w:p>
        </w:tc>
        <w:tc>
          <w:p w14:paraId="0224BC6C">
            <w:pPr>
              <w:pStyle w:val="24"/>
              <w:jc w:val="left"/>
            </w:pPr>
            <w:r>
              <w:t>主要功能</w:t>
            </w:r>
          </w:p>
        </w:tc>
      </w:tr>
      <w:tr w14:paraId="73500BF1">
        <w:tblPrEx>
          <w:tblCellMar>
            <w:top w:w="0" w:type="dxa"/>
            <w:left w:w="108" w:type="dxa"/>
            <w:bottom w:w="0" w:type="dxa"/>
            <w:right w:w="108" w:type="dxa"/>
          </w:tblCellMar>
        </w:tblPrEx>
        <w:tc>
          <w:p w14:paraId="668759AF">
            <w:pPr>
              <w:pStyle w:val="24"/>
              <w:jc w:val="left"/>
            </w:pPr>
            <w:r>
              <w:t>M1</w:t>
            </w:r>
          </w:p>
        </w:tc>
        <w:tc>
          <w:p w14:paraId="44C9E970">
            <w:pPr>
              <w:pStyle w:val="24"/>
              <w:jc w:val="left"/>
            </w:pPr>
            <w:r>
              <w:t>用户与权限管理</w:t>
            </w:r>
          </w:p>
        </w:tc>
        <w:tc>
          <w:p w14:paraId="4459E5CF">
            <w:pPr>
              <w:pStyle w:val="24"/>
              <w:jc w:val="left"/>
            </w:pPr>
            <w:r>
              <w:t>用户登录、注销、用户管理、角色权限（管理员／评价员／查看者）、操作审计日志</w:t>
            </w:r>
          </w:p>
        </w:tc>
      </w:tr>
      <w:tr w14:paraId="24FA5255">
        <w:tblPrEx>
          <w:tblCellMar>
            <w:top w:w="0" w:type="dxa"/>
            <w:left w:w="108" w:type="dxa"/>
            <w:bottom w:w="0" w:type="dxa"/>
            <w:right w:w="108" w:type="dxa"/>
          </w:tblCellMar>
        </w:tblPrEx>
        <w:tc>
          <w:p w14:paraId="70498702">
            <w:pPr>
              <w:pStyle w:val="24"/>
              <w:jc w:val="left"/>
            </w:pPr>
            <w:r>
              <w:t>M2</w:t>
            </w:r>
          </w:p>
        </w:tc>
        <w:tc>
          <w:p w14:paraId="22B2A9BB">
            <w:pPr>
              <w:pStyle w:val="24"/>
              <w:jc w:val="left"/>
            </w:pPr>
            <w:r>
              <w:t>项目与矿山档案</w:t>
            </w:r>
          </w:p>
        </w:tc>
        <w:tc>
          <w:p w14:paraId="0D7BF745">
            <w:pPr>
              <w:pStyle w:val="24"/>
              <w:jc w:val="left"/>
            </w:pPr>
            <w:r>
              <w:t>项目管理、矿山图斑基础信息、遥感底图挂接、参照生态系统设置</w:t>
            </w:r>
          </w:p>
        </w:tc>
      </w:tr>
      <w:tr w14:paraId="2B7FE966">
        <w:tblPrEx>
          <w:tblCellMar>
            <w:top w:w="0" w:type="dxa"/>
            <w:left w:w="108" w:type="dxa"/>
            <w:bottom w:w="0" w:type="dxa"/>
            <w:right w:w="108" w:type="dxa"/>
          </w:tblCellMar>
        </w:tblPrEx>
        <w:tc>
          <w:p w14:paraId="72F2FC75">
            <w:pPr>
              <w:pStyle w:val="24"/>
              <w:jc w:val="left"/>
            </w:pPr>
            <w:r>
              <w:t>M3</w:t>
            </w:r>
          </w:p>
        </w:tc>
        <w:tc>
          <w:p w14:paraId="787C8137">
            <w:pPr>
              <w:pStyle w:val="24"/>
              <w:jc w:val="left"/>
            </w:pPr>
            <w:r>
              <w:t>政策与标准知识库</w:t>
            </w:r>
          </w:p>
        </w:tc>
        <w:tc>
          <w:p w14:paraId="45A3A7DA">
            <w:pPr>
              <w:pStyle w:val="24"/>
              <w:jc w:val="left"/>
            </w:pPr>
            <w:r>
              <w:t>11 项标准／政策文件的结构化存储、可执行规则维护、多省份判定口径比对</w:t>
            </w:r>
          </w:p>
        </w:tc>
      </w:tr>
      <w:tr w14:paraId="1CD1E331">
        <w:tblPrEx>
          <w:tblCellMar>
            <w:top w:w="0" w:type="dxa"/>
            <w:left w:w="108" w:type="dxa"/>
            <w:bottom w:w="0" w:type="dxa"/>
            <w:right w:w="108" w:type="dxa"/>
          </w:tblCellMar>
        </w:tblPrEx>
        <w:tc>
          <w:p w14:paraId="4DAC03CD">
            <w:pPr>
              <w:pStyle w:val="24"/>
              <w:jc w:val="left"/>
            </w:pPr>
            <w:r>
              <w:t>M4</w:t>
            </w:r>
          </w:p>
        </w:tc>
        <w:tc>
          <w:p w14:paraId="60EA4C09">
            <w:pPr>
              <w:pStyle w:val="24"/>
              <w:jc w:val="left"/>
            </w:pPr>
            <w:r>
              <w:t>限制性指标判定</w:t>
            </w:r>
          </w:p>
        </w:tc>
        <w:tc>
          <w:p w14:paraId="7CE3D288">
            <w:pPr>
              <w:pStyle w:val="24"/>
              <w:jc w:val="left"/>
            </w:pPr>
            <w:r>
              <w:t>政策、区位约束、土壤污染、地质灾害、耕地属性五项约束的一票否决判定</w:t>
            </w:r>
          </w:p>
        </w:tc>
      </w:tr>
      <w:tr w14:paraId="363BB4A6">
        <w:tblPrEx>
          <w:tblCellMar>
            <w:top w:w="0" w:type="dxa"/>
            <w:left w:w="108" w:type="dxa"/>
            <w:bottom w:w="0" w:type="dxa"/>
            <w:right w:w="108" w:type="dxa"/>
          </w:tblCellMar>
        </w:tblPrEx>
        <w:tc>
          <w:p w14:paraId="34C0C212">
            <w:pPr>
              <w:pStyle w:val="24"/>
              <w:jc w:val="left"/>
            </w:pPr>
            <w:r>
              <w:t>M5</w:t>
            </w:r>
          </w:p>
        </w:tc>
        <w:tc>
          <w:p w14:paraId="0DB2611A">
            <w:pPr>
              <w:pStyle w:val="24"/>
              <w:jc w:val="left"/>
            </w:pPr>
            <w:r>
              <w:t>微地质单元管理</w:t>
            </w:r>
          </w:p>
        </w:tc>
        <w:tc>
          <w:p w14:paraId="7B67005F">
            <w:pPr>
              <w:pStyle w:val="24"/>
              <w:jc w:val="left"/>
            </w:pPr>
            <w:r>
              <w:t>岩质边坡／碎石土边坡／平台三类单元的划分、面积录入与占比自动计算校验</w:t>
            </w:r>
          </w:p>
        </w:tc>
      </w:tr>
      <w:tr w14:paraId="6E32E8F1">
        <w:tblPrEx>
          <w:tblCellMar>
            <w:top w:w="0" w:type="dxa"/>
            <w:left w:w="108" w:type="dxa"/>
            <w:bottom w:w="0" w:type="dxa"/>
            <w:right w:w="108" w:type="dxa"/>
          </w:tblCellMar>
        </w:tblPrEx>
        <w:tc>
          <w:p w14:paraId="4966B062">
            <w:pPr>
              <w:pStyle w:val="24"/>
              <w:jc w:val="left"/>
            </w:pPr>
            <w:r>
              <w:t>M6</w:t>
            </w:r>
          </w:p>
        </w:tc>
        <w:tc>
          <w:p w14:paraId="78B2C47A">
            <w:pPr>
              <w:pStyle w:val="24"/>
              <w:jc w:val="left"/>
            </w:pPr>
            <w:r>
              <w:t>指标体系与 AHP 权重</w:t>
            </w:r>
          </w:p>
        </w:tc>
        <w:tc>
          <w:p w14:paraId="42078FB8">
            <w:pPr>
              <w:pStyle w:val="24"/>
              <w:jc w:val="left"/>
            </w:pPr>
            <w:r>
              <w:t>指标树维护、判断矩阵编辑、权重计算、一致性检验、多专家打分聚合、权重方案管理</w:t>
            </w:r>
          </w:p>
        </w:tc>
      </w:tr>
      <w:tr w14:paraId="223DFAFB">
        <w:tblPrEx>
          <w:tblCellMar>
            <w:top w:w="0" w:type="dxa"/>
            <w:left w:w="108" w:type="dxa"/>
            <w:bottom w:w="0" w:type="dxa"/>
            <w:right w:w="108" w:type="dxa"/>
          </w:tblCellMar>
        </w:tblPrEx>
        <w:tc>
          <w:p w14:paraId="66E3AFA8">
            <w:pPr>
              <w:pStyle w:val="24"/>
              <w:jc w:val="left"/>
            </w:pPr>
            <w:r>
              <w:t>M7</w:t>
            </w:r>
          </w:p>
        </w:tc>
        <w:tc>
          <w:p w14:paraId="28A67710">
            <w:pPr>
              <w:pStyle w:val="24"/>
              <w:jc w:val="left"/>
            </w:pPr>
            <w:r>
              <w:t>指标数据采集与管理</w:t>
            </w:r>
          </w:p>
        </w:tc>
        <w:tc>
          <w:p w14:paraId="0363960D">
            <w:pPr>
              <w:pStyle w:val="24"/>
              <w:jc w:val="left"/>
            </w:pPr>
            <w:r>
              <w:t>土壤、植被、地形、污染四类指标数据录入，批量导入，数据校验</w:t>
            </w:r>
          </w:p>
        </w:tc>
      </w:tr>
      <w:tr w14:paraId="532358F1">
        <w:tblPrEx>
          <w:tblCellMar>
            <w:top w:w="0" w:type="dxa"/>
            <w:left w:w="108" w:type="dxa"/>
            <w:bottom w:w="0" w:type="dxa"/>
            <w:right w:w="108" w:type="dxa"/>
          </w:tblCellMar>
        </w:tblPrEx>
        <w:tc>
          <w:p w14:paraId="1894D063">
            <w:pPr>
              <w:pStyle w:val="24"/>
              <w:jc w:val="left"/>
            </w:pPr>
            <w:r>
              <w:t>M8</w:t>
            </w:r>
          </w:p>
        </w:tc>
        <w:tc>
          <w:p w14:paraId="0D4A0E1B">
            <w:pPr>
              <w:pStyle w:val="24"/>
              <w:jc w:val="left"/>
            </w:pPr>
            <w:r>
              <w:t>适宜性定量评价引擎</w:t>
            </w:r>
          </w:p>
        </w:tc>
        <w:tc>
          <w:p w14:paraId="5F63B314">
            <w:pPr>
              <w:pStyle w:val="24"/>
              <w:jc w:val="left"/>
            </w:pPr>
            <w:r>
              <w:t>指标标准化、分单元赋分、面积加权合成、等级判定、参数敏感性分析</w:t>
            </w:r>
          </w:p>
        </w:tc>
      </w:tr>
      <w:tr w14:paraId="035D2429">
        <w:tblPrEx>
          <w:tblCellMar>
            <w:top w:w="0" w:type="dxa"/>
            <w:left w:w="108" w:type="dxa"/>
            <w:bottom w:w="0" w:type="dxa"/>
            <w:right w:w="108" w:type="dxa"/>
          </w:tblCellMar>
        </w:tblPrEx>
        <w:tc>
          <w:p w14:paraId="2F8B8CCE">
            <w:pPr>
              <w:pStyle w:val="24"/>
              <w:jc w:val="left"/>
            </w:pPr>
            <w:r>
              <w:t>M9</w:t>
            </w:r>
          </w:p>
        </w:tc>
        <w:tc>
          <w:p w14:paraId="5B625FB6">
            <w:pPr>
              <w:pStyle w:val="24"/>
              <w:jc w:val="left"/>
            </w:pPr>
            <w:r>
              <w:t>报告与结果输出</w:t>
            </w:r>
          </w:p>
        </w:tc>
        <w:tc>
          <w:p w14:paraId="1A7BD924">
            <w:pPr>
              <w:pStyle w:val="24"/>
              <w:jc w:val="left"/>
            </w:pPr>
            <w:r>
              <w:t>评价报告生成、得分明细展示、图表输出、结果导出</w:t>
            </w:r>
          </w:p>
        </w:tc>
      </w:tr>
      <w:tr w14:paraId="7B10AFF1">
        <w:tblPrEx>
          <w:tblCellMar>
            <w:top w:w="0" w:type="dxa"/>
            <w:left w:w="108" w:type="dxa"/>
            <w:bottom w:w="0" w:type="dxa"/>
            <w:right w:w="108" w:type="dxa"/>
          </w:tblCellMar>
        </w:tblPrEx>
        <w:tc>
          <w:p w14:paraId="2965C4C5">
            <w:pPr>
              <w:pStyle w:val="24"/>
              <w:jc w:val="left"/>
            </w:pPr>
            <w:r>
              <w:t>M10</w:t>
            </w:r>
          </w:p>
        </w:tc>
        <w:tc>
          <w:p w14:paraId="14A957E7">
            <w:pPr>
              <w:pStyle w:val="24"/>
              <w:jc w:val="left"/>
            </w:pPr>
            <w:r>
              <w:t>校准与偏差诊断</w:t>
            </w:r>
          </w:p>
        </w:tc>
        <w:tc>
          <w:p w14:paraId="5E3C8863">
            <w:pPr>
              <w:pStyle w:val="24"/>
              <w:jc w:val="left"/>
            </w:pPr>
            <w:r>
              <w:t>论文基准值比对、公式复现偏差自动定位、参数标定试验</w:t>
            </w:r>
          </w:p>
        </w:tc>
      </w:tr>
      <w:bookmarkEnd w:id="15"/>
    </w:tbl>
    <w:p w14:paraId="317A9EA9">
      <w:pPr>
        <w:pStyle w:val="5"/>
      </w:pPr>
      <w:bookmarkStart w:id="16" w:name="核心算法设计"/>
      <w:r>
        <w:t>3.3 核心算法设计</w:t>
      </w:r>
    </w:p>
    <w:p w14:paraId="461D43EA">
      <w:pPr>
        <w:pStyle w:val="23"/>
      </w:pPr>
      <w:r>
        <w:rPr>
          <w:b/>
          <w:bCs/>
        </w:rPr>
        <w:t>（1）AHP 权重计算模块（M6）</w:t>
      </w:r>
    </w:p>
    <w:p w14:paraId="0A51F5E9">
      <w:pPr>
        <w:pStyle w:val="3"/>
      </w:pPr>
      <w:r>
        <w:t>采用层次分析法，实现对一级指标和二级指标的分层定权：</w:t>
      </w:r>
    </w:p>
    <w:p w14:paraId="53CC855C">
      <w:pPr>
        <w:pStyle w:val="24"/>
        <w:numPr>
          <w:ilvl w:val="0"/>
          <w:numId w:val="1"/>
        </w:numPr>
      </w:pPr>
      <w:r>
        <w:rPr>
          <w:b/>
          <w:bCs/>
        </w:rPr>
        <w:t>判断矩阵构建</w:t>
      </w:r>
      <w:r>
        <w:t>：采用 1–9 标度法（1、3、5、7、9 分别表示同等重要、稍微重要、明显重要、强烈重要、极端重要，2、4、6、8 为相邻判断中间值），支持倒数自动填充与矩阵对称性校验；</w:t>
      </w:r>
    </w:p>
    <w:p w14:paraId="5BCA7A61">
      <w:pPr>
        <w:pStyle w:val="24"/>
        <w:numPr>
          <w:ilvl w:val="0"/>
          <w:numId w:val="1"/>
        </w:numPr>
      </w:pPr>
      <w:r>
        <w:rPr>
          <w:b/>
          <w:bCs/>
        </w:rPr>
        <w:t>权重计算</w:t>
      </w:r>
      <w:r>
        <w:t>：采用特征根法，依次计算判断矩阵每行元素乘积、n 次方根、归一化，得到各指标权重；</w:t>
      </w:r>
    </w:p>
    <w:p w14:paraId="02F0B444">
      <w:pPr>
        <w:pStyle w:val="24"/>
        <w:numPr>
          <w:ilvl w:val="0"/>
          <w:numId w:val="1"/>
        </w:numPr>
      </w:pPr>
      <w:r>
        <w:rPr>
          <w:b/>
          <w:bCs/>
        </w:rPr>
        <w:t>一致性检验</w:t>
      </w:r>
      <w:r>
        <w:t>：计算最大特征值 λmax、一致性指标 CI、一致性比例 CR（CR = CI/RI），当 CR&lt;0.1 时判定矩阵满足一致性要求；系统内置平均随机一致性指标 RI 查表值；</w:t>
      </w:r>
    </w:p>
    <w:p w14:paraId="0994D3C9">
      <w:pPr>
        <w:pStyle w:val="24"/>
        <w:numPr>
          <w:ilvl w:val="0"/>
          <w:numId w:val="1"/>
        </w:numPr>
      </w:pPr>
      <w:r>
        <w:rPr>
          <w:b/>
          <w:bCs/>
        </w:rPr>
        <w:t>不合格引导</w:t>
      </w:r>
      <w:r>
        <w:t>：当 CR≥0.1 时，系统自动定位并高亮最不一致的比较项，提示优先调整位置；</w:t>
      </w:r>
    </w:p>
    <w:p w14:paraId="4BB577DA">
      <w:pPr>
        <w:pStyle w:val="24"/>
        <w:numPr>
          <w:ilvl w:val="0"/>
          <w:numId w:val="1"/>
        </w:numPr>
      </w:pPr>
      <w:r>
        <w:rPr>
          <w:b/>
          <w:bCs/>
        </w:rPr>
        <w:t>群决策聚合</w:t>
      </w:r>
      <w:r>
        <w:t>：支持多位专家打分录入，提供几何平均、算术平均等聚合方式，并支持群决策一致性分析；</w:t>
      </w:r>
    </w:p>
    <w:p w14:paraId="12A0FFD4">
      <w:pPr>
        <w:pStyle w:val="24"/>
        <w:numPr>
          <w:ilvl w:val="0"/>
          <w:numId w:val="1"/>
        </w:numPr>
      </w:pPr>
      <w:r>
        <w:rPr>
          <w:b/>
          <w:bCs/>
        </w:rPr>
        <w:t>三级指标特殊规则</w:t>
      </w:r>
      <w:r>
        <w:t>：污染指标下的 8 种重金属按重要性相当处理，权重平均分配（各 0.125）；</w:t>
      </w:r>
    </w:p>
    <w:p w14:paraId="2BEEAE3B">
      <w:pPr>
        <w:pStyle w:val="24"/>
        <w:numPr>
          <w:ilvl w:val="0"/>
          <w:numId w:val="1"/>
        </w:numPr>
      </w:pPr>
      <w:r>
        <w:rPr>
          <w:b/>
          <w:bCs/>
        </w:rPr>
        <w:t>分单元权重方案</w:t>
      </w:r>
      <w:r>
        <w:t>：权重方案与微地质单元类型绑定，分别管理岩质边坡、碎石土边坡、平台三套权重，并支持方案的保存、另存、对比与版本留痕。</w:t>
      </w:r>
    </w:p>
    <w:p w14:paraId="09F47ED2">
      <w:pPr>
        <w:pStyle w:val="23"/>
      </w:pPr>
      <w:r>
        <w:rPr>
          <w:b/>
          <w:bCs/>
        </w:rPr>
        <w:t>（2）适宜性定量评价引擎（M8）</w:t>
      </w:r>
    </w:p>
    <w:p w14:paraId="2D825176">
      <w:pPr>
        <w:pStyle w:val="24"/>
        <w:numPr>
          <w:ilvl w:val="0"/>
          <w:numId w:val="1"/>
        </w:numPr>
      </w:pPr>
      <w:r>
        <w:t>按指标性质自动选择标准化算法（越大越优／适中／越小越优／离散赋值）；</w:t>
      </w:r>
    </w:p>
    <w:p w14:paraId="76EB04E3">
      <w:pPr>
        <w:pStyle w:val="24"/>
        <w:numPr>
          <w:ilvl w:val="0"/>
          <w:numId w:val="1"/>
        </w:numPr>
      </w:pPr>
      <w:r>
        <w:t>按微地质单元类型调用对应的权重方案与指标启用集；</w:t>
      </w:r>
    </w:p>
    <w:p w14:paraId="16C4CD92">
      <w:pPr>
        <w:pStyle w:val="24"/>
        <w:numPr>
          <w:ilvl w:val="0"/>
          <w:numId w:val="1"/>
        </w:numPr>
      </w:pPr>
      <w:r>
        <w:t>计算各微地质单元评价因子，再按面积占比加权合成整个矿山的评价因子 F；</w:t>
      </w:r>
    </w:p>
    <w:p w14:paraId="760EFC5C">
      <w:pPr>
        <w:pStyle w:val="24"/>
        <w:numPr>
          <w:ilvl w:val="0"/>
          <w:numId w:val="1"/>
        </w:numPr>
      </w:pPr>
      <w:r>
        <w:t>依据 F 值自动判定适宜性等级并给出推荐措施；</w:t>
      </w:r>
    </w:p>
    <w:p w14:paraId="22076F59">
      <w:pPr>
        <w:pStyle w:val="24"/>
        <w:numPr>
          <w:ilvl w:val="0"/>
          <w:numId w:val="1"/>
        </w:numPr>
      </w:pPr>
      <w:r>
        <w:t>提供参数敏感性分析，支持对权重与理想极值进行扰动试验，识别关键控制指标。</w:t>
      </w:r>
    </w:p>
    <w:p w14:paraId="7C93DA42">
      <w:pPr>
        <w:pStyle w:val="23"/>
      </w:pPr>
      <w:r>
        <w:rPr>
          <w:b/>
          <w:bCs/>
        </w:rPr>
        <w:t>（3）标准规则引擎（M3、M4）</w:t>
      </w:r>
    </w:p>
    <w:p w14:paraId="20430254">
      <w:pPr>
        <w:pStyle w:val="24"/>
        <w:numPr>
          <w:ilvl w:val="0"/>
          <w:numId w:val="1"/>
        </w:numPr>
      </w:pPr>
      <w:r>
        <w:t>将标准条文抽象为”判定项＋阈值＋比较符＋必要条件／充分条件”的结构化规则；</w:t>
      </w:r>
    </w:p>
    <w:p w14:paraId="6F65B6DB">
      <w:pPr>
        <w:pStyle w:val="24"/>
        <w:numPr>
          <w:ilvl w:val="0"/>
          <w:numId w:val="1"/>
        </w:numPr>
      </w:pPr>
      <w:r>
        <w:t>支持按省份、按矿种、按区域类型匹配适用的判定规则；</w:t>
      </w:r>
    </w:p>
    <w:p w14:paraId="61A8C80F">
      <w:pPr>
        <w:pStyle w:val="24"/>
        <w:numPr>
          <w:ilvl w:val="0"/>
          <w:numId w:val="1"/>
        </w:numPr>
      </w:pPr>
      <w:r>
        <w:t>支持同一指标在各省标准中的阈值差异自动列表比对，辅助评价人员理解口径差异。</w:t>
      </w:r>
    </w:p>
    <w:bookmarkEnd w:id="16"/>
    <w:p w14:paraId="12165571">
      <w:pPr>
        <w:pStyle w:val="5"/>
      </w:pPr>
      <w:bookmarkStart w:id="17" w:name="技术路线"/>
      <w:r>
        <w:t>3.4 技术路线</w:t>
      </w:r>
    </w:p>
    <w:tbl>
      <w:tblPr>
        <w:tblStyle w:val="29"/>
        <w:tblW w:w="5000" w:type="pct"/>
        <w:tblInd w:w="0" w:type="dxa"/>
        <w:tblLayout w:type="fixed"/>
        <w:tblCellMar>
          <w:top w:w="0" w:type="dxa"/>
          <w:left w:w="108" w:type="dxa"/>
          <w:bottom w:w="0" w:type="dxa"/>
          <w:right w:w="108" w:type="dxa"/>
        </w:tblCellMar>
      </w:tblPr>
      <w:tblGrid>
        <w:gridCol w:w="2952"/>
        <w:gridCol w:w="2952"/>
        <w:gridCol w:w="2952"/>
      </w:tblGrid>
      <w:tr w14:paraId="36041586">
        <w:tblPrEx>
          <w:tblCellMar>
            <w:top w:w="0" w:type="dxa"/>
            <w:left w:w="108" w:type="dxa"/>
            <w:bottom w:w="0" w:type="dxa"/>
            <w:right w:w="108" w:type="dxa"/>
          </w:tblCellMar>
        </w:tblPrEx>
        <w:trPr>
          <w:tblHeader/>
        </w:trPr>
        <w:tc>
          <w:p w14:paraId="04F57203">
            <w:pPr>
              <w:pStyle w:val="24"/>
              <w:jc w:val="left"/>
            </w:pPr>
            <w:r>
              <w:t>层次</w:t>
            </w:r>
          </w:p>
        </w:tc>
        <w:tc>
          <w:p w14:paraId="6048A66A">
            <w:pPr>
              <w:pStyle w:val="24"/>
              <w:jc w:val="left"/>
            </w:pPr>
            <w:r>
              <w:t>技术选型</w:t>
            </w:r>
          </w:p>
        </w:tc>
        <w:tc>
          <w:p w14:paraId="7FE8A143">
            <w:pPr>
              <w:pStyle w:val="24"/>
              <w:jc w:val="left"/>
            </w:pPr>
            <w:r>
              <w:t>选型说明</w:t>
            </w:r>
          </w:p>
        </w:tc>
      </w:tr>
      <w:tr w14:paraId="488A2EA2">
        <w:tblPrEx>
          <w:tblCellMar>
            <w:top w:w="0" w:type="dxa"/>
            <w:left w:w="108" w:type="dxa"/>
            <w:bottom w:w="0" w:type="dxa"/>
            <w:right w:w="108" w:type="dxa"/>
          </w:tblCellMar>
        </w:tblPrEx>
        <w:tc>
          <w:p w14:paraId="400E6961">
            <w:pPr>
              <w:pStyle w:val="24"/>
              <w:jc w:val="left"/>
            </w:pPr>
            <w:r>
              <w:t>开发语言</w:t>
            </w:r>
          </w:p>
        </w:tc>
        <w:tc>
          <w:p w14:paraId="2E244F20">
            <w:pPr>
              <w:pStyle w:val="24"/>
              <w:jc w:val="left"/>
            </w:pPr>
            <w:r>
              <w:t>Python 3.10+</w:t>
            </w:r>
          </w:p>
        </w:tc>
        <w:tc>
          <w:p w14:paraId="05FD56D9">
            <w:pPr>
              <w:pStyle w:val="24"/>
              <w:jc w:val="left"/>
            </w:pPr>
            <w:r>
              <w:t>系统核心为矩阵运算、数值标准化与加权合成，Python 在科学计算领域具备成熟生态，可直接调用数值计算库完成特征值求解，避免自行实现数值算法带来的精度与效率问题</w:t>
            </w:r>
          </w:p>
        </w:tc>
      </w:tr>
      <w:tr w14:paraId="58336C67">
        <w:tblPrEx>
          <w:tblCellMar>
            <w:top w:w="0" w:type="dxa"/>
            <w:left w:w="108" w:type="dxa"/>
            <w:bottom w:w="0" w:type="dxa"/>
            <w:right w:w="108" w:type="dxa"/>
          </w:tblCellMar>
        </w:tblPrEx>
        <w:tc>
          <w:p w14:paraId="1E298FAB">
            <w:pPr>
              <w:pStyle w:val="24"/>
              <w:jc w:val="left"/>
            </w:pPr>
            <w:r>
              <w:t>Web 框架</w:t>
            </w:r>
          </w:p>
        </w:tc>
        <w:tc>
          <w:p w14:paraId="3E048A47">
            <w:pPr>
              <w:pStyle w:val="24"/>
              <w:jc w:val="left"/>
            </w:pPr>
            <w:r>
              <w:t>Flask 3.x</w:t>
            </w:r>
          </w:p>
        </w:tc>
        <w:tc>
          <w:p w14:paraId="277DF826">
            <w:pPr>
              <w:pStyle w:val="24"/>
              <w:jc w:val="left"/>
            </w:pPr>
            <w:r>
              <w:t>轻量级框架，模块化清晰，便于按功能模块组织代码，与系统”评价流程分步推进”的业务特点契合</w:t>
            </w:r>
          </w:p>
        </w:tc>
      </w:tr>
      <w:tr w14:paraId="60D6085C">
        <w:tblPrEx>
          <w:tblCellMar>
            <w:top w:w="0" w:type="dxa"/>
            <w:left w:w="108" w:type="dxa"/>
            <w:bottom w:w="0" w:type="dxa"/>
            <w:right w:w="108" w:type="dxa"/>
          </w:tblCellMar>
        </w:tblPrEx>
        <w:tc>
          <w:p w14:paraId="218FBB1B">
            <w:pPr>
              <w:pStyle w:val="24"/>
              <w:jc w:val="left"/>
            </w:pPr>
            <w:r>
              <w:t>用户认证</w:t>
            </w:r>
          </w:p>
        </w:tc>
        <w:tc>
          <w:p w14:paraId="07B9E67A">
            <w:pPr>
              <w:pStyle w:val="24"/>
              <w:jc w:val="left"/>
            </w:pPr>
            <w:r>
              <w:t>Flask-Login、Flask-WTF</w:t>
            </w:r>
          </w:p>
        </w:tc>
        <w:tc>
          <w:p w14:paraId="54AEC89E">
            <w:pPr>
              <w:pStyle w:val="24"/>
              <w:jc w:val="left"/>
            </w:pPr>
            <w:r>
              <w:t>提供会话管理与表单安全校验（含 CSRF 防护）</w:t>
            </w:r>
          </w:p>
        </w:tc>
      </w:tr>
      <w:tr w14:paraId="6F206061">
        <w:tblPrEx>
          <w:tblCellMar>
            <w:top w:w="0" w:type="dxa"/>
            <w:left w:w="108" w:type="dxa"/>
            <w:bottom w:w="0" w:type="dxa"/>
            <w:right w:w="108" w:type="dxa"/>
          </w:tblCellMar>
        </w:tblPrEx>
        <w:tc>
          <w:p w14:paraId="53C5B07A">
            <w:pPr>
              <w:pStyle w:val="24"/>
              <w:jc w:val="left"/>
            </w:pPr>
            <w:r>
              <w:t>数据存储</w:t>
            </w:r>
          </w:p>
        </w:tc>
        <w:tc>
          <w:p w14:paraId="2E56D091">
            <w:pPr>
              <w:pStyle w:val="24"/>
              <w:jc w:val="left"/>
            </w:pPr>
            <w:r>
              <w:t>SQLAlchemy + SQLite</w:t>
            </w:r>
          </w:p>
        </w:tc>
        <w:tc>
          <w:p w14:paraId="63567E5E">
            <w:pPr>
              <w:pStyle w:val="24"/>
              <w:jc w:val="left"/>
            </w:pPr>
            <w:r>
              <w:t>系统面向野外现场调研与基层评价场景，SQLite 单文件数据库无需安装配置数据库服务，便于单机部署与数据携带</w:t>
            </w:r>
          </w:p>
        </w:tc>
      </w:tr>
      <w:tr w14:paraId="07264E3A">
        <w:tblPrEx>
          <w:tblCellMar>
            <w:top w:w="0" w:type="dxa"/>
            <w:left w:w="108" w:type="dxa"/>
            <w:bottom w:w="0" w:type="dxa"/>
            <w:right w:w="108" w:type="dxa"/>
          </w:tblCellMar>
        </w:tblPrEx>
        <w:tc>
          <w:p w14:paraId="75EDCB66">
            <w:pPr>
              <w:pStyle w:val="24"/>
              <w:jc w:val="left"/>
            </w:pPr>
            <w:r>
              <w:t>数值计算</w:t>
            </w:r>
          </w:p>
        </w:tc>
        <w:tc>
          <w:p w14:paraId="6CC7FF97">
            <w:pPr>
              <w:pStyle w:val="24"/>
              <w:jc w:val="left"/>
            </w:pPr>
            <w:r>
              <w:t>NumPy</w:t>
            </w:r>
          </w:p>
        </w:tc>
        <w:tc>
          <w:p w14:paraId="1AA87CB9">
            <w:pPr>
              <w:pStyle w:val="24"/>
              <w:jc w:val="left"/>
            </w:pPr>
            <w:r>
              <w:t>用于判断矩阵特征值求解、标准化计算与加权合成</w:t>
            </w:r>
          </w:p>
        </w:tc>
      </w:tr>
      <w:tr w14:paraId="2FFA0284">
        <w:tblPrEx>
          <w:tblCellMar>
            <w:top w:w="0" w:type="dxa"/>
            <w:left w:w="108" w:type="dxa"/>
            <w:bottom w:w="0" w:type="dxa"/>
            <w:right w:w="108" w:type="dxa"/>
          </w:tblCellMar>
        </w:tblPrEx>
        <w:tc>
          <w:p w14:paraId="39BF8344">
            <w:pPr>
              <w:pStyle w:val="24"/>
              <w:jc w:val="left"/>
            </w:pPr>
            <w:r>
              <w:t>数据导入导出</w:t>
            </w:r>
          </w:p>
        </w:tc>
        <w:tc>
          <w:p w14:paraId="38484327">
            <w:pPr>
              <w:pStyle w:val="24"/>
              <w:jc w:val="left"/>
            </w:pPr>
            <w:r>
              <w:t>pandas、openpyxl</w:t>
            </w:r>
          </w:p>
        </w:tc>
        <w:tc>
          <w:p w14:paraId="093F942F">
            <w:pPr>
              <w:pStyle w:val="24"/>
              <w:jc w:val="left"/>
            </w:pPr>
            <w:r>
              <w:t>支持评价指标数据的批量导入与结果导出</w:t>
            </w:r>
          </w:p>
        </w:tc>
      </w:tr>
      <w:tr w14:paraId="31D4F5B1">
        <w:tblPrEx>
          <w:tblCellMar>
            <w:top w:w="0" w:type="dxa"/>
            <w:left w:w="108" w:type="dxa"/>
            <w:bottom w:w="0" w:type="dxa"/>
            <w:right w:w="108" w:type="dxa"/>
          </w:tblCellMar>
        </w:tblPrEx>
        <w:tc>
          <w:p w14:paraId="16B10756">
            <w:pPr>
              <w:pStyle w:val="24"/>
              <w:jc w:val="left"/>
            </w:pPr>
            <w:r>
              <w:t>报告生成</w:t>
            </w:r>
          </w:p>
        </w:tc>
        <w:tc>
          <w:p w14:paraId="61B89647">
            <w:pPr>
              <w:pStyle w:val="24"/>
              <w:jc w:val="left"/>
            </w:pPr>
            <w:r>
              <w:t>python-docx、reportlab</w:t>
            </w:r>
          </w:p>
        </w:tc>
        <w:tc>
          <w:p w14:paraId="2A51A640">
            <w:pPr>
              <w:pStyle w:val="24"/>
              <w:jc w:val="left"/>
            </w:pPr>
            <w:r>
              <w:t>生成 Word／PDF 格式评价报告</w:t>
            </w:r>
          </w:p>
        </w:tc>
      </w:tr>
      <w:tr w14:paraId="5C2E5C70">
        <w:tblPrEx>
          <w:tblCellMar>
            <w:top w:w="0" w:type="dxa"/>
            <w:left w:w="108" w:type="dxa"/>
            <w:bottom w:w="0" w:type="dxa"/>
            <w:right w:w="108" w:type="dxa"/>
          </w:tblCellMar>
        </w:tblPrEx>
        <w:tc>
          <w:p w14:paraId="7A0FEFA3">
            <w:pPr>
              <w:pStyle w:val="24"/>
              <w:jc w:val="left"/>
            </w:pPr>
            <w:r>
              <w:t>前端界面</w:t>
            </w:r>
          </w:p>
        </w:tc>
        <w:tc>
          <w:p w14:paraId="3D102FAB">
            <w:pPr>
              <w:pStyle w:val="24"/>
              <w:jc w:val="left"/>
            </w:pPr>
            <w:r>
              <w:t>Jinja2 + Bootstrap 5 + 原生 JavaScript</w:t>
            </w:r>
          </w:p>
        </w:tc>
        <w:tc>
          <w:p w14:paraId="12A7AFDC">
            <w:pPr>
              <w:pStyle w:val="24"/>
              <w:jc w:val="left"/>
            </w:pPr>
            <w:r>
              <w:t>响应式界面，适配不同分辨率；图表采用 Canvas／SVG 自绘，不引入外部在线服务依赖</w:t>
            </w:r>
          </w:p>
        </w:tc>
      </w:tr>
    </w:tbl>
    <w:p w14:paraId="56B7D828">
      <w:pPr>
        <w:pStyle w:val="3"/>
      </w:pPr>
      <w:r>
        <w:rPr>
          <w:b/>
          <w:bCs/>
        </w:rPr>
        <w:t>关于第三方组件的说明</w:t>
      </w:r>
      <w:r>
        <w:t>：本系统在开发中使用 Flask、NumPy、Bootstrap 等第三方开源组件。上述组件按其开源许可证规范使用，不改变本系统自研部分的著作权归属。软件著作权登记提交的鉴别材料将仅包含本系统自研的业务逻辑与算法实现代码，不包含第三方组件源码。</w:t>
      </w:r>
    </w:p>
    <w:p w14:paraId="6030032C">
      <w:r>
        <w:pict>
          <v:rect id="_x0000_i1029" o:spt="1" style="height:1.5pt;width:0pt;" coordsize="21600,21600" o:hr="t" o:hrstd="t" o:hralign="center">
            <v:path/>
            <v:fill focussize="0,0"/>
            <v:stroke/>
            <v:imagedata o:title=""/>
            <o:lock v:ext="edit"/>
            <w10:wrap type="none"/>
            <w10:anchorlock/>
          </v:rect>
        </w:pict>
      </w:r>
    </w:p>
    <w:bookmarkEnd w:id="13"/>
    <w:bookmarkEnd w:id="17"/>
    <w:p w14:paraId="10850A51">
      <w:pPr>
        <w:pStyle w:val="4"/>
      </w:pPr>
      <w:bookmarkStart w:id="18" w:name="四软件著作权登记材料规划"/>
      <w:r>
        <w:t>四、软件著作权登记材料规划</w:t>
      </w:r>
    </w:p>
    <w:p w14:paraId="69383DCF">
      <w:pPr>
        <w:pStyle w:val="5"/>
      </w:pPr>
      <w:bookmarkStart w:id="19" w:name="形式要求"/>
      <w:r>
        <w:t>4.1 形式要求</w:t>
      </w:r>
    </w:p>
    <w:p w14:paraId="1D842948">
      <w:pPr>
        <w:pStyle w:val="23"/>
      </w:pPr>
      <w:r>
        <w:t>依据《计算机软件著作权登记办法》（2002 年国家版权局 1 号令）第十条及中国版权保护中心现行办事指南，登记材料的形式要求为：</w:t>
      </w:r>
    </w:p>
    <w:tbl>
      <w:tblPr>
        <w:tblStyle w:val="29"/>
        <w:tblW w:w="5000" w:type="pct"/>
        <w:tblInd w:w="0" w:type="dxa"/>
        <w:tblLayout w:type="fixed"/>
        <w:tblCellMar>
          <w:top w:w="0" w:type="dxa"/>
          <w:left w:w="108" w:type="dxa"/>
          <w:bottom w:w="0" w:type="dxa"/>
          <w:right w:w="108" w:type="dxa"/>
        </w:tblCellMar>
      </w:tblPr>
      <w:tblGrid>
        <w:gridCol w:w="4428"/>
        <w:gridCol w:w="4428"/>
      </w:tblGrid>
      <w:tr w14:paraId="38BC3106">
        <w:tblPrEx>
          <w:tblCellMar>
            <w:top w:w="0" w:type="dxa"/>
            <w:left w:w="108" w:type="dxa"/>
            <w:bottom w:w="0" w:type="dxa"/>
            <w:right w:w="108" w:type="dxa"/>
          </w:tblCellMar>
        </w:tblPrEx>
        <w:trPr>
          <w:tblHeader/>
        </w:trPr>
        <w:tc>
          <w:p w14:paraId="0DE918C1">
            <w:pPr>
              <w:pStyle w:val="24"/>
              <w:jc w:val="left"/>
            </w:pPr>
            <w:r>
              <w:t>事项</w:t>
            </w:r>
          </w:p>
        </w:tc>
        <w:tc>
          <w:p w14:paraId="388552C9">
            <w:pPr>
              <w:pStyle w:val="24"/>
              <w:jc w:val="left"/>
            </w:pPr>
            <w:r>
              <w:t>要求</w:t>
            </w:r>
          </w:p>
        </w:tc>
      </w:tr>
      <w:tr w14:paraId="33CA8A31">
        <w:tblPrEx>
          <w:tblCellMar>
            <w:top w:w="0" w:type="dxa"/>
            <w:left w:w="108" w:type="dxa"/>
            <w:bottom w:w="0" w:type="dxa"/>
            <w:right w:w="108" w:type="dxa"/>
          </w:tblCellMar>
        </w:tblPrEx>
        <w:tc>
          <w:p w14:paraId="3DD58FDF">
            <w:pPr>
              <w:pStyle w:val="24"/>
              <w:jc w:val="left"/>
            </w:pPr>
            <w:r>
              <w:t>鉴别材料构成</w:t>
            </w:r>
          </w:p>
        </w:tc>
        <w:tc>
          <w:p w14:paraId="1AB97095">
            <w:pPr>
              <w:pStyle w:val="24"/>
              <w:jc w:val="left"/>
            </w:pPr>
            <w:r>
              <w:t>源程序 + 任何一种文档，各取前、后连续 30 页（共 60 页）；不足 60 页的全部提交</w:t>
            </w:r>
          </w:p>
        </w:tc>
      </w:tr>
      <w:tr w14:paraId="1D8E777C">
        <w:tblPrEx>
          <w:tblCellMar>
            <w:top w:w="0" w:type="dxa"/>
            <w:left w:w="108" w:type="dxa"/>
            <w:bottom w:w="0" w:type="dxa"/>
            <w:right w:w="108" w:type="dxa"/>
          </w:tblCellMar>
        </w:tblPrEx>
        <w:tc>
          <w:p w14:paraId="61B5FD9C">
            <w:pPr>
              <w:pStyle w:val="24"/>
              <w:jc w:val="left"/>
            </w:pPr>
            <w:r>
              <w:t>每页行数</w:t>
            </w:r>
          </w:p>
        </w:tc>
        <w:tc>
          <w:p w14:paraId="6A8FE9CE">
            <w:pPr>
              <w:pStyle w:val="24"/>
              <w:jc w:val="left"/>
            </w:pPr>
            <w:r>
              <w:t>源程序每页不少于 50 行；文档每页不少于 30 行（图片页除外）</w:t>
            </w:r>
          </w:p>
        </w:tc>
      </w:tr>
      <w:tr w14:paraId="3199E8C1">
        <w:tblPrEx>
          <w:tblCellMar>
            <w:top w:w="0" w:type="dxa"/>
            <w:left w:w="108" w:type="dxa"/>
            <w:bottom w:w="0" w:type="dxa"/>
            <w:right w:w="108" w:type="dxa"/>
          </w:tblCellMar>
        </w:tblPrEx>
        <w:tc>
          <w:p w14:paraId="2DEA334D">
            <w:pPr>
              <w:pStyle w:val="24"/>
              <w:jc w:val="left"/>
            </w:pPr>
            <w:r>
              <w:t>页眉</w:t>
            </w:r>
          </w:p>
        </w:tc>
        <w:tc>
          <w:p w14:paraId="7B555AA1">
            <w:pPr>
              <w:pStyle w:val="24"/>
              <w:jc w:val="left"/>
            </w:pPr>
            <w:r>
              <w:t>标注软件名称与版本号，须与申请表填写内容完全一致</w:t>
            </w:r>
          </w:p>
        </w:tc>
      </w:tr>
      <w:tr w14:paraId="4287508C">
        <w:tblPrEx>
          <w:tblCellMar>
            <w:top w:w="0" w:type="dxa"/>
            <w:left w:w="108" w:type="dxa"/>
            <w:bottom w:w="0" w:type="dxa"/>
            <w:right w:w="108" w:type="dxa"/>
          </w:tblCellMar>
        </w:tblPrEx>
        <w:tc>
          <w:p w14:paraId="61255097">
            <w:pPr>
              <w:pStyle w:val="24"/>
              <w:jc w:val="left"/>
            </w:pPr>
            <w:r>
              <w:t>页码</w:t>
            </w:r>
          </w:p>
        </w:tc>
        <w:tc>
          <w:p w14:paraId="4FE370D6">
            <w:pPr>
              <w:pStyle w:val="24"/>
              <w:jc w:val="left"/>
            </w:pPr>
            <w:r>
              <w:t>标注于右上角，源程序自正文第 1 页编至第 60 页，文档自目录起编号</w:t>
            </w:r>
          </w:p>
        </w:tc>
      </w:tr>
      <w:tr w14:paraId="43F7BD72">
        <w:tblPrEx>
          <w:tblCellMar>
            <w:top w:w="0" w:type="dxa"/>
            <w:left w:w="108" w:type="dxa"/>
            <w:bottom w:w="0" w:type="dxa"/>
            <w:right w:w="108" w:type="dxa"/>
          </w:tblCellMar>
        </w:tblPrEx>
        <w:tc>
          <w:p w14:paraId="7072A099">
            <w:pPr>
              <w:pStyle w:val="24"/>
              <w:jc w:val="left"/>
            </w:pPr>
            <w:r>
              <w:t>源程序末页</w:t>
            </w:r>
          </w:p>
        </w:tc>
        <w:tc>
          <w:p w14:paraId="77D69A97">
            <w:pPr>
              <w:pStyle w:val="24"/>
              <w:jc w:val="left"/>
            </w:pPr>
            <w:r>
              <w:t>应为程序的结束页</w:t>
            </w:r>
          </w:p>
        </w:tc>
      </w:tr>
      <w:tr w14:paraId="214089D1">
        <w:tblPrEx>
          <w:tblCellMar>
            <w:top w:w="0" w:type="dxa"/>
            <w:left w:w="108" w:type="dxa"/>
            <w:bottom w:w="0" w:type="dxa"/>
            <w:right w:w="108" w:type="dxa"/>
          </w:tblCellMar>
        </w:tblPrEx>
        <w:tc>
          <w:p w14:paraId="0DB0122F">
            <w:pPr>
              <w:pStyle w:val="24"/>
              <w:jc w:val="left"/>
            </w:pPr>
            <w:r>
              <w:t>纸张与排版</w:t>
            </w:r>
          </w:p>
        </w:tc>
        <w:tc>
          <w:p w14:paraId="24F408A8">
            <w:pPr>
              <w:pStyle w:val="24"/>
              <w:jc w:val="left"/>
            </w:pPr>
            <w:r>
              <w:t>A4 纸、纵向、单面打印</w:t>
            </w:r>
          </w:p>
        </w:tc>
      </w:tr>
      <w:tr w14:paraId="72DD9F03">
        <w:tblPrEx>
          <w:tblCellMar>
            <w:top w:w="0" w:type="dxa"/>
            <w:left w:w="108" w:type="dxa"/>
            <w:bottom w:w="0" w:type="dxa"/>
            <w:right w:w="108" w:type="dxa"/>
          </w:tblCellMar>
        </w:tblPrEx>
        <w:tc>
          <w:p w14:paraId="46AB7923">
            <w:pPr>
              <w:pStyle w:val="24"/>
              <w:jc w:val="left"/>
            </w:pPr>
            <w:r>
              <w:t>申请表</w:t>
            </w:r>
          </w:p>
        </w:tc>
        <w:tc>
          <w:p w14:paraId="50C75675">
            <w:pPr>
              <w:pStyle w:val="24"/>
              <w:jc w:val="left"/>
            </w:pPr>
            <w:r>
              <w:t>使用现行版本（2026 年 3 月 15 日改版后的新版申请表），主要功能描述 500–1300 字</w:t>
            </w:r>
          </w:p>
        </w:tc>
      </w:tr>
      <w:bookmarkEnd w:id="19"/>
    </w:tbl>
    <w:p w14:paraId="0E10B309">
      <w:pPr>
        <w:pStyle w:val="5"/>
      </w:pPr>
      <w:bookmarkStart w:id="20" w:name="源程序规模规划"/>
      <w:r>
        <w:t>4.2 源程序规模规划</w:t>
      </w:r>
    </w:p>
    <w:p w14:paraId="1677B0FB">
      <w:pPr>
        <w:pStyle w:val="23"/>
      </w:pPr>
      <w:r>
        <w:t xml:space="preserve">按每页不少于 50 行、共 60 页计算，源程序有效代码规模目标为 </w:t>
      </w:r>
      <w:r>
        <w:rPr>
          <w:b/>
          <w:bCs/>
        </w:rPr>
        <w:t>3000～3600 行</w:t>
      </w:r>
      <w:r>
        <w:t>。各模块代码规模规划如下：</w:t>
      </w:r>
    </w:p>
    <w:tbl>
      <w:tblPr>
        <w:tblStyle w:val="29"/>
        <w:tblW w:w="5000" w:type="pct"/>
        <w:tblInd w:w="0" w:type="dxa"/>
        <w:tblLayout w:type="fixed"/>
        <w:tblCellMar>
          <w:top w:w="0" w:type="dxa"/>
          <w:left w:w="108" w:type="dxa"/>
          <w:bottom w:w="0" w:type="dxa"/>
          <w:right w:w="108" w:type="dxa"/>
        </w:tblCellMar>
      </w:tblPr>
      <w:tblGrid>
        <w:gridCol w:w="2952"/>
        <w:gridCol w:w="2952"/>
        <w:gridCol w:w="2952"/>
      </w:tblGrid>
      <w:tr w14:paraId="25817481">
        <w:tblPrEx>
          <w:tblCellMar>
            <w:top w:w="0" w:type="dxa"/>
            <w:left w:w="108" w:type="dxa"/>
            <w:bottom w:w="0" w:type="dxa"/>
            <w:right w:w="108" w:type="dxa"/>
          </w:tblCellMar>
        </w:tblPrEx>
        <w:trPr>
          <w:tblHeader/>
        </w:trPr>
        <w:tc>
          <w:p w14:paraId="17928624">
            <w:pPr>
              <w:pStyle w:val="24"/>
              <w:jc w:val="left"/>
            </w:pPr>
            <w:r>
              <w:t>代码组成</w:t>
            </w:r>
          </w:p>
        </w:tc>
        <w:tc>
          <w:p w14:paraId="36063CB5">
            <w:pPr>
              <w:pStyle w:val="24"/>
              <w:jc w:val="left"/>
            </w:pPr>
            <w:r>
              <w:t>主要文件</w:t>
            </w:r>
          </w:p>
        </w:tc>
        <w:tc>
          <w:p w14:paraId="2230EC2A">
            <w:pPr>
              <w:pStyle w:val="24"/>
              <w:jc w:val="left"/>
            </w:pPr>
            <w:r>
              <w:t>规划行数</w:t>
            </w:r>
          </w:p>
        </w:tc>
      </w:tr>
      <w:tr w14:paraId="494BEC29">
        <w:tblPrEx>
          <w:tblCellMar>
            <w:top w:w="0" w:type="dxa"/>
            <w:left w:w="108" w:type="dxa"/>
            <w:bottom w:w="0" w:type="dxa"/>
            <w:right w:w="108" w:type="dxa"/>
          </w:tblCellMar>
        </w:tblPrEx>
        <w:tc>
          <w:p w14:paraId="62A6F62C">
            <w:pPr>
              <w:pStyle w:val="24"/>
              <w:jc w:val="left"/>
            </w:pPr>
            <w:r>
              <w:t>AHP 权重引擎</w:t>
            </w:r>
          </w:p>
        </w:tc>
        <w:tc>
          <w:p w14:paraId="09E99E86">
            <w:pPr>
              <w:pStyle w:val="24"/>
              <w:jc w:val="left"/>
            </w:pPr>
            <w:r>
              <w:t>判断矩阵构建、特征值求解、一致性检验、偏差定位</w:t>
            </w:r>
          </w:p>
        </w:tc>
        <w:tc>
          <w:p w14:paraId="43D26C82">
            <w:pPr>
              <w:pStyle w:val="24"/>
              <w:jc w:val="left"/>
            </w:pPr>
            <w:r>
              <w:t>约 380 行</w:t>
            </w:r>
          </w:p>
        </w:tc>
      </w:tr>
      <w:tr w14:paraId="2F4AC569">
        <w:tblPrEx>
          <w:tblCellMar>
            <w:top w:w="0" w:type="dxa"/>
            <w:left w:w="108" w:type="dxa"/>
            <w:bottom w:w="0" w:type="dxa"/>
            <w:right w:w="108" w:type="dxa"/>
          </w:tblCellMar>
        </w:tblPrEx>
        <w:tc>
          <w:p w14:paraId="68AAE8BE">
            <w:pPr>
              <w:pStyle w:val="24"/>
              <w:jc w:val="left"/>
            </w:pPr>
            <w:r>
              <w:t>评价引擎</w:t>
            </w:r>
          </w:p>
        </w:tc>
        <w:tc>
          <w:p w14:paraId="64AAAB1F">
            <w:pPr>
              <w:pStyle w:val="24"/>
              <w:jc w:val="left"/>
            </w:pPr>
            <w:r>
              <w:t>标准化计算、分单元赋分、面积加权、等级判定、敏感性分析</w:t>
            </w:r>
          </w:p>
        </w:tc>
        <w:tc>
          <w:p w14:paraId="17D240BE">
            <w:pPr>
              <w:pStyle w:val="24"/>
              <w:jc w:val="left"/>
            </w:pPr>
            <w:r>
              <w:t>约 420 行</w:t>
            </w:r>
          </w:p>
        </w:tc>
      </w:tr>
      <w:tr w14:paraId="7309C7EE">
        <w:tblPrEx>
          <w:tblCellMar>
            <w:top w:w="0" w:type="dxa"/>
            <w:left w:w="108" w:type="dxa"/>
            <w:bottom w:w="0" w:type="dxa"/>
            <w:right w:w="108" w:type="dxa"/>
          </w:tblCellMar>
        </w:tblPrEx>
        <w:tc>
          <w:p w14:paraId="7EB99014">
            <w:pPr>
              <w:pStyle w:val="24"/>
              <w:jc w:val="left"/>
            </w:pPr>
            <w:r>
              <w:t>标准规则引擎</w:t>
            </w:r>
          </w:p>
        </w:tc>
        <w:tc>
          <w:p w14:paraId="6E8AA1FC">
            <w:pPr>
              <w:pStyle w:val="24"/>
              <w:jc w:val="left"/>
            </w:pPr>
            <w:r>
              <w:t>标准结构化、规则匹配、省际口径比对</w:t>
            </w:r>
          </w:p>
        </w:tc>
        <w:tc>
          <w:p w14:paraId="46634860">
            <w:pPr>
              <w:pStyle w:val="24"/>
              <w:jc w:val="left"/>
            </w:pPr>
            <w:r>
              <w:t>约 300 行</w:t>
            </w:r>
          </w:p>
        </w:tc>
      </w:tr>
      <w:tr w14:paraId="30F5FC19">
        <w:tblPrEx>
          <w:tblCellMar>
            <w:top w:w="0" w:type="dxa"/>
            <w:left w:w="108" w:type="dxa"/>
            <w:bottom w:w="0" w:type="dxa"/>
            <w:right w:w="108" w:type="dxa"/>
          </w:tblCellMar>
        </w:tblPrEx>
        <w:tc>
          <w:p w14:paraId="792A34B8">
            <w:pPr>
              <w:pStyle w:val="24"/>
              <w:jc w:val="left"/>
            </w:pPr>
            <w:r>
              <w:t>限制性判定</w:t>
            </w:r>
          </w:p>
        </w:tc>
        <w:tc>
          <w:p w14:paraId="632D0E26">
            <w:pPr>
              <w:pStyle w:val="24"/>
              <w:jc w:val="left"/>
            </w:pPr>
            <w:r>
              <w:t>五项约束条件判定逻辑</w:t>
            </w:r>
          </w:p>
        </w:tc>
        <w:tc>
          <w:p w14:paraId="446278C8">
            <w:pPr>
              <w:pStyle w:val="24"/>
              <w:jc w:val="left"/>
            </w:pPr>
            <w:r>
              <w:t>约 220 行</w:t>
            </w:r>
          </w:p>
        </w:tc>
      </w:tr>
      <w:tr w14:paraId="6B66F579">
        <w:tblPrEx>
          <w:tblCellMar>
            <w:top w:w="0" w:type="dxa"/>
            <w:left w:w="108" w:type="dxa"/>
            <w:bottom w:w="0" w:type="dxa"/>
            <w:right w:w="108" w:type="dxa"/>
          </w:tblCellMar>
        </w:tblPrEx>
        <w:tc>
          <w:p w14:paraId="36B8E51F">
            <w:pPr>
              <w:pStyle w:val="24"/>
              <w:jc w:val="left"/>
            </w:pPr>
            <w:r>
              <w:t>数据模型</w:t>
            </w:r>
          </w:p>
        </w:tc>
        <w:tc>
          <w:p w14:paraId="40196FCF">
            <w:pPr>
              <w:pStyle w:val="24"/>
              <w:jc w:val="left"/>
            </w:pPr>
            <w:r>
              <w:t>用户、项目、图斑、微地质单元、指标数据、权重方案、评价结果、标准规则等数据表</w:t>
            </w:r>
          </w:p>
        </w:tc>
        <w:tc>
          <w:p w14:paraId="02EB6A63">
            <w:pPr>
              <w:pStyle w:val="24"/>
              <w:jc w:val="left"/>
            </w:pPr>
            <w:r>
              <w:t>约 340 行</w:t>
            </w:r>
          </w:p>
        </w:tc>
      </w:tr>
      <w:tr w14:paraId="4FC69241">
        <w:tblPrEx>
          <w:tblCellMar>
            <w:top w:w="0" w:type="dxa"/>
            <w:left w:w="108" w:type="dxa"/>
            <w:bottom w:w="0" w:type="dxa"/>
            <w:right w:w="108" w:type="dxa"/>
          </w:tblCellMar>
        </w:tblPrEx>
        <w:tc>
          <w:p w14:paraId="742A17F4">
            <w:pPr>
              <w:pStyle w:val="24"/>
              <w:jc w:val="left"/>
            </w:pPr>
            <w:r>
              <w:t>表单与路由</w:t>
            </w:r>
          </w:p>
        </w:tc>
        <w:tc>
          <w:p w14:paraId="5F248F35">
            <w:pPr>
              <w:pStyle w:val="24"/>
              <w:jc w:val="left"/>
            </w:pPr>
            <w:r>
              <w:t>各功能模块的表单定义与请求处理</w:t>
            </w:r>
          </w:p>
        </w:tc>
        <w:tc>
          <w:p w14:paraId="542F2656">
            <w:pPr>
              <w:pStyle w:val="24"/>
              <w:jc w:val="left"/>
            </w:pPr>
            <w:r>
              <w:t>约 700 行</w:t>
            </w:r>
          </w:p>
        </w:tc>
      </w:tr>
      <w:tr w14:paraId="367E530F">
        <w:tblPrEx>
          <w:tblCellMar>
            <w:top w:w="0" w:type="dxa"/>
            <w:left w:w="108" w:type="dxa"/>
            <w:bottom w:w="0" w:type="dxa"/>
            <w:right w:w="108" w:type="dxa"/>
          </w:tblCellMar>
        </w:tblPrEx>
        <w:tc>
          <w:p w14:paraId="4C9E2B39">
            <w:pPr>
              <w:pStyle w:val="24"/>
              <w:jc w:val="left"/>
            </w:pPr>
            <w:r>
              <w:t>报告生成</w:t>
            </w:r>
          </w:p>
        </w:tc>
        <w:tc>
          <w:p w14:paraId="33F991B6">
            <w:pPr>
              <w:pStyle w:val="24"/>
              <w:jc w:val="left"/>
            </w:pPr>
            <w:r>
              <w:t>评价报告生成与图表数据组装</w:t>
            </w:r>
          </w:p>
        </w:tc>
        <w:tc>
          <w:p w14:paraId="450AA82A">
            <w:pPr>
              <w:pStyle w:val="24"/>
              <w:jc w:val="left"/>
            </w:pPr>
            <w:r>
              <w:t>约 280 行</w:t>
            </w:r>
          </w:p>
        </w:tc>
      </w:tr>
      <w:tr w14:paraId="220B29DF">
        <w:tblPrEx>
          <w:tblCellMar>
            <w:top w:w="0" w:type="dxa"/>
            <w:left w:w="108" w:type="dxa"/>
            <w:bottom w:w="0" w:type="dxa"/>
            <w:right w:w="108" w:type="dxa"/>
          </w:tblCellMar>
        </w:tblPrEx>
        <w:tc>
          <w:p w14:paraId="149848D5">
            <w:pPr>
              <w:pStyle w:val="24"/>
              <w:jc w:val="left"/>
            </w:pPr>
            <w:r>
              <w:t>校准诊断</w:t>
            </w:r>
          </w:p>
        </w:tc>
        <w:tc>
          <w:p w14:paraId="3C9FEB85">
            <w:pPr>
              <w:pStyle w:val="24"/>
              <w:jc w:val="left"/>
            </w:pPr>
            <w:r>
              <w:t>基准值比对与偏差定位</w:t>
            </w:r>
          </w:p>
        </w:tc>
        <w:tc>
          <w:p w14:paraId="0319BF73">
            <w:pPr>
              <w:pStyle w:val="24"/>
              <w:jc w:val="left"/>
            </w:pPr>
            <w:r>
              <w:t>约 200 行</w:t>
            </w:r>
          </w:p>
        </w:tc>
      </w:tr>
      <w:tr w14:paraId="6925D3F2">
        <w:tblPrEx>
          <w:tblCellMar>
            <w:top w:w="0" w:type="dxa"/>
            <w:left w:w="108" w:type="dxa"/>
            <w:bottom w:w="0" w:type="dxa"/>
            <w:right w:w="108" w:type="dxa"/>
          </w:tblCellMar>
        </w:tblPrEx>
        <w:tc>
          <w:p w14:paraId="1781575B">
            <w:pPr>
              <w:pStyle w:val="24"/>
              <w:jc w:val="left"/>
            </w:pPr>
            <w:r>
              <w:t>工具与常量</w:t>
            </w:r>
          </w:p>
        </w:tc>
        <w:tc>
          <w:p w14:paraId="53CCE435">
            <w:pPr>
              <w:pStyle w:val="24"/>
              <w:jc w:val="left"/>
            </w:pPr>
            <w:r>
              <w:t>理想极值常量表、RI 查表、数据校验器</w:t>
            </w:r>
          </w:p>
        </w:tc>
        <w:tc>
          <w:p w14:paraId="7947120C">
            <w:pPr>
              <w:pStyle w:val="24"/>
              <w:jc w:val="left"/>
            </w:pPr>
            <w:r>
              <w:t>约 200 行</w:t>
            </w:r>
          </w:p>
        </w:tc>
      </w:tr>
      <w:tr w14:paraId="72FF5CA8">
        <w:tblPrEx>
          <w:tblCellMar>
            <w:top w:w="0" w:type="dxa"/>
            <w:left w:w="108" w:type="dxa"/>
            <w:bottom w:w="0" w:type="dxa"/>
            <w:right w:w="108" w:type="dxa"/>
          </w:tblCellMar>
        </w:tblPrEx>
        <w:tc>
          <w:p w14:paraId="0C99D3C3">
            <w:pPr>
              <w:pStyle w:val="24"/>
              <w:jc w:val="left"/>
            </w:pPr>
            <w:r>
              <w:t>前端模板</w:t>
            </w:r>
          </w:p>
        </w:tc>
        <w:tc>
          <w:p w14:paraId="10B0BED5">
            <w:pPr>
              <w:pStyle w:val="24"/>
              <w:jc w:val="left"/>
            </w:pPr>
            <w:r>
              <w:t>各功能页面模板</w:t>
            </w:r>
          </w:p>
        </w:tc>
        <w:tc>
          <w:p w14:paraId="3EDD7FB5">
            <w:pPr>
              <w:pStyle w:val="24"/>
              <w:jc w:val="left"/>
            </w:pPr>
            <w:r>
              <w:t>约 500 行</w:t>
            </w:r>
          </w:p>
        </w:tc>
      </w:tr>
      <w:tr w14:paraId="3CFD993E">
        <w:tblPrEx>
          <w:tblCellMar>
            <w:top w:w="0" w:type="dxa"/>
            <w:left w:w="108" w:type="dxa"/>
            <w:bottom w:w="0" w:type="dxa"/>
            <w:right w:w="108" w:type="dxa"/>
          </w:tblCellMar>
        </w:tblPrEx>
        <w:tc>
          <w:p w14:paraId="33E8044A">
            <w:pPr>
              <w:pStyle w:val="24"/>
              <w:jc w:val="left"/>
            </w:pPr>
            <w:r>
              <w:rPr>
                <w:b/>
                <w:bCs/>
              </w:rPr>
              <w:t>合计</w:t>
            </w:r>
          </w:p>
        </w:tc>
        <w:tc>
          <w:p w14:paraId="62019BB7">
            <w:pPr>
              <w:pStyle w:val="24"/>
            </w:pPr>
          </w:p>
        </w:tc>
        <w:tc>
          <w:p w14:paraId="7E1FA29A">
            <w:pPr>
              <w:pStyle w:val="24"/>
              <w:jc w:val="left"/>
            </w:pPr>
            <w:r>
              <w:rPr>
                <w:b/>
                <w:bCs/>
              </w:rPr>
              <w:t>约 3540 行</w:t>
            </w:r>
          </w:p>
        </w:tc>
      </w:tr>
    </w:tbl>
    <w:p w14:paraId="74CAA000">
      <w:pPr>
        <w:pStyle w:val="3"/>
      </w:pPr>
      <w:r>
        <w:t>上述代码均对应论文中明确的算法公式或数据表格，不存在为达到规模要求而编写的冗余代码。</w:t>
      </w:r>
    </w:p>
    <w:bookmarkEnd w:id="20"/>
    <w:p w14:paraId="45748F23">
      <w:pPr>
        <w:pStyle w:val="5"/>
      </w:pPr>
      <w:bookmarkStart w:id="21" w:name="文档规划"/>
      <w:r>
        <w:t>4.3 文档规划</w:t>
      </w:r>
    </w:p>
    <w:p w14:paraId="024F1D5F">
      <w:pPr>
        <w:pStyle w:val="23"/>
      </w:pPr>
      <w:r>
        <w:t>提交《软件说明书（用户手册）》，规划 15～25 页，结构如下：</w:t>
      </w:r>
    </w:p>
    <w:p w14:paraId="43BEC3DE">
      <w:pPr>
        <w:pStyle w:val="37"/>
      </w:pPr>
      <w:r>
        <w:rPr>
          <w:rStyle w:val="36"/>
        </w:rPr>
        <w:t>封面（软件名称、版本号、文档名称）</w:t>
      </w:r>
      <w:r>
        <w:br w:type="textWrapping"/>
      </w:r>
      <w:r>
        <w:rPr>
          <w:rStyle w:val="36"/>
        </w:rPr>
        <w:t>目录</w:t>
      </w:r>
      <w:r>
        <w:br w:type="textWrapping"/>
      </w:r>
      <w:r>
        <w:rPr>
          <w:rStyle w:val="36"/>
        </w:rPr>
        <w:t>一、引言</w:t>
      </w:r>
      <w:r>
        <w:br w:type="textWrapping"/>
      </w:r>
      <w:r>
        <w:rPr>
          <w:rStyle w:val="36"/>
        </w:rPr>
        <w:t xml:space="preserve">    1.1 编写目的</w:t>
      </w:r>
      <w:r>
        <w:br w:type="textWrapping"/>
      </w:r>
      <w:r>
        <w:rPr>
          <w:rStyle w:val="36"/>
        </w:rPr>
        <w:t xml:space="preserve">    1.2 背景</w:t>
      </w:r>
      <w:r>
        <w:br w:type="textWrapping"/>
      </w:r>
      <w:r>
        <w:rPr>
          <w:rStyle w:val="36"/>
        </w:rPr>
        <w:t>二、系统介绍</w:t>
      </w:r>
      <w:r>
        <w:br w:type="textWrapping"/>
      </w:r>
      <w:r>
        <w:rPr>
          <w:rStyle w:val="36"/>
        </w:rPr>
        <w:t xml:space="preserve">    2.1 系统概述</w:t>
      </w:r>
      <w:r>
        <w:br w:type="textWrapping"/>
      </w:r>
      <w:r>
        <w:rPr>
          <w:rStyle w:val="36"/>
        </w:rPr>
        <w:t xml:space="preserve">    2.2 界面框架</w:t>
      </w:r>
      <w:r>
        <w:br w:type="textWrapping"/>
      </w:r>
      <w:r>
        <w:rPr>
          <w:rStyle w:val="36"/>
        </w:rPr>
        <w:t xml:space="preserve">    2.3 系统功能特点与技术特征</w:t>
      </w:r>
      <w:r>
        <w:br w:type="textWrapping"/>
      </w:r>
      <w:r>
        <w:rPr>
          <w:rStyle w:val="36"/>
        </w:rPr>
        <w:t>三、系统流程说明（各节配界面截图）</w:t>
      </w:r>
      <w:r>
        <w:br w:type="textWrapping"/>
      </w:r>
      <w:r>
        <w:rPr>
          <w:rStyle w:val="36"/>
        </w:rPr>
        <w:t xml:space="preserve">    3.1 登录</w:t>
      </w:r>
      <w:r>
        <w:br w:type="textWrapping"/>
      </w:r>
      <w:r>
        <w:rPr>
          <w:rStyle w:val="36"/>
        </w:rPr>
        <w:t xml:space="preserve">    3.2 项目管理与矿山档案</w:t>
      </w:r>
      <w:r>
        <w:br w:type="textWrapping"/>
      </w:r>
      <w:r>
        <w:rPr>
          <w:rStyle w:val="36"/>
        </w:rPr>
        <w:t xml:space="preserve">    3.3 参照生态系统设置</w:t>
      </w:r>
      <w:r>
        <w:br w:type="textWrapping"/>
      </w:r>
      <w:r>
        <w:rPr>
          <w:rStyle w:val="36"/>
        </w:rPr>
        <w:t xml:space="preserve">    3.4 政策与标准知识库</w:t>
      </w:r>
      <w:r>
        <w:br w:type="textWrapping"/>
      </w:r>
      <w:r>
        <w:rPr>
          <w:rStyle w:val="36"/>
        </w:rPr>
        <w:t xml:space="preserve">    3.5 限制性指标判定</w:t>
      </w:r>
      <w:r>
        <w:br w:type="textWrapping"/>
      </w:r>
      <w:r>
        <w:rPr>
          <w:rStyle w:val="36"/>
        </w:rPr>
        <w:t xml:space="preserve">    3.6 微地质单元划分</w:t>
      </w:r>
      <w:r>
        <w:br w:type="textWrapping"/>
      </w:r>
      <w:r>
        <w:rPr>
          <w:rStyle w:val="36"/>
        </w:rPr>
        <w:t xml:space="preserve">    3.7 指标体系与 AHP 权重计算</w:t>
      </w:r>
      <w:r>
        <w:br w:type="textWrapping"/>
      </w:r>
      <w:r>
        <w:rPr>
          <w:rStyle w:val="36"/>
        </w:rPr>
        <w:t xml:space="preserve">    3.8 指标数据采集</w:t>
      </w:r>
      <w:r>
        <w:br w:type="textWrapping"/>
      </w:r>
      <w:r>
        <w:rPr>
          <w:rStyle w:val="36"/>
        </w:rPr>
        <w:t xml:space="preserve">    3.9 适宜性定量评价</w:t>
      </w:r>
      <w:r>
        <w:br w:type="textWrapping"/>
      </w:r>
      <w:r>
        <w:rPr>
          <w:rStyle w:val="36"/>
        </w:rPr>
        <w:t xml:space="preserve">    3.10 报告与结果输出</w:t>
      </w:r>
      <w:r>
        <w:br w:type="textWrapping"/>
      </w:r>
      <w:r>
        <w:rPr>
          <w:rStyle w:val="36"/>
        </w:rPr>
        <w:t xml:space="preserve">    3.11 校准与偏差诊断</w:t>
      </w:r>
      <w:r>
        <w:br w:type="textWrapping"/>
      </w:r>
      <w:r>
        <w:rPr>
          <w:rStyle w:val="36"/>
        </w:rPr>
        <w:t xml:space="preserve">    3.12 退出</w:t>
      </w:r>
    </w:p>
    <w:p w14:paraId="3BA585D6">
      <w:pPr>
        <w:pStyle w:val="23"/>
      </w:pPr>
      <w:r>
        <w:t>文档须覆盖从登录到各主要功能模块的完整操作流程，并配以界面截图，确保文档描述的功能与源程序实现一一对应。</w:t>
      </w:r>
    </w:p>
    <w:p w14:paraId="71D315BA">
      <w:r>
        <w:pict>
          <v:rect id="_x0000_i1030" o:spt="1" style="height:1.5pt;width:0pt;" coordsize="21600,21600" o:hr="t" o:hrstd="t" o:hralign="center">
            <v:path/>
            <v:fill focussize="0,0"/>
            <v:stroke/>
            <v:imagedata o:title=""/>
            <o:lock v:ext="edit"/>
            <w10:wrap type="none"/>
            <w10:anchorlock/>
          </v:rect>
        </w:pict>
      </w:r>
    </w:p>
    <w:bookmarkEnd w:id="18"/>
    <w:bookmarkEnd w:id="21"/>
    <w:p w14:paraId="692C5BDA">
      <w:pPr>
        <w:pStyle w:val="4"/>
      </w:pPr>
      <w:bookmarkStart w:id="22" w:name="五需要说明的技术问题"/>
      <w:r>
        <w:t>五、需要说明的技术问题</w:t>
      </w:r>
    </w:p>
    <w:p w14:paraId="541CC2E1">
      <w:pPr>
        <w:pStyle w:val="23"/>
      </w:pPr>
      <w:r>
        <w:t>在梳理论文方法的过程中，发现论文中的计算公式与实际案例数值之间存在一处需要核实的问题，现予说明，以便项目组判断处理方式。</w:t>
      </w:r>
    </w:p>
    <w:p w14:paraId="650D14BD">
      <w:pPr>
        <w:pStyle w:val="5"/>
      </w:pPr>
      <w:bookmarkStart w:id="23" w:name="问题描述"/>
      <w:r>
        <w:t>5.1 问题描述</w:t>
      </w:r>
    </w:p>
    <w:p w14:paraId="3F0B782D">
      <w:pPr>
        <w:pStyle w:val="23"/>
      </w:pPr>
      <w:r>
        <w:t>论文第 5 节以玉田县案例数据完成验证，得到三类微地质单元得分分别为 0.56、0.74、0.85，最终得分 0.76。</w:t>
      </w:r>
    </w:p>
    <w:p w14:paraId="6E8B2800">
      <w:pPr>
        <w:pStyle w:val="3"/>
      </w:pPr>
      <w:r>
        <w:t>按论文明确的面积占比（岩质边坡 13.86%、碎石边坡 62.95%、平台 23.19%）进行加权验算：</w:t>
      </w:r>
    </w:p>
    <w:p w14:paraId="14CDFFEC">
      <w:pPr>
        <w:pStyle w:val="13"/>
      </w:pPr>
      <w:r>
        <w:t xml:space="preserve">0.56 × 13.86% + 0.74 × 62.95% + 0.85 × 23.19% = 0.0776 + 0.4658 + 0.1971 = </w:t>
      </w:r>
      <w:r>
        <w:rPr>
          <w:b/>
          <w:bCs/>
        </w:rPr>
        <w:t>0.7405 ≈ 0.74</w:t>
      </w:r>
    </w:p>
    <w:p w14:paraId="360D1397">
      <w:pPr>
        <w:pStyle w:val="23"/>
      </w:pPr>
      <w:r>
        <w:t>验算结果为 0.74，与论文所述 0.76 存在差异。</w:t>
      </w:r>
    </w:p>
    <w:p w14:paraId="6B09F137">
      <w:pPr>
        <w:pStyle w:val="3"/>
      </w:pPr>
      <w:r>
        <w:t>进一步按论文表 3 的权重与标准化方法逐项复算三类微地质单元得分，亦无法完全复现 0.56、0.74、0.85 三个数值。分析表明，差异主要出现在地形指标（坡度、坡向）的标准化环节：按论文所述”阳坡 0.2、阴阳坡 0.6、阴坡 1.0”的离散赋值与现行权重，反推所得的坡度分值与赋值区间不完全吻合。</w:t>
      </w:r>
    </w:p>
    <w:bookmarkEnd w:id="23"/>
    <w:p w14:paraId="5EEC8766">
      <w:pPr>
        <w:pStyle w:val="5"/>
      </w:pPr>
      <w:bookmarkStart w:id="24" w:name="可能原因"/>
      <w:r>
        <w:t>5.2 可能原因</w:t>
      </w:r>
    </w:p>
    <w:p w14:paraId="2CD91944">
      <w:pPr>
        <w:pStyle w:val="24"/>
        <w:numPr>
          <w:ilvl w:val="0"/>
          <w:numId w:val="3"/>
        </w:numPr>
      </w:pPr>
      <w:r>
        <w:t>论文正文对标准化方法的表述在修改过程中有所简化，实际计算采用了分段或非线性处理方式；</w:t>
      </w:r>
    </w:p>
    <w:p w14:paraId="7FEE07BB">
      <w:pPr>
        <w:pStyle w:val="24"/>
        <w:numPr>
          <w:ilvl w:val="0"/>
          <w:numId w:val="3"/>
        </w:numPr>
      </w:pPr>
      <w:r>
        <w:t>表 3 的权重为某一阶段的计算结果，后续调整后表格未同步更新；</w:t>
      </w:r>
    </w:p>
    <w:p w14:paraId="2D4A12AC">
      <w:pPr>
        <w:pStyle w:val="24"/>
        <w:numPr>
          <w:ilvl w:val="0"/>
          <w:numId w:val="3"/>
        </w:numPr>
      </w:pPr>
      <w:r>
        <w:t>表 5 的单元得分为专家打分与实测数据综合确定，并非完全由公式计算所得。</w:t>
      </w:r>
    </w:p>
    <w:bookmarkEnd w:id="24"/>
    <w:p w14:paraId="3C0AD1C1">
      <w:pPr>
        <w:pStyle w:val="5"/>
      </w:pPr>
      <w:bookmarkStart w:id="25" w:name="处理建议"/>
      <w:r>
        <w:t>5.3 处理建议</w:t>
      </w:r>
    </w:p>
    <w:p w14:paraId="120CA2CC">
      <w:pPr>
        <w:pStyle w:val="23"/>
      </w:pPr>
      <w:r>
        <w:rPr>
          <w:b/>
          <w:bCs/>
        </w:rPr>
        <w:t>建议在软件中采用”双轨”处理方式</w:t>
      </w:r>
      <w:r>
        <w:t>：</w:t>
      </w:r>
    </w:p>
    <w:p w14:paraId="54576268">
      <w:pPr>
        <w:pStyle w:val="24"/>
        <w:numPr>
          <w:ilvl w:val="0"/>
          <w:numId w:val="1"/>
        </w:numPr>
      </w:pPr>
      <w:r>
        <w:rPr>
          <w:b/>
          <w:bCs/>
        </w:rPr>
        <w:t>主计算通道</w:t>
      </w:r>
      <w:r>
        <w:t>：严格按论文明确的公式、权重与标准化方法实现，保证算法逻辑自洽、过程可复现；</w:t>
      </w:r>
    </w:p>
    <w:p w14:paraId="1A957FE9">
      <w:pPr>
        <w:pStyle w:val="24"/>
        <w:numPr>
          <w:ilvl w:val="0"/>
          <w:numId w:val="1"/>
        </w:numPr>
      </w:pPr>
      <w:r>
        <w:rPr>
          <w:b/>
          <w:bCs/>
        </w:rPr>
        <w:t>基准比对通道</w:t>
      </w:r>
      <w:r>
        <w:t>：将论文表 5 的单元得分与最终得分作为基准值存入系统，提供一键比对功能，并排展示”系统计算值”与”论文基准值”，同时自动定位偏差出现在权重层、标准化层还是合成层；</w:t>
      </w:r>
    </w:p>
    <w:p w14:paraId="2E8914E0">
      <w:pPr>
        <w:pStyle w:val="24"/>
        <w:numPr>
          <w:ilvl w:val="0"/>
          <w:numId w:val="1"/>
        </w:numPr>
      </w:pPr>
      <w:r>
        <w:rPr>
          <w:b/>
          <w:bCs/>
        </w:rPr>
        <w:t>参数标定功能</w:t>
      </w:r>
      <w:r>
        <w:t>：开放坡度分界、坡向赋值、理想极值等参数，支持反向标定试验，辅助定位论文公式与数值不一致的具体环节。</w:t>
      </w:r>
    </w:p>
    <w:p w14:paraId="14B0FCB0">
      <w:pPr>
        <w:pStyle w:val="23"/>
      </w:pPr>
      <w:r>
        <w:t>采用该方式有三方面考虑：一是保证软件的算法逻辑严谨、不因迁就特定数值而破坏方法体系；二是通过偏差诊断功能客观呈现差异，便于论文定稿前核实修正；三是该功能本身具有实用价值，可用于后续不同区域评价参数的本地化标定。</w:t>
      </w:r>
    </w:p>
    <w:p w14:paraId="5CDFA164">
      <w:pPr>
        <w:pStyle w:val="3"/>
      </w:pPr>
      <w:r>
        <w:rPr>
          <w:b/>
          <w:bCs/>
        </w:rPr>
        <w:t>建议项目组在论文定稿前对上述数值问题予以核实。</w:t>
      </w:r>
    </w:p>
    <w:p w14:paraId="1962F48C">
      <w:r>
        <w:pict>
          <v:rect id="_x0000_i1031" o:spt="1" style="height:1.5pt;width:0pt;" coordsize="21600,21600" o:hr="t" o:hrstd="t" o:hralign="center">
            <v:path/>
            <v:fill focussize="0,0"/>
            <v:stroke/>
            <v:imagedata o:title=""/>
            <o:lock v:ext="edit"/>
            <w10:wrap type="none"/>
            <w10:anchorlock/>
          </v:rect>
        </w:pict>
      </w:r>
    </w:p>
    <w:bookmarkEnd w:id="22"/>
    <w:bookmarkEnd w:id="25"/>
    <w:p w14:paraId="666C42BD">
      <w:pPr>
        <w:pStyle w:val="4"/>
      </w:pPr>
      <w:bookmarkStart w:id="26" w:name="六实施计划"/>
      <w:r>
        <w:t>六、实施计划</w:t>
      </w:r>
    </w:p>
    <w:tbl>
      <w:tblPr>
        <w:tblStyle w:val="29"/>
        <w:tblW w:w="5000" w:type="pct"/>
        <w:tblInd w:w="0" w:type="dxa"/>
        <w:tblLayout w:type="fixed"/>
        <w:tblCellMar>
          <w:top w:w="0" w:type="dxa"/>
          <w:left w:w="108" w:type="dxa"/>
          <w:bottom w:w="0" w:type="dxa"/>
          <w:right w:w="108" w:type="dxa"/>
        </w:tblCellMar>
      </w:tblPr>
      <w:tblGrid>
        <w:gridCol w:w="2952"/>
        <w:gridCol w:w="2952"/>
        <w:gridCol w:w="2952"/>
      </w:tblGrid>
      <w:tr w14:paraId="2DA5DD0E">
        <w:tblPrEx>
          <w:tblCellMar>
            <w:top w:w="0" w:type="dxa"/>
            <w:left w:w="108" w:type="dxa"/>
            <w:bottom w:w="0" w:type="dxa"/>
            <w:right w:w="108" w:type="dxa"/>
          </w:tblCellMar>
        </w:tblPrEx>
        <w:trPr>
          <w:tblHeader/>
        </w:trPr>
        <w:tc>
          <w:p w14:paraId="73D3FC79">
            <w:pPr>
              <w:pStyle w:val="24"/>
              <w:jc w:val="left"/>
            </w:pPr>
            <w:r>
              <w:t>阶段</w:t>
            </w:r>
          </w:p>
        </w:tc>
        <w:tc>
          <w:p w14:paraId="366EC988">
            <w:pPr>
              <w:pStyle w:val="24"/>
              <w:jc w:val="left"/>
            </w:pPr>
            <w:r>
              <w:t>工作内容</w:t>
            </w:r>
          </w:p>
        </w:tc>
        <w:tc>
          <w:p w14:paraId="2825B9CF">
            <w:pPr>
              <w:pStyle w:val="24"/>
              <w:jc w:val="left"/>
            </w:pPr>
            <w:r>
              <w:t>主要产出</w:t>
            </w:r>
          </w:p>
        </w:tc>
      </w:tr>
      <w:tr w14:paraId="7E262B69">
        <w:tblPrEx>
          <w:tblCellMar>
            <w:top w:w="0" w:type="dxa"/>
            <w:left w:w="108" w:type="dxa"/>
            <w:bottom w:w="0" w:type="dxa"/>
            <w:right w:w="108" w:type="dxa"/>
          </w:tblCellMar>
        </w:tblPrEx>
        <w:tc>
          <w:p w14:paraId="183E9330">
            <w:pPr>
              <w:pStyle w:val="24"/>
              <w:jc w:val="left"/>
            </w:pPr>
            <w:r>
              <w:t>第一阶段</w:t>
            </w:r>
          </w:p>
        </w:tc>
        <w:tc>
          <w:p w14:paraId="0D1F5883">
            <w:pPr>
              <w:pStyle w:val="24"/>
              <w:jc w:val="left"/>
            </w:pPr>
            <w:r>
              <w:t>评价指标体系与算法规则定稿：将论文的指标体系、权重结构、标准化规则、判定阈值整理为无歧义的算法技术规格</w:t>
            </w:r>
          </w:p>
        </w:tc>
        <w:tc>
          <w:p w14:paraId="10D56C5B">
            <w:pPr>
              <w:pStyle w:val="24"/>
              <w:jc w:val="left"/>
            </w:pPr>
            <w:r>
              <w:t>《评价指标体系与算法技术规格书》</w:t>
            </w:r>
          </w:p>
        </w:tc>
      </w:tr>
      <w:tr w14:paraId="44291660">
        <w:tblPrEx>
          <w:tblCellMar>
            <w:top w:w="0" w:type="dxa"/>
            <w:left w:w="108" w:type="dxa"/>
            <w:bottom w:w="0" w:type="dxa"/>
            <w:right w:w="108" w:type="dxa"/>
          </w:tblCellMar>
        </w:tblPrEx>
        <w:tc>
          <w:p w14:paraId="1B93564F">
            <w:pPr>
              <w:pStyle w:val="24"/>
              <w:jc w:val="left"/>
            </w:pPr>
            <w:r>
              <w:t>第二阶段</w:t>
            </w:r>
          </w:p>
        </w:tc>
        <w:tc>
          <w:p w14:paraId="33960157">
            <w:pPr>
              <w:pStyle w:val="24"/>
              <w:jc w:val="left"/>
            </w:pPr>
            <w:r>
              <w:t>后端功能开发：数据模型、AHP 权重引擎、评价引擎、标准规则引擎、限制性判定逻辑、请求处理</w:t>
            </w:r>
          </w:p>
        </w:tc>
        <w:tc>
          <w:p w14:paraId="53455EE4">
            <w:pPr>
              <w:pStyle w:val="24"/>
              <w:jc w:val="left"/>
            </w:pPr>
            <w:r>
              <w:t>可运行的后端程序</w:t>
            </w:r>
          </w:p>
        </w:tc>
      </w:tr>
      <w:tr w14:paraId="11353813">
        <w:tblPrEx>
          <w:tblCellMar>
            <w:top w:w="0" w:type="dxa"/>
            <w:left w:w="108" w:type="dxa"/>
            <w:bottom w:w="0" w:type="dxa"/>
            <w:right w:w="108" w:type="dxa"/>
          </w:tblCellMar>
        </w:tblPrEx>
        <w:tc>
          <w:p w14:paraId="70E9775C">
            <w:pPr>
              <w:pStyle w:val="24"/>
              <w:jc w:val="left"/>
            </w:pPr>
            <w:r>
              <w:t>第三阶段</w:t>
            </w:r>
          </w:p>
        </w:tc>
        <w:tc>
          <w:p w14:paraId="48054E47">
            <w:pPr>
              <w:pStyle w:val="24"/>
              <w:jc w:val="left"/>
            </w:pPr>
            <w:r>
              <w:t>前端界面开发：各功能模块页面、图表展示、交互逻辑</w:t>
            </w:r>
          </w:p>
        </w:tc>
        <w:tc>
          <w:p w14:paraId="595854AA">
            <w:pPr>
              <w:pStyle w:val="24"/>
              <w:jc w:val="left"/>
            </w:pPr>
            <w:r>
              <w:t>完整可操作的系统界面</w:t>
            </w:r>
          </w:p>
        </w:tc>
      </w:tr>
      <w:tr w14:paraId="7DA69CE8">
        <w:tblPrEx>
          <w:tblCellMar>
            <w:top w:w="0" w:type="dxa"/>
            <w:left w:w="108" w:type="dxa"/>
            <w:bottom w:w="0" w:type="dxa"/>
            <w:right w:w="108" w:type="dxa"/>
          </w:tblCellMar>
        </w:tblPrEx>
        <w:tc>
          <w:p w14:paraId="39CF20D4">
            <w:pPr>
              <w:pStyle w:val="24"/>
              <w:jc w:val="left"/>
            </w:pPr>
            <w:r>
              <w:t>第四阶段</w:t>
            </w:r>
          </w:p>
        </w:tc>
        <w:tc>
          <w:p w14:paraId="097E352D">
            <w:pPr>
              <w:pStyle w:val="24"/>
              <w:jc w:val="left"/>
            </w:pPr>
            <w:r>
              <w:t>系统测试与案例验证：完成功能测试，并以玉田县案例进行端到端验证</w:t>
            </w:r>
          </w:p>
        </w:tc>
        <w:tc>
          <w:p w14:paraId="32F93D05">
            <w:pPr>
              <w:pStyle w:val="24"/>
              <w:jc w:val="left"/>
            </w:pPr>
            <w:r>
              <w:t>测试记录、案例验证报告</w:t>
            </w:r>
          </w:p>
        </w:tc>
      </w:tr>
      <w:tr w14:paraId="428F40FA">
        <w:tblPrEx>
          <w:tblCellMar>
            <w:top w:w="0" w:type="dxa"/>
            <w:left w:w="108" w:type="dxa"/>
            <w:bottom w:w="0" w:type="dxa"/>
            <w:right w:w="108" w:type="dxa"/>
          </w:tblCellMar>
        </w:tblPrEx>
        <w:tc>
          <w:p w14:paraId="0387DF6B">
            <w:pPr>
              <w:pStyle w:val="24"/>
              <w:jc w:val="left"/>
            </w:pPr>
            <w:r>
              <w:t>第五阶段</w:t>
            </w:r>
          </w:p>
        </w:tc>
        <w:tc>
          <w:p w14:paraId="23E1CB93">
            <w:pPr>
              <w:pStyle w:val="24"/>
              <w:jc w:val="left"/>
            </w:pPr>
            <w:r>
              <w:t>评价材料编制：界面截图、说明文档编写、源程序排版</w:t>
            </w:r>
          </w:p>
        </w:tc>
        <w:tc>
          <w:p w14:paraId="4BCA6CE5">
            <w:pPr>
              <w:pStyle w:val="24"/>
              <w:jc w:val="left"/>
            </w:pPr>
            <w:r>
              <w:t>软件说明书、源程序鉴别材料</w:t>
            </w:r>
          </w:p>
        </w:tc>
      </w:tr>
      <w:tr w14:paraId="2FB0C668">
        <w:tblPrEx>
          <w:tblCellMar>
            <w:top w:w="0" w:type="dxa"/>
            <w:left w:w="108" w:type="dxa"/>
            <w:bottom w:w="0" w:type="dxa"/>
            <w:right w:w="108" w:type="dxa"/>
          </w:tblCellMar>
        </w:tblPrEx>
        <w:tc>
          <w:p w14:paraId="7116C2D2">
            <w:pPr>
              <w:pStyle w:val="24"/>
              <w:jc w:val="left"/>
            </w:pPr>
            <w:r>
              <w:t>第六阶段</w:t>
            </w:r>
          </w:p>
        </w:tc>
        <w:tc>
          <w:p w14:paraId="5E86E919">
            <w:pPr>
              <w:pStyle w:val="24"/>
              <w:jc w:val="left"/>
            </w:pPr>
            <w:r>
              <w:t>形式自检与登记申请：按登记形式要求逐项核对，填报申请表</w:t>
            </w:r>
          </w:p>
        </w:tc>
        <w:tc>
          <w:p w14:paraId="279E685A">
            <w:pPr>
              <w:pStyle w:val="24"/>
              <w:jc w:val="left"/>
            </w:pPr>
            <w:r>
              <w:t>登记申请材料</w:t>
            </w:r>
          </w:p>
        </w:tc>
      </w:tr>
    </w:tbl>
    <w:p w14:paraId="01AAABC8">
      <w:r>
        <w:pict>
          <v:rect id="_x0000_i1032" o:spt="1" style="height:1.5pt;width:0pt;" coordsize="21600,21600" o:hr="t" o:hrstd="t" o:hralign="center">
            <v:path/>
            <v:fill focussize="0,0"/>
            <v:stroke/>
            <v:imagedata o:title=""/>
            <o:lock v:ext="edit"/>
            <w10:wrap type="none"/>
            <w10:anchorlock/>
          </v:rect>
        </w:pict>
      </w:r>
    </w:p>
    <w:bookmarkEnd w:id="26"/>
    <w:p w14:paraId="52A14470">
      <w:pPr>
        <w:pStyle w:val="4"/>
      </w:pPr>
      <w:bookmarkStart w:id="27" w:name="七预期成果"/>
      <w:r>
        <w:t>七、预期成果</w:t>
      </w:r>
    </w:p>
    <w:p w14:paraId="06F5B893">
      <w:pPr>
        <w:pStyle w:val="24"/>
        <w:numPr>
          <w:ilvl w:val="0"/>
          <w:numId w:val="4"/>
        </w:numPr>
      </w:pPr>
      <w:r>
        <w:rPr>
          <w:b/>
          <w:bCs/>
        </w:rPr>
        <w:t>可运行的软件系统</w:t>
      </w:r>
      <w:r>
        <w:t>：历史遗留废弃矿山自然恢复适宜性评价系统 V1.0，包含 10 个功能模块，实现论文评价方法的完整软件化；</w:t>
      </w:r>
    </w:p>
    <w:p w14:paraId="10AD2E93">
      <w:pPr>
        <w:pStyle w:val="24"/>
        <w:numPr>
          <w:ilvl w:val="0"/>
          <w:numId w:val="4"/>
        </w:numPr>
      </w:pPr>
      <w:r>
        <w:rPr>
          <w:b/>
          <w:bCs/>
        </w:rPr>
        <w:t>软件说明书（用户手册）</w:t>
      </w:r>
      <w:r>
        <w:t>：15～25 页，含完整操作流程与界面截图；</w:t>
      </w:r>
    </w:p>
    <w:p w14:paraId="081EBF0D">
      <w:pPr>
        <w:pStyle w:val="24"/>
        <w:numPr>
          <w:ilvl w:val="0"/>
          <w:numId w:val="4"/>
        </w:numPr>
      </w:pPr>
      <w:r>
        <w:rPr>
          <w:b/>
          <w:bCs/>
        </w:rPr>
        <w:t>源程序鉴别材料</w:t>
      </w:r>
      <w:r>
        <w:t>：60 页，有效代码约 3500 行；</w:t>
      </w:r>
    </w:p>
    <w:p w14:paraId="59AFABD7">
      <w:pPr>
        <w:pStyle w:val="24"/>
        <w:numPr>
          <w:ilvl w:val="0"/>
          <w:numId w:val="4"/>
        </w:numPr>
      </w:pPr>
      <w:r>
        <w:rPr>
          <w:b/>
          <w:bCs/>
        </w:rPr>
        <w:t>软件著作权登记申请材料</w:t>
      </w:r>
      <w:r>
        <w:t>：包括申请表、鉴别材料及所需证明文件；</w:t>
      </w:r>
    </w:p>
    <w:p w14:paraId="2DCC3205">
      <w:pPr>
        <w:pStyle w:val="24"/>
        <w:numPr>
          <w:ilvl w:val="0"/>
          <w:numId w:val="4"/>
        </w:numPr>
      </w:pPr>
      <w:r>
        <w:rPr>
          <w:b/>
          <w:bCs/>
        </w:rPr>
        <w:t>配套技术文档</w:t>
      </w:r>
      <w:r>
        <w:t>：《评价指标体系与算法技术规格书》。</w:t>
      </w:r>
    </w:p>
    <w:p w14:paraId="7F7D6F29">
      <w:r>
        <w:pict>
          <v:rect id="_x0000_i1033" o:spt="1" style="height:1.5pt;width:0pt;" coordsize="21600,21600" o:hr="t" o:hrstd="t" o:hralign="center">
            <v:path/>
            <v:fill focussize="0,0"/>
            <v:stroke/>
            <v:imagedata o:title=""/>
            <o:lock v:ext="edit"/>
            <w10:wrap type="none"/>
            <w10:anchorlock/>
          </v:rect>
        </w:pict>
      </w:r>
    </w:p>
    <w:bookmarkEnd w:id="27"/>
    <w:p w14:paraId="4158C0CE">
      <w:pPr>
        <w:pStyle w:val="4"/>
      </w:pPr>
      <w:bookmarkStart w:id="28" w:name="八结语"/>
      <w:r>
        <w:t>八、结语</w:t>
      </w:r>
    </w:p>
    <w:p w14:paraId="0944302D">
      <w:pPr>
        <w:pStyle w:val="23"/>
      </w:pPr>
      <w:r>
        <w:t>本项目的核心工作，是将论文已建立的矿山自然恢复适宜性评价方法，转化为可运行、可复用、可推广的计算机软件系统。论文提供的方法体系完整、逻辑清晰，具备良好的软件化基础；评价工作本身计算链长、重复性高、标准依据分散的特点，也使软件化具有明确的实际需求。</w:t>
      </w:r>
    </w:p>
    <w:p w14:paraId="0C3025BA">
      <w:pPr>
        <w:pStyle w:val="3"/>
      </w:pPr>
      <w:r>
        <w:t>项目完成后，一方面可形成一项软件著作权成果，另一方面可为论文方法的推广应用、以及后续不同气候区与地貌区的评价参数本地化研究，提供直接可用的工具支撑。</w:t>
      </w:r>
    </w:p>
    <w:bookmarkEnd w:id="0"/>
    <w:bookmarkEnd w:id="28"/>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0FEF57D0"/>
    <w:rsid w:val="21A95A52"/>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eastAsia="宋体" w:asciiTheme="minorHAnsi" w:hAnsi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eastAsia="黑体" w:asciiTheme="majorHAnsi" w:hAnsiTheme="majorHAnsi" w:cstheme="majorBidi"/>
      <w:b/>
      <w:bCs/>
      <w:color w:val="000000"/>
      <w:sz w:val="32"/>
      <w:szCs w:val="32"/>
    </w:rPr>
  </w:style>
  <w:style w:type="paragraph" w:styleId="4">
    <w:name w:val="heading 2"/>
    <w:basedOn w:val="1"/>
    <w:next w:val="3"/>
    <w:unhideWhenUsed/>
    <w:qFormat/>
    <w:uiPriority w:val="9"/>
    <w:pPr>
      <w:keepNext/>
      <w:keepLines/>
      <w:spacing w:before="200" w:after="0"/>
      <w:outlineLvl w:val="1"/>
    </w:pPr>
    <w:rPr>
      <w:rFonts w:eastAsia="黑体" w:asciiTheme="majorHAnsi" w:hAnsiTheme="majorHAnsi" w:cstheme="majorBidi"/>
      <w:b/>
      <w:bCs/>
      <w:color w:val="000000"/>
      <w:sz w:val="28"/>
      <w:szCs w:val="28"/>
    </w:rPr>
  </w:style>
  <w:style w:type="paragraph" w:styleId="5">
    <w:name w:val="heading 3"/>
    <w:basedOn w:val="1"/>
    <w:next w:val="3"/>
    <w:unhideWhenUsed/>
    <w:qFormat/>
    <w:uiPriority w:val="9"/>
    <w:pPr>
      <w:keepNext/>
      <w:keepLines/>
      <w:spacing w:before="200" w:after="0"/>
      <w:outlineLvl w:val="2"/>
    </w:pPr>
    <w:rPr>
      <w:rFonts w:eastAsia="黑体" w:asciiTheme="majorHAnsi" w:hAnsiTheme="majorHAnsi" w:cstheme="majorBidi"/>
      <w:b/>
      <w:bCs/>
      <w:color w:val="000000"/>
      <w:sz w:val="24"/>
      <w:szCs w:val="24"/>
    </w:rPr>
  </w:style>
  <w:style w:type="paragraph" w:styleId="6">
    <w:name w:val="heading 4"/>
    <w:basedOn w:val="1"/>
    <w:next w:val="3"/>
    <w:unhideWhenUsed/>
    <w:qFormat/>
    <w:uiPriority w:val="9"/>
    <w:pPr>
      <w:keepNext/>
      <w:keepLines/>
      <w:spacing w:before="200" w:after="0"/>
      <w:outlineLvl w:val="3"/>
    </w:pPr>
    <w:rPr>
      <w:rFonts w:eastAsia="黑体" w:asciiTheme="majorHAnsi" w:hAnsiTheme="majorHAnsi" w:cstheme="majorBidi"/>
      <w:bCs/>
      <w:i/>
      <w:color w:val="000000"/>
      <w:sz w:val="24"/>
      <w:szCs w:val="24"/>
    </w:rPr>
  </w:style>
  <w:style w:type="paragraph" w:styleId="7">
    <w:name w:val="heading 5"/>
    <w:basedOn w:val="1"/>
    <w:next w:val="3"/>
    <w:unhideWhenUsed/>
    <w:qFormat/>
    <w:uiPriority w:val="9"/>
    <w:pPr>
      <w:keepNext/>
      <w:keepLines/>
      <w:spacing w:before="200" w:after="0"/>
      <w:outlineLvl w:val="4"/>
    </w:pPr>
    <w:rPr>
      <w:rFonts w:eastAsia="黑体" w:asciiTheme="majorHAnsi" w:hAnsiTheme="majorHAnsi" w:cstheme="majorBidi"/>
      <w:iCs/>
      <w:color w:val="000000"/>
      <w:sz w:val="24"/>
      <w:szCs w:val="24"/>
    </w:rPr>
  </w:style>
  <w:style w:type="paragraph" w:styleId="8">
    <w:name w:val="heading 6"/>
    <w:basedOn w:val="1"/>
    <w:next w:val="3"/>
    <w:unhideWhenUsed/>
    <w:qFormat/>
    <w:uiPriority w:val="9"/>
    <w:pPr>
      <w:keepNext/>
      <w:keepLines/>
      <w:spacing w:before="200" w:after="0"/>
      <w:outlineLvl w:val="5"/>
    </w:pPr>
    <w:rPr>
      <w:rFonts w:eastAsia="黑体" w:asciiTheme="majorHAnsi" w:hAnsiTheme="majorHAnsi" w:cstheme="majorBidi"/>
      <w:color w:val="000000"/>
      <w:sz w:val="24"/>
      <w:szCs w:val="24"/>
    </w:rPr>
  </w:style>
  <w:style w:type="paragraph" w:styleId="9">
    <w:name w:val="heading 7"/>
    <w:basedOn w:val="1"/>
    <w:next w:val="3"/>
    <w:unhideWhenUsed/>
    <w:qFormat/>
    <w:uiPriority w:val="9"/>
    <w:pPr>
      <w:keepNext/>
      <w:keepLines/>
      <w:spacing w:before="200" w:after="0"/>
      <w:outlineLvl w:val="6"/>
    </w:pPr>
    <w:rPr>
      <w:rFonts w:eastAsia="黑体" w:asciiTheme="majorHAnsi" w:hAnsiTheme="majorHAnsi" w:cstheme="majorBidi"/>
      <w:color w:val="000000"/>
      <w:sz w:val="24"/>
      <w:szCs w:val="24"/>
    </w:rPr>
  </w:style>
  <w:style w:type="paragraph" w:styleId="10">
    <w:name w:val="heading 8"/>
    <w:basedOn w:val="1"/>
    <w:next w:val="3"/>
    <w:unhideWhenUsed/>
    <w:qFormat/>
    <w:uiPriority w:val="9"/>
    <w:pPr>
      <w:keepNext/>
      <w:keepLines/>
      <w:spacing w:before="200" w:after="0"/>
      <w:outlineLvl w:val="7"/>
    </w:pPr>
    <w:rPr>
      <w:rFonts w:eastAsia="黑体" w:asciiTheme="majorHAnsi" w:hAnsiTheme="majorHAnsi" w:cstheme="majorBidi"/>
      <w:color w:val="000000"/>
      <w:sz w:val="24"/>
      <w:szCs w:val="24"/>
    </w:rPr>
  </w:style>
  <w:style w:type="paragraph" w:styleId="11">
    <w:name w:val="heading 9"/>
    <w:basedOn w:val="1"/>
    <w:next w:val="3"/>
    <w:unhideWhenUsed/>
    <w:qFormat/>
    <w:uiPriority w:val="9"/>
    <w:pPr>
      <w:keepNext/>
      <w:keepLines/>
      <w:spacing w:before="200" w:after="0"/>
      <w:outlineLvl w:val="8"/>
    </w:pPr>
    <w:rPr>
      <w:rFonts w:eastAsia="黑体" w:asciiTheme="majorHAnsi" w:hAnsiTheme="majorHAnsi" w:cstheme="majorBidi"/>
      <w:color w:val="000000"/>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eastAsia="宋体" w:asciiTheme="minorHAnsi" w:hAnsi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eastAsia="黑体" w:asciiTheme="majorHAnsi" w:hAnsiTheme="majorHAnsi" w:cstheme="majorBidi"/>
      <w:b/>
      <w:bCs/>
      <w:color w:val="000000"/>
      <w:sz w:val="36"/>
      <w:szCs w:val="36"/>
    </w:rPr>
  </w:style>
  <w:style w:type="paragraph" w:styleId="17">
    <w:name w:val="footnote text"/>
    <w:basedOn w:val="1"/>
    <w:unhideWhenUsed/>
    <w:qFormat/>
    <w:uiPriority w:val="9"/>
  </w:style>
  <w:style w:type="character" w:styleId="20">
    <w:name w:val="Hyperlink"/>
    <w:basedOn w:val="21"/>
    <w:qFormat/>
    <w:uiPriority w:val="0"/>
    <w:rPr>
      <w:color w:val="000000"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eastAsia="宋体" w:asciiTheme="minorHAnsi" w:hAnsi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000000"/>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eastAsia="宋体"/>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eastAsia="黑体" w:asciiTheme="majorHAnsi" w:hAnsiTheme="majorHAnsi" w:cstheme="majorBidi"/>
      <w:b w:val="0"/>
      <w:bCs w:val="0"/>
      <w:color w:val="000000"/>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800080"/>
      </a:folHlink>
    </a:clrScheme>
    <a:fontScheme name="Office">
      <a:majorFont>
        <a:latin typeface="Times New Roman"/>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7361</Words>
  <Characters>8143</Characters>
  <Lines>12</Lines>
  <Paragraphs>8</Paragraphs>
  <TotalTime>7</TotalTime>
  <ScaleCrop>false</ScaleCrop>
  <LinksUpToDate>false</LinksUpToDate>
  <CharactersWithSpaces>8539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2026-09-24T15:13:00Z</dcterms:created>
  <dc:creator>赵永凯</dc:creator>
  <cp:lastModifiedBy>赵永凯</cp:lastModifiedBy>
  <dcterms:modified xsi:type="dcterms:W3CDTF">2026-09-24T15:29:53Z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eyJoZGlkIjoiMDAxNDlhYmQxN2Q5ODhkZDIyYjA4NzFmZjlmODkzYmQiLCJ1c2VySWQiOiIxOTA4MDc2NzI0In0=</vt:lpwstr>
  </property>
  <property fmtid="{D5CDD505-2E9C-101B-9397-08002B2CF9AE}" pid="3" name="KSOProductBuildVer">
    <vt:lpwstr>2052-12.1.0.28505</vt:lpwstr>
  </property>
  <property fmtid="{D5CDD505-2E9C-101B-9397-08002B2CF9AE}" pid="4" name="ICV">
    <vt:lpwstr>73D308E9A9C54EC88438FBF4DB20449E_12</vt:lpwstr>
  </property>
</Properties>
</file>