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684"/>
        <w:gridCol w:w="2154"/>
      </w:tblGrid>
      <w:tr>
        <w:tc>
          <w:tcPr>
            <w:tcW w:type="dxa" w:w="6684"/>
            <w:vAlign w:val="top"/>
          </w:tcPr>
          <w:p>
            <w:pPr>
              <w:spacing w:after="0" w:line="360" w:lineRule="auto"/>
              <w:jc w:val="left"/>
            </w:pPr>
            <w:r>
              <w:rPr>
                <w:rFonts w:ascii="Arial" w:hAnsi="Arial"/>
                <w:b w:val="0"/>
                <w:i w:val="0"/>
                <w:sz w:val="24"/>
              </w:rPr>
              <w:t>Universidad Mariano Gálvez de Guatemala</w:t>
            </w:r>
            <w:r>
              <w:br/>
            </w:r>
            <w:r>
              <w:rPr>
                <w:rFonts w:ascii="Arial" w:hAnsi="Arial"/>
                <w:b w:val="0"/>
                <w:i w:val="0"/>
                <w:sz w:val="24"/>
              </w:rPr>
              <w:t>Centro Universitario de Puerto Barrios</w:t>
            </w:r>
            <w:r>
              <w:br/>
            </w:r>
            <w:r>
              <w:rPr>
                <w:rFonts w:ascii="Arial" w:hAnsi="Arial"/>
                <w:b w:val="0"/>
                <w:i w:val="0"/>
                <w:sz w:val="24"/>
              </w:rPr>
              <w:t>Facultad de Ingeniería en Sistemas</w:t>
            </w:r>
            <w:r>
              <w:br/>
            </w:r>
            <w:r>
              <w:rPr>
                <w:rFonts w:ascii="Arial" w:hAnsi="Arial"/>
                <w:b w:val="0"/>
                <w:i w:val="0"/>
                <w:sz w:val="24"/>
              </w:rPr>
              <w:t>Proyecto de Graduación II</w:t>
            </w:r>
            <w:r>
              <w:br/>
            </w:r>
            <w:r>
              <w:rPr>
                <w:rFonts w:ascii="Arial" w:hAnsi="Arial"/>
                <w:b w:val="0"/>
                <w:i w:val="0"/>
                <w:sz w:val="24"/>
              </w:rPr>
              <w:t>Ing. Juan Pablo Escobar</w:t>
            </w:r>
          </w:p>
        </w:tc>
        <w:tc>
          <w:tcPr>
            <w:tcW w:type="dxa" w:w="2154"/>
            <w:vAlign w:val="top"/>
          </w:tcPr>
          <w:p>
            <w:pPr>
              <w:spacing w:after="0"/>
              <w:jc w:val="right"/>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umg.png"/>
                          <pic:cNvPicPr/>
                        </pic:nvPicPr>
                        <pic:blipFill>
                          <a:blip r:embed="rId10"/>
                          <a:stretch>
                            <a:fillRect/>
                          </a:stretch>
                        </pic:blipFill>
                        <pic:spPr>
                          <a:xfrm>
                            <a:off x="0" y="0"/>
                            <a:ext cx="1152000" cy="1152000"/>
                          </a:xfrm>
                          <a:prstGeom prst="rect"/>
                        </pic:spPr>
                      </pic:pic>
                    </a:graphicData>
                  </a:graphic>
                </wp:inline>
              </w:drawing>
            </w:r>
          </w:p>
        </w:tc>
      </w:tr>
    </w:tbl>
    <w:p>
      <w:pPr>
        <w:spacing w:before="2835" w:after="120"/>
        <w:jc w:val="center"/>
      </w:pPr>
      <w:r>
        <w:rPr>
          <w:rFonts w:ascii="Arial" w:hAnsi="Arial"/>
          <w:b w:val="0"/>
          <w:i w:val="0"/>
          <w:sz w:val="24"/>
        </w:rPr>
        <w:t>Cierre técnico del Sprint 1: verificación contra el plano real.</w:t>
      </w:r>
    </w:p>
    <w:p>
      <w:pPr>
        <w:spacing w:after="0"/>
        <w:jc w:val="center"/>
      </w:pPr>
      <w:r>
        <w:rPr>
          <w:rFonts w:ascii="Arial" w:hAnsi="Arial"/>
          <w:b w:val="0"/>
          <w:i/>
          <w:sz w:val="24"/>
        </w:rPr>
        <w:t>Segunda verificación independiente de las correcciones C‑1 a C‑7 y de los hallazgos posteriores, contrastada contra el corpus BAPLIE completo.</w:t>
      </w:r>
    </w:p>
    <w:p>
      <w:pPr>
        <w:spacing w:before="3685" w:after="0"/>
        <w:jc w:val="right"/>
      </w:pPr>
      <w:r>
        <w:rPr>
          <w:rFonts w:ascii="Arial" w:hAnsi="Arial"/>
          <w:b w:val="0"/>
          <w:i w:val="0"/>
          <w:sz w:val="24"/>
        </w:rPr>
        <w:t>Carlos Giovanni Martínez Aldana 0909-22-19157</w:t>
      </w:r>
    </w:p>
    <w:p>
      <w:pPr>
        <w:spacing w:before="1417" w:after="0"/>
        <w:jc w:val="center"/>
      </w:pPr>
      <w:r>
        <w:rPr>
          <w:rFonts w:ascii="Arial" w:hAnsi="Arial"/>
          <w:b w:val="0"/>
          <w:i w:val="0"/>
          <w:sz w:val="24"/>
        </w:rPr>
        <w:t>Puerto Barrios, Izabal 4 de septiembre de 2026</w:t>
      </w:r>
    </w:p>
    <w:p>
      <w:pPr>
        <w:sectPr>
          <w:headerReference w:type="default" r:id="rId9"/>
          <w:pgSz w:w="12240" w:h="15840"/>
          <w:pgMar w:top="1701" w:right="1417" w:bottom="1701" w:left="1984" w:header="709" w:footer="709" w:gutter="0"/>
          <w:cols w:space="720"/>
          <w:docGrid w:linePitch="360"/>
        </w:sectPr>
      </w:pPr>
    </w:p>
    <w:p>
      <w:pPr>
        <w:spacing w:after="0"/>
        <w:jc w:val="center"/>
      </w:pPr>
      <w:r>
        <w:rPr>
          <w:rFonts w:ascii="Arial" w:hAnsi="Arial" w:eastAsia="Arial" w:cs="Arial"/>
          <w:b/>
          <w:sz w:val="24"/>
        </w:rPr>
        <w:t>Índice</w:t>
      </w:r>
    </w:p>
    <w:p>
      <w:pPr>
        <w:sectPr>
          <w:headerReference w:type="default" r:id="rId11"/>
          <w:pgSz w:w="12240" w:h="15840"/>
          <w:pgMar w:top="1701" w:right="1417" w:bottom="1701" w:left="1984" w:header="709" w:footer="709" w:gutter="0"/>
          <w:cols w:space="720"/>
          <w:docGrid w:linePitch="360"/>
        </w:sectPr>
      </w:pPr>
    </w:p>
    <w:p>
      <w:pPr>
        <w:pStyle w:val="Heading1"/>
        <w:spacing w:before="0" w:after="760"/>
      </w:pPr>
      <w:r>
        <w:t>Introducción</w:t>
      </w:r>
    </w:p>
    <w:p>
      <w:pPr>
        <w:pStyle w:val="Heading2"/>
        <w:spacing w:before="0" w:after="760"/>
      </w:pPr>
      <w:r>
        <w:t>Propósito del documento</w:t>
      </w:r>
    </w:p>
    <w:p>
      <w:pPr>
        <w:spacing w:before="0" w:after="880"/>
        <w:ind w:left="850"/>
        <w:jc w:val="both"/>
      </w:pPr>
      <w:r>
        <w:rPr>
          <w:rFonts w:ascii="Arial" w:hAnsi="Arial"/>
          <w:sz w:val="24"/>
        </w:rPr>
        <w:t xml:space="preserve">Este documento reporta el cierre técnico del Sprint 1 del proyecto BayStream tras su contraste contra el </w:t>
      </w:r>
      <w:r>
        <w:rPr>
          <w:rFonts w:ascii="Arial" w:hAnsi="Arial"/>
          <w:b/>
          <w:sz w:val="24"/>
        </w:rPr>
        <w:t>plano de carga impreso del buque MIZAR, viaje 260345</w:t>
      </w:r>
      <w:r>
        <w:rPr>
          <w:rFonts w:ascii="Arial" w:hAnsi="Arial"/>
          <w:sz w:val="24"/>
        </w:rPr>
        <w:t>, fotografiado por el autor el 31 de agosto de 2026 durante una operación real en Puerto Santo Tomás de Castilla. Ese plano, generado por Baplie Viewer, es la primera referencia externa que tuvo el proyecto sobre cómo debe verse la salida del sistema: hasta entonces, el plano de BayStream se había diseñado por deducción del estándar EDIFACT, sin un caso real de contraste.</w:t>
      </w:r>
    </w:p>
    <w:p>
      <w:pPr>
        <w:spacing w:before="0" w:after="880"/>
        <w:ind w:left="850"/>
        <w:jc w:val="both"/>
      </w:pPr>
      <w:r>
        <w:rPr>
          <w:rFonts w:ascii="Arial" w:hAnsi="Arial"/>
          <w:sz w:val="24"/>
        </w:rPr>
        <w:t xml:space="preserve">El plano impreso trae una nota al pie decisiva para todo lo que sigue: </w:t>
      </w:r>
      <w:r>
        <w:rPr>
          <w:rFonts w:ascii="Arial" w:hAnsi="Arial"/>
          <w:b/>
          <w:sz w:val="24"/>
        </w:rPr>
        <w:t>«Baplie Viewer is not aware of vessel's dimensions. It shows occupied slots on board the vessel.»</w:t>
      </w:r>
      <w:r>
        <w:rPr>
          <w:rFonts w:ascii="Arial" w:hAnsi="Arial"/>
          <w:sz w:val="24"/>
        </w:rPr>
        <w:t xml:space="preserve"> El archivo BAPLIE no transmite la geometría del buque; solo dice qué posiciones están ocupadas. Por eso cada dato deducido del archivo es, por construcción, una </w:t>
      </w:r>
      <w:r>
        <w:rPr>
          <w:rFonts w:ascii="Arial" w:hAnsi="Arial"/>
          <w:b/>
          <w:sz w:val="24"/>
        </w:rPr>
        <w:t>cota inferior</w:t>
      </w:r>
      <w:r>
        <w:rPr>
          <w:rFonts w:ascii="Arial" w:hAnsi="Arial"/>
          <w:sz w:val="24"/>
        </w:rPr>
        <w:t>, nunca una medición: un buque de trece filas que en un viaje concreto carga en diez se ve, desde el archivo, como un buque de diez filas. Este principio gobierna todas las correcciones descritas en este documento y explica por qué la pantalla de parámetros del sistema propone valores deducidos y exige que el usuario los confirme o corrija, en vez de aplicarlos directamente.</w:t>
      </w:r>
    </w:p>
    <w:p>
      <w:pPr>
        <w:pStyle w:val="Heading2"/>
        <w:spacing w:before="0" w:after="760"/>
      </w:pPr>
      <w:r>
        <w:t>Metodología de verificación</w:t>
      </w:r>
    </w:p>
    <w:p>
      <w:pPr>
        <w:spacing w:before="0" w:after="880"/>
        <w:ind w:left="850"/>
        <w:jc w:val="both"/>
      </w:pPr>
      <w:r>
        <w:rPr>
          <w:rFonts w:ascii="Arial" w:hAnsi="Arial"/>
          <w:sz w:val="24"/>
        </w:rPr>
        <w:t xml:space="preserve">El desarrollo del sprint se repartió entre dos programadores asistidos por IA que trabajaron en paralelo sobre el mismo repositorio: </w:t>
      </w:r>
      <w:r>
        <w:rPr>
          <w:rFonts w:ascii="Arial" w:hAnsi="Arial"/>
          <w:b/>
          <w:sz w:val="24"/>
        </w:rPr>
        <w:t>Capitán Codex</w:t>
      </w:r>
      <w:r>
        <w:rPr>
          <w:rFonts w:ascii="Arial" w:hAnsi="Arial"/>
          <w:sz w:val="24"/>
        </w:rPr>
        <w:t xml:space="preserve"> (OpenAI Codex) y </w:t>
      </w:r>
      <w:r>
        <w:rPr>
          <w:rFonts w:ascii="Arial" w:hAnsi="Arial"/>
          <w:b/>
          <w:sz w:val="24"/>
        </w:rPr>
        <w:t>Timonel</w:t>
      </w:r>
      <w:r>
        <w:rPr>
          <w:rFonts w:ascii="Arial" w:hAnsi="Arial"/>
          <w:sz w:val="24"/>
        </w:rPr>
        <w:t xml:space="preserve"> (Claude Code). Cada cierre que alguno de los dos reportó fue sometido a una segunda verificación independiente antes de darse por bueno: no se aceptó ninguna afirmación —de ningún programador, incluido el propio autor de este documento— sin contrastarla directamente contra el código fuente del repositorio o contra los seis archivos BAPLIE del corpus de prueba, reimplementando la lógica reportada de forma independiente cuando hizo falta.</w:t>
      </w:r>
    </w:p>
    <w:p>
      <w:pPr>
        <w:spacing w:before="0" w:after="880"/>
        <w:ind w:left="850"/>
        <w:jc w:val="both"/>
      </w:pPr>
      <w:r>
        <w:rPr>
          <w:rFonts w:ascii="Arial" w:hAnsi="Arial"/>
          <w:sz w:val="24"/>
        </w:rPr>
        <w:t>Esta disciplina de doble verificación no es un formalismo adicional: en el curso del sprint corrigió tres afirmaciones que habrían quedado mal registradas de no haberse contrastado —incluidas dos hechas por el propio verificador—, descritas en la sección VI. La sección 2 del documento técnico completo (</w:t>
      </w:r>
      <w:r>
        <w:rPr>
          <w:rFonts w:ascii="Arial" w:hAnsi="Arial"/>
          <w:b/>
          <w:sz w:val="24"/>
        </w:rPr>
        <w:t>docs/HALLAZGOS-PLANO-REAL.md</w:t>
      </w:r>
      <w:r>
        <w:rPr>
          <w:rFonts w:ascii="Arial" w:hAnsi="Arial"/>
          <w:sz w:val="24"/>
        </w:rPr>
        <w:t>, 997 líneas en el repositorio) conserva la evidencia íntegra de cada verificación; este documento es su resumen para la revisión con el tutor.</w:t>
      </w:r>
    </w:p>
    <w:p>
      <w:pPr>
        <w:pStyle w:val="Heading2"/>
        <w:spacing w:before="0" w:after="760"/>
      </w:pPr>
      <w:r>
        <w:t>Limitaciones</w:t>
      </w:r>
    </w:p>
    <w:p>
      <w:pPr>
        <w:spacing w:before="0" w:after="880"/>
        <w:ind w:left="850"/>
        <w:jc w:val="both"/>
      </w:pPr>
      <w:r>
        <w:rPr>
          <w:rFonts w:ascii="Arial" w:hAnsi="Arial"/>
          <w:sz w:val="24"/>
        </w:rPr>
        <w:t>El corpus de prueba consta de seis archivos BAPLIE reales anonimizados (CORPUS_A01 a CORPUS_A06) más un séptimo, duplicado de A03 con datos de VGM (CORPUS_A03v_VGM), que se excluye de los conteos por archivo para no contar dos veces el mismo caso. Todas las cifras de este documento se verificaron por conteo directo de segmentos EDI y por reimplementación de la lógica del parser en Python, de forma independiente al código de producción — no se tomó ninguna cifra de un reporte sin reproducirla. El reconocimiento del estado del ANR de Android (sección V) no se pudo verificar de forma independiente en este entorno por no contar con acceso a un dispositivo o emulador Android; se declara explícitamente como pendiente de reconciliar.</w:t>
      </w:r>
    </w:p>
    <w:p>
      <w:pPr>
        <w:pStyle w:val="Heading1"/>
        <w:spacing w:before="0" w:after="760"/>
      </w:pPr>
      <w:r>
        <w:t>Correcciones cerradas del Sprint 1</w:t>
      </w:r>
    </w:p>
    <w:p>
      <w:pPr>
        <w:spacing w:before="0" w:after="880"/>
        <w:ind w:left="425"/>
        <w:jc w:val="both"/>
      </w:pPr>
      <w:r>
        <w:rPr>
          <w:rFonts w:ascii="Arial" w:hAnsi="Arial"/>
          <w:sz w:val="24"/>
        </w:rPr>
        <w:t>El sprint definió siete correcciones principales (C‑1 a C‑7) a partir del contraste con el plano real, más dos hallazgos que se sumaron durante la implementación (la fila 00 como C‑2, y el indicador de contenedor lleno o vacío del segmento EQD). Las nueve quedaron cerradas y verificadas contra el corpus completo.</w:t>
      </w:r>
    </w:p>
    <w:p>
      <w:pPr>
        <w:keepNext/>
        <w:spacing w:before="0" w:after="0"/>
        <w:ind w:left="425" w:firstLine="0"/>
      </w:pPr>
      <w:r>
        <w:rPr>
          <w:rFonts w:ascii="Arial" w:hAnsi="Arial"/>
          <w:b/>
          <w:sz w:val="24"/>
        </w:rPr>
        <w:t>Tabla 1.</w:t>
      </w:r>
    </w:p>
    <w:p>
      <w:pPr>
        <w:keepNext/>
        <w:spacing w:line="480" w:lineRule="auto" w:before="0" w:after="0"/>
        <w:ind w:left="425" w:firstLine="0"/>
      </w:pPr>
      <w:r>
        <w:rPr>
          <w:rFonts w:ascii="Arial" w:hAnsi="Arial"/>
          <w:i/>
          <w:sz w:val="24"/>
        </w:rPr>
        <w:t>Correcciones del Sprint 1, cerradas y verificadas contra el corpus completo</w:t>
      </w:r>
    </w:p>
    <w:tbl>
      <w:tblPr>
        <w:tblStyle w:val="TableGrid"/>
        <w:tblW w:type="auto" w:w="0"/>
        <w:jc w:val="left"/>
        <w:tblLook w:firstColumn="1" w:firstRow="1" w:lastColumn="0" w:lastRow="0" w:noHBand="0" w:noVBand="1" w:val="04A0"/>
        <w:tblInd w:w="533" w:type="dxa"/>
        <w:tblLayout w:type="fixed"/>
        <w:tblW w:w="8221" w:type="dxa"/>
      </w:tblPr>
      <w:tblGrid>
        <w:gridCol w:w="2665"/>
        <w:gridCol w:w="4082"/>
        <w:gridCol w:w="1474"/>
      </w:tblGrid>
      <w:tr>
        <w:trPr>
          <w:cantSplit/>
          <w:tblHeader/>
        </w:trPr>
        <w:tc>
          <w:tcPr>
            <w:tcW w:w="2665" w:type="dxa"/>
          </w:tcPr>
          <w:p>
            <w:r/>
            <w:r>
              <w:rPr>
                <w:rFonts w:ascii="Arial" w:hAnsi="Arial"/>
                <w:b/>
                <w:sz w:val="20"/>
              </w:rPr>
              <w:t>Cambio</w:t>
            </w:r>
          </w:p>
        </w:tc>
        <w:tc>
          <w:tcPr>
            <w:tcW w:w="4082" w:type="dxa"/>
          </w:tcPr>
          <w:p>
            <w:r/>
            <w:r>
              <w:rPr>
                <w:rFonts w:ascii="Arial" w:hAnsi="Arial"/>
                <w:b/>
                <w:sz w:val="20"/>
              </w:rPr>
              <w:t>Qué corregía</w:t>
            </w:r>
          </w:p>
        </w:tc>
        <w:tc>
          <w:tcPr>
            <w:tcW w:w="1474" w:type="dxa"/>
          </w:tcPr>
          <w:p>
            <w:r/>
            <w:r>
              <w:rPr>
                <w:rFonts w:ascii="Arial" w:hAnsi="Arial"/>
                <w:b/>
                <w:sz w:val="20"/>
              </w:rPr>
              <w:t>Commit</w:t>
            </w:r>
          </w:p>
        </w:tc>
      </w:tr>
      <w:tr>
        <w:trPr>
          <w:cantSplit/>
        </w:trPr>
        <w:tc>
          <w:tcPr>
            <w:tcW w:w="2665" w:type="dxa"/>
          </w:tcPr>
          <w:p>
            <w:r/>
            <w:r>
              <w:rPr>
                <w:rFonts w:ascii="Arial" w:hAnsi="Arial"/>
                <w:sz w:val="20"/>
              </w:rPr>
              <w:t>C‑1 · TEU sin decimales</w:t>
            </w:r>
          </w:p>
        </w:tc>
        <w:tc>
          <w:tcPr>
            <w:tcW w:w="4082" w:type="dxa"/>
          </w:tcPr>
          <w:p>
            <w:r/>
            <w:r>
              <w:rPr>
                <w:rFonts w:ascii="Arial" w:hAnsi="Arial"/>
                <w:sz w:val="20"/>
              </w:rPr>
              <w:t>TEU se calculaba a 2.25 por contenedor de 45 pies en vez de 2 exacto.</w:t>
            </w:r>
          </w:p>
        </w:tc>
        <w:tc>
          <w:tcPr>
            <w:tcW w:w="1474" w:type="dxa"/>
          </w:tcPr>
          <w:p>
            <w:r/>
            <w:r>
              <w:rPr>
                <w:rFonts w:ascii="Arial" w:hAnsi="Arial"/>
                <w:sz w:val="20"/>
              </w:rPr>
              <w:t>a8572ae</w:t>
            </w:r>
          </w:p>
        </w:tc>
      </w:tr>
      <w:tr>
        <w:trPr>
          <w:cantSplit/>
        </w:trPr>
        <w:tc>
          <w:tcPr>
            <w:tcW w:w="2665" w:type="dxa"/>
          </w:tcPr>
          <w:p>
            <w:r/>
            <w:r>
              <w:rPr>
                <w:rFonts w:ascii="Arial" w:hAnsi="Arial"/>
                <w:sz w:val="20"/>
              </w:rPr>
              <w:t>C‑2 · Fila 00</w:t>
            </w:r>
          </w:p>
        </w:tc>
        <w:tc>
          <w:tcPr>
            <w:tcW w:w="4082" w:type="dxa"/>
          </w:tcPr>
          <w:p>
            <w:r/>
            <w:r>
              <w:rPr>
                <w:rFonts w:ascii="Arial" w:hAnsi="Arial"/>
                <w:sz w:val="20"/>
              </w:rPr>
              <w:t>La fila 00, presente en cuatro de los siete archivos, no existía en la aplicación.</w:t>
            </w:r>
          </w:p>
        </w:tc>
        <w:tc>
          <w:tcPr>
            <w:tcW w:w="1474" w:type="dxa"/>
          </w:tcPr>
          <w:p>
            <w:r/>
            <w:r>
              <w:rPr>
                <w:rFonts w:ascii="Arial" w:hAnsi="Arial"/>
                <w:sz w:val="20"/>
              </w:rPr>
              <w:t>3f2ced5</w:t>
            </w:r>
          </w:p>
        </w:tc>
      </w:tr>
      <w:tr>
        <w:trPr>
          <w:cantSplit/>
        </w:trPr>
        <w:tc>
          <w:tcPr>
            <w:tcW w:w="2665" w:type="dxa"/>
          </w:tcPr>
          <w:p>
            <w:r/>
            <w:r>
              <w:rPr>
                <w:rFonts w:ascii="Arial" w:hAnsi="Arial"/>
                <w:sz w:val="20"/>
              </w:rPr>
              <w:t>C‑3 · Geometría parametrizada</w:t>
            </w:r>
          </w:p>
        </w:tc>
        <w:tc>
          <w:tcPr>
            <w:tcW w:w="4082" w:type="dxa"/>
          </w:tcPr>
          <w:p>
            <w:r/>
            <w:r>
              <w:rPr>
                <w:rFonts w:ascii="Arial" w:hAnsi="Arial"/>
                <w:sz w:val="20"/>
              </w:rPr>
              <w:t>La geometría del buque se inferían de forma implícita en vez de declararse por archivo.</w:t>
            </w:r>
          </w:p>
        </w:tc>
        <w:tc>
          <w:tcPr>
            <w:tcW w:w="1474" w:type="dxa"/>
          </w:tcPr>
          <w:p>
            <w:r/>
            <w:r>
              <w:rPr>
                <w:rFonts w:ascii="Arial" w:hAnsi="Arial"/>
                <w:sz w:val="20"/>
              </w:rPr>
              <w:t>45ff509 / 17d9d49</w:t>
            </w:r>
          </w:p>
        </w:tc>
      </w:tr>
      <w:tr>
        <w:trPr>
          <w:cantSplit/>
        </w:trPr>
        <w:tc>
          <w:tcPr>
            <w:tcW w:w="2665" w:type="dxa"/>
          </w:tcPr>
          <w:p>
            <w:r/>
            <w:r>
              <w:rPr>
                <w:rFonts w:ascii="Arial" w:hAnsi="Arial"/>
                <w:sz w:val="20"/>
              </w:rPr>
              <w:t>C‑4 · Niveles reales</w:t>
            </w:r>
          </w:p>
        </w:tc>
        <w:tc>
          <w:tcPr>
            <w:tcW w:w="4082" w:type="dxa"/>
          </w:tcPr>
          <w:p>
            <w:r/>
            <w:r>
              <w:rPr>
                <w:rFonts w:ascii="Arial" w:hAnsi="Arial"/>
                <w:sz w:val="20"/>
              </w:rPr>
              <w:t>Se interpolaban 45 niveles continuos del 02 al 90 cuando solo 12 existen realmente.</w:t>
            </w:r>
          </w:p>
        </w:tc>
        <w:tc>
          <w:tcPr>
            <w:tcW w:w="1474" w:type="dxa"/>
          </w:tcPr>
          <w:p>
            <w:r/>
            <w:r>
              <w:rPr>
                <w:rFonts w:ascii="Arial" w:hAnsi="Arial"/>
                <w:sz w:val="20"/>
              </w:rPr>
              <w:t>3f2ced5</w:t>
            </w:r>
          </w:p>
        </w:tc>
      </w:tr>
      <w:tr>
        <w:trPr>
          <w:cantSplit/>
        </w:trPr>
        <w:tc>
          <w:tcPr>
            <w:tcW w:w="2665" w:type="dxa"/>
          </w:tcPr>
          <w:p>
            <w:r/>
            <w:r>
              <w:rPr>
                <w:rFonts w:ascii="Arial" w:hAnsi="Arial"/>
                <w:sz w:val="20"/>
              </w:rPr>
              <w:t>C‑5a · Carga de paso</w:t>
            </w:r>
          </w:p>
        </w:tc>
        <w:tc>
          <w:tcPr>
            <w:tcW w:w="4082" w:type="dxa"/>
          </w:tcPr>
          <w:p>
            <w:r/>
            <w:r>
              <w:rPr>
                <w:rFonts w:ascii="Arial" w:hAnsi="Arial"/>
                <w:sz w:val="20"/>
              </w:rPr>
              <w:t>No se distinguía la carga que ya venía a bordo de la que se opera en esta escala.</w:t>
            </w:r>
          </w:p>
        </w:tc>
        <w:tc>
          <w:tcPr>
            <w:tcW w:w="1474" w:type="dxa"/>
          </w:tcPr>
          <w:p>
            <w:r/>
            <w:r>
              <w:rPr>
                <w:rFonts w:ascii="Arial" w:hAnsi="Arial"/>
                <w:sz w:val="20"/>
              </w:rPr>
              <w:t>ba73ac3</w:t>
            </w:r>
          </w:p>
        </w:tc>
      </w:tr>
      <w:tr>
        <w:trPr>
          <w:cantSplit/>
        </w:trPr>
        <w:tc>
          <w:tcPr>
            <w:tcW w:w="2665" w:type="dxa"/>
          </w:tcPr>
          <w:p>
            <w:r/>
            <w:r>
              <w:rPr>
                <w:rFonts w:ascii="Arial" w:hAnsi="Arial"/>
                <w:sz w:val="20"/>
              </w:rPr>
              <w:t>C‑5b · Slots de 40 pies</w:t>
            </w:r>
          </w:p>
        </w:tc>
        <w:tc>
          <w:tcPr>
            <w:tcW w:w="4082" w:type="dxa"/>
          </w:tcPr>
          <w:p>
            <w:r/>
            <w:r>
              <w:rPr>
                <w:rFonts w:ascii="Arial" w:hAnsi="Arial"/>
                <w:sz w:val="20"/>
              </w:rPr>
              <w:t>Un contenedor de 40/45 pies no se restaba de los slots que ocupa físicamente en la bahía impar vecina.</w:t>
            </w:r>
          </w:p>
        </w:tc>
        <w:tc>
          <w:tcPr>
            <w:tcW w:w="1474" w:type="dxa"/>
          </w:tcPr>
          <w:p>
            <w:r/>
            <w:r>
              <w:rPr>
                <w:rFonts w:ascii="Arial" w:hAnsi="Arial"/>
                <w:sz w:val="20"/>
              </w:rPr>
              <w:t>15cf140</w:t>
            </w:r>
          </w:p>
        </w:tc>
      </w:tr>
      <w:tr>
        <w:trPr>
          <w:cantSplit/>
        </w:trPr>
        <w:tc>
          <w:tcPr>
            <w:tcW w:w="2665" w:type="dxa"/>
          </w:tcPr>
          <w:p>
            <w:r/>
            <w:r>
              <w:rPr>
                <w:rFonts w:ascii="Arial" w:hAnsi="Arial"/>
                <w:sz w:val="20"/>
              </w:rPr>
              <w:t>C‑6 · Posición en el CSV</w:t>
            </w:r>
          </w:p>
        </w:tc>
        <w:tc>
          <w:tcPr>
            <w:tcW w:w="4082" w:type="dxa"/>
          </w:tcPr>
          <w:p>
            <w:r/>
            <w:r>
              <w:rPr>
                <w:rFonts w:ascii="Arial" w:hAnsi="Arial"/>
                <w:sz w:val="20"/>
              </w:rPr>
              <w:t>Excel interpretaba la posición de siete dígitos como número y perdía los ceros a la izquierda.</w:t>
            </w:r>
          </w:p>
        </w:tc>
        <w:tc>
          <w:tcPr>
            <w:tcW w:w="1474" w:type="dxa"/>
          </w:tcPr>
          <w:p>
            <w:r/>
            <w:r>
              <w:rPr>
                <w:rFonts w:ascii="Arial" w:hAnsi="Arial"/>
                <w:sz w:val="20"/>
              </w:rPr>
              <w:t>36f369b</w:t>
            </w:r>
          </w:p>
        </w:tc>
      </w:tr>
      <w:tr>
        <w:trPr>
          <w:cantSplit/>
        </w:trPr>
        <w:tc>
          <w:tcPr>
            <w:tcW w:w="2665" w:type="dxa"/>
          </w:tcPr>
          <w:p>
            <w:r/>
            <w:r>
              <w:rPr>
                <w:rFonts w:ascii="Arial" w:hAnsi="Arial"/>
                <w:sz w:val="20"/>
              </w:rPr>
              <w:t>C‑7 · Peso por fila</w:t>
            </w:r>
          </w:p>
        </w:tc>
        <w:tc>
          <w:tcPr>
            <w:tcW w:w="4082" w:type="dxa"/>
          </w:tcPr>
          <w:p>
            <w:r/>
            <w:r>
              <w:rPr>
                <w:rFonts w:ascii="Arial" w:hAnsi="Arial"/>
                <w:sz w:val="20"/>
              </w:rPr>
              <w:t>El límite de apilamiento se aplicaba mal por no separar el peso por fila.</w:t>
            </w:r>
          </w:p>
        </w:tc>
        <w:tc>
          <w:tcPr>
            <w:tcW w:w="1474" w:type="dxa"/>
          </w:tcPr>
          <w:p>
            <w:r/>
            <w:r>
              <w:rPr>
                <w:rFonts w:ascii="Arial" w:hAnsi="Arial"/>
                <w:sz w:val="20"/>
              </w:rPr>
              <w:t>71ad205</w:t>
            </w:r>
          </w:p>
        </w:tc>
      </w:tr>
      <w:tr>
        <w:trPr>
          <w:cantSplit/>
        </w:trPr>
        <w:tc>
          <w:tcPr>
            <w:tcW w:w="2665" w:type="dxa"/>
          </w:tcPr>
          <w:p>
            <w:r/>
            <w:r>
              <w:rPr>
                <w:rFonts w:ascii="Arial" w:hAnsi="Arial"/>
                <w:sz w:val="20"/>
              </w:rPr>
              <w:t>EQD · Indicador lleno/vacío</w:t>
            </w:r>
          </w:p>
        </w:tc>
        <w:tc>
          <w:tcPr>
            <w:tcW w:w="4082" w:type="dxa"/>
          </w:tcPr>
          <w:p>
            <w:r/>
            <w:r>
              <w:rPr>
                <w:rFonts w:ascii="Arial" w:hAnsi="Arial"/>
                <w:sz w:val="20"/>
              </w:rPr>
              <w:t>El indicador se buscaba por valor desde un índice fijo y podía leer el campo equivocado.</w:t>
            </w:r>
          </w:p>
        </w:tc>
        <w:tc>
          <w:tcPr>
            <w:tcW w:w="1474" w:type="dxa"/>
          </w:tcPr>
          <w:p>
            <w:r/>
            <w:r>
              <w:rPr>
                <w:rFonts w:ascii="Arial" w:hAnsi="Arial"/>
                <w:sz w:val="20"/>
              </w:rPr>
              <w:t>09599c8</w:t>
            </w:r>
          </w:p>
        </w:tc>
      </w:tr>
    </w:tbl>
    <w:p>
      <w:pPr>
        <w:spacing w:before="80" w:after="880"/>
        <w:ind w:left="425" w:firstLine="0"/>
      </w:pPr>
      <w:r>
        <w:rPr>
          <w:rFonts w:ascii="Arial" w:hAnsi="Arial"/>
          <w:b/>
          <w:sz w:val="24"/>
        </w:rPr>
        <w:t xml:space="preserve">Fuente: </w:t>
      </w:r>
      <w:r>
        <w:rPr>
          <w:rFonts w:ascii="Arial" w:hAnsi="Arial"/>
          <w:sz w:val="24"/>
        </w:rPr>
        <w:t>Elaboración propia.</w:t>
      </w:r>
    </w:p>
    <w:p>
      <w:pPr>
        <w:pStyle w:val="Heading2"/>
        <w:spacing w:before="0" w:after="760"/>
      </w:pPr>
      <w:r>
        <w:t>El indicador de contenedor lleno o vacío (EQD)</w:t>
      </w:r>
    </w:p>
    <w:p>
      <w:pPr>
        <w:spacing w:before="0" w:after="880"/>
        <w:ind w:left="850"/>
        <w:jc w:val="both"/>
      </w:pPr>
      <w:r>
        <w:rPr>
          <w:rFonts w:ascii="Arial" w:hAnsi="Arial"/>
          <w:sz w:val="24"/>
        </w:rPr>
        <w:t xml:space="preserve">El caso con mayor impacto cuantitativo fue el del segmento EQD. El parser original recorría los elementos del segmento desde el índice 4 y se quedaba con el primero que coincidiera con el valor '4' o '5', sin distinguir de qué campo EDIFACT provenía ese valor. En CORPUS_A03 el campo contiguo (e8249) vale '4' en 269 de 315 casos por razones ajenas al indicador real, así que la búsqueda se detenía ahí y nunca llegaba al campo correcto: </w:t>
      </w:r>
      <w:r>
        <w:rPr>
          <w:rFonts w:ascii="Arial" w:hAnsi="Arial"/>
          <w:b/>
          <w:sz w:val="24"/>
        </w:rPr>
        <w:t>269 de 315 contenedores llenos —el 85 %— se clasificaban como vacíos</w:t>
      </w:r>
      <w:r>
        <w:rPr>
          <w:rFonts w:ascii="Arial" w:hAnsi="Arial"/>
          <w:sz w:val="24"/>
        </w:rPr>
        <w:t xml:space="preserve"> en ese archivo. La corrección lee el elemento 6 por su posición fija, no por el primer valor que coincida. Se reprodujo el parseo viejo y el nuevo sobre los seis archivos primarios: CORPUS_A01 pasa de 84/893 a 242/735 contenedores llenos/vacíos, exacto a lo reportado, y el resto del corpus queda con cero estados desconocidos.</w:t>
      </w:r>
    </w:p>
    <w:p>
      <w:pPr>
        <w:pStyle w:val="Heading1"/>
        <w:spacing w:before="0" w:after="760"/>
      </w:pPr>
      <w:r>
        <w:t>Hallazgos posteriores al Sprint 1, cerrados</w:t>
      </w:r>
    </w:p>
    <w:p>
      <w:pPr>
        <w:spacing w:before="0" w:after="880"/>
        <w:ind w:left="425"/>
        <w:jc w:val="both"/>
      </w:pPr>
      <w:r>
        <w:rPr>
          <w:rFonts w:ascii="Arial" w:hAnsi="Arial"/>
          <w:sz w:val="24"/>
        </w:rPr>
        <w:t>Una vez cerrado el sprint original, la misma disciplina de verificación se aplicó a cinco hallazgos adicionales que surgieron al trabajar sobre el corpus completo. Los cinco quedaron cerrados y verificados; se describen a continuación en el orden en que se cerraron.</w:t>
      </w:r>
    </w:p>
    <w:p>
      <w:pPr>
        <w:pStyle w:val="Heading2"/>
        <w:spacing w:before="0" w:after="760"/>
      </w:pPr>
      <w:r>
        <w:t>Apertura de CORPUS_A06</w:t>
      </w:r>
    </w:p>
    <w:p>
      <w:pPr>
        <w:spacing w:before="0" w:after="880"/>
        <w:ind w:left="850"/>
        <w:jc w:val="both"/>
      </w:pPr>
      <w:r>
        <w:rPr>
          <w:rFonts w:ascii="Arial" w:hAnsi="Arial"/>
          <w:sz w:val="24"/>
        </w:rPr>
        <w:t>CORPUS_A06 es el único de los siete archivos del corpus que no abría: el parser fallaba con «No se encontró el nombre del buque en el segmento TDT». La causa es que ese archivo omite los campos vacíos intermedios que el resto del corpus sí escribe, así que el bloque c222 —donde vive el nombre del buque— aparece en el elemento 4 del segmento en vez del elemento 8, la posición del estándar que sí vale para los otros seis archivos. La corrección prueba primero la posición del estándar y, solo si ahí no hay nombre, busca el bloque por su forma —cuatro o más componentes con el cuarto no vacío— como respaldo, nunca al revés: el bloque c040 del transportista admite esa misma forma cuando trae el nombre de la naviera, así que buscar por forma sin probar antes la posición del estándar podría devolver la naviera en lugar del buque. Se reprodujo la lógica nueva en Python sobre los siete archivos crudos y los siete abren con el nombre correcto.</w:t>
      </w:r>
    </w:p>
    <w:p>
      <w:pPr>
        <w:spacing w:before="0" w:after="880"/>
        <w:ind w:left="850"/>
        <w:jc w:val="both"/>
      </w:pPr>
      <w:r>
        <w:rPr>
          <w:rFonts w:ascii="Arial" w:hAnsi="Arial"/>
          <w:sz w:val="24"/>
        </w:rPr>
        <w:t>El mismo commit corrigió, en la misma función, la lectura del transportista y de la bandera del buque: el transportista se leía de un elemento que está vacío en los seis archivos donde existe, cuando el código real vive en el bloque c040; y la bandera se leía de un elemento que no es donde el estándar la declara. La corrección lee la bandera de e8453, el quinto componente del propio bloque c222, y solo acepta un valor con forma de código de país (dos o tres letras); el único dato real de bandera del corpus, en CORPUS_A05, resultó ser un nombre de lugar y no un código, así que se descarta correctamente y ningún archivo del corpus declara bandera hoy —antes tampoco la declaraba, pero por leer un campo vacío por casualidad, no por la razón correcta.</w:t>
      </w:r>
    </w:p>
    <w:p>
      <w:pPr>
        <w:pStyle w:val="Heading2"/>
        <w:spacing w:before="0" w:after="760"/>
      </w:pPr>
      <w:r>
        <w:t>Detección de contenedores refrigerados</w:t>
      </w:r>
    </w:p>
    <w:p>
      <w:pPr>
        <w:spacing w:before="0" w:after="880"/>
        <w:ind w:left="850"/>
        <w:jc w:val="both"/>
      </w:pPr>
      <w:r>
        <w:rPr>
          <w:rFonts w:ascii="Arial" w:hAnsi="Arial"/>
          <w:sz w:val="24"/>
        </w:rPr>
        <w:t xml:space="preserve">El corpus trae 238 segmentos TMP (temperatura) y 327 contenedores con tipo ISO de refrigerado —código con R en el tercer carácter, por ejemplo 45R1—, pero la aplicación reportaba cero refrigerados en cualquier archivo. La causa es doble: el parser descarta en silencio cualquier TMP que llegue antes que su EQD en el archivo —y los 238 del corpus llegan siempre antes, nunca después—, y el segmento EQD guardaba el tipo ISO del contenedor sin revisarlo para marcarlo como refrigerado. La corrección acumula el TMP en una variable pendiente, igual que ya se hacía con los pesos del segmento MEA, y marca el contenedor como refrigerado además cuando el tipo ISO trae la R, lo que cubre a los 89 refrigerados del corpus que no traen dato de temperatura. Se reimplementó el parseo completo sobre los seis archivos primarios: </w:t>
      </w:r>
      <w:r>
        <w:rPr>
          <w:rFonts w:ascii="Arial" w:hAnsi="Arial"/>
          <w:b/>
          <w:sz w:val="24"/>
        </w:rPr>
        <w:t>327 refrigerados y 238 con temperatura, exacto contra el corpus.</w:t>
      </w:r>
    </w:p>
    <w:p>
      <w:pPr>
        <w:pStyle w:val="Heading2"/>
        <w:spacing w:before="0" w:after="760"/>
      </w:pPr>
      <w:r>
        <w:t>Puerto de esta escala desde el dato declarado (LOC+5)</w:t>
      </w:r>
    </w:p>
    <w:p>
      <w:pPr>
        <w:spacing w:before="0" w:after="880"/>
        <w:ind w:left="850"/>
        <w:jc w:val="both"/>
      </w:pPr>
      <w:r>
        <w:rPr>
          <w:rFonts w:ascii="Arial" w:hAnsi="Arial"/>
          <w:sz w:val="24"/>
        </w:rPr>
        <w:t>El sistema proponía el puerto de esta escala contando cuál puerto de carga (LOC+9, uno por contenedor) era el más frecuente en el archivo. Es una apuesta, no un dato: el archivo declara además, una sola vez en la cabecera, el puerto de salida real para el que se emitió el plano (LOC+5). Contar el más frecuente proponía el puerto equivocado en cinco de los seis archivos que traen LOC+9, y acertaba en el sexto por casualidad; el séptimo archivo, CORPUS_A06, no tiene un solo LOC+9, así que antes no proponía ningún puerto, ni bien ni mal. La corrección propone el LOC+5 declarado y deja el conteo de LOC+9 como respaldo, solo para el caso —permitido por el estándar— de un archivo sin LOC+5.</w:t>
      </w:r>
    </w:p>
    <w:p>
      <w:pPr>
        <w:keepNext/>
        <w:spacing w:before="0" w:after="0"/>
        <w:ind w:left="850" w:firstLine="0"/>
      </w:pPr>
      <w:r>
        <w:rPr>
          <w:rFonts w:ascii="Arial" w:hAnsi="Arial"/>
          <w:b/>
          <w:sz w:val="24"/>
        </w:rPr>
        <w:t>Tabla 2.</w:t>
      </w:r>
    </w:p>
    <w:p>
      <w:pPr>
        <w:keepNext/>
        <w:spacing w:line="480" w:lineRule="auto" w:before="0" w:after="0"/>
        <w:ind w:left="850" w:firstLine="0"/>
      </w:pPr>
      <w:r>
        <w:rPr>
          <w:rFonts w:ascii="Arial" w:hAnsi="Arial"/>
          <w:i/>
          <w:sz w:val="24"/>
        </w:rPr>
        <w:t>Puerto declarado en la cabecera contra el puerto de carga más frecuente, por archivo</w:t>
      </w:r>
    </w:p>
    <w:tbl>
      <w:tblPr>
        <w:tblStyle w:val="TableGrid"/>
        <w:tblW w:type="auto" w:w="0"/>
        <w:jc w:val="left"/>
        <w:tblLook w:firstColumn="1" w:firstRow="1" w:lastColumn="0" w:lastRow="0" w:noHBand="0" w:noVBand="1" w:val="04A0"/>
        <w:tblInd w:w="958" w:type="dxa"/>
        <w:tblLayout w:type="fixed"/>
        <w:tblW w:w="7370" w:type="dxa"/>
      </w:tblPr>
      <w:tblGrid>
        <w:gridCol w:w="2268"/>
        <w:gridCol w:w="1984"/>
        <w:gridCol w:w="3118"/>
      </w:tblGrid>
      <w:tr>
        <w:trPr>
          <w:cantSplit/>
          <w:tblHeader/>
        </w:trPr>
        <w:tc>
          <w:tcPr>
            <w:tcW w:w="2268" w:type="dxa"/>
          </w:tcPr>
          <w:p>
            <w:r/>
            <w:r>
              <w:rPr>
                <w:rFonts w:ascii="Arial" w:hAnsi="Arial"/>
                <w:b/>
                <w:sz w:val="20"/>
              </w:rPr>
              <w:t>Archivo</w:t>
            </w:r>
          </w:p>
        </w:tc>
        <w:tc>
          <w:tcPr>
            <w:tcW w:w="1984" w:type="dxa"/>
          </w:tcPr>
          <w:p>
            <w:r/>
            <w:r>
              <w:rPr>
                <w:rFonts w:ascii="Arial" w:hAnsi="Arial"/>
                <w:b/>
                <w:sz w:val="20"/>
              </w:rPr>
              <w:t>LOC+5 (declarado)</w:t>
            </w:r>
          </w:p>
        </w:tc>
        <w:tc>
          <w:tcPr>
            <w:tcW w:w="3118" w:type="dxa"/>
          </w:tcPr>
          <w:p>
            <w:r/>
            <w:r>
              <w:rPr>
                <w:rFonts w:ascii="Arial" w:hAnsi="Arial"/>
                <w:b/>
                <w:sz w:val="20"/>
              </w:rPr>
              <w:t>LOC+9 más frecuente</w:t>
            </w:r>
          </w:p>
        </w:tc>
      </w:tr>
      <w:tr>
        <w:trPr>
          <w:cantSplit/>
        </w:trPr>
        <w:tc>
          <w:tcPr>
            <w:tcW w:w="2268" w:type="dxa"/>
          </w:tcPr>
          <w:p>
            <w:r/>
            <w:r>
              <w:rPr>
                <w:rFonts w:ascii="Arial" w:hAnsi="Arial"/>
                <w:sz w:val="20"/>
              </w:rPr>
              <w:t>CORPUS_A01</w:t>
            </w:r>
          </w:p>
        </w:tc>
        <w:tc>
          <w:tcPr>
            <w:tcW w:w="1984" w:type="dxa"/>
          </w:tcPr>
          <w:p>
            <w:r/>
            <w:r>
              <w:rPr>
                <w:rFonts w:ascii="Arial" w:hAnsi="Arial"/>
                <w:sz w:val="20"/>
              </w:rPr>
              <w:t>GTPBR</w:t>
            </w:r>
          </w:p>
        </w:tc>
        <w:tc>
          <w:tcPr>
            <w:tcW w:w="3118" w:type="dxa"/>
          </w:tcPr>
          <w:p>
            <w:r/>
            <w:r>
              <w:rPr>
                <w:rFonts w:ascii="Arial" w:hAnsi="Arial"/>
                <w:sz w:val="20"/>
              </w:rPr>
              <w:t>HNPCR, 457 de 977</w:t>
            </w:r>
          </w:p>
        </w:tc>
      </w:tr>
      <w:tr>
        <w:trPr>
          <w:cantSplit/>
        </w:trPr>
        <w:tc>
          <w:tcPr>
            <w:tcW w:w="2268" w:type="dxa"/>
          </w:tcPr>
          <w:p>
            <w:r/>
            <w:r>
              <w:rPr>
                <w:rFonts w:ascii="Arial" w:hAnsi="Arial"/>
                <w:sz w:val="20"/>
              </w:rPr>
              <w:t>CORPUS_A02</w:t>
            </w:r>
          </w:p>
        </w:tc>
        <w:tc>
          <w:tcPr>
            <w:tcW w:w="1984" w:type="dxa"/>
          </w:tcPr>
          <w:p>
            <w:r/>
            <w:r>
              <w:rPr>
                <w:rFonts w:ascii="Arial" w:hAnsi="Arial"/>
                <w:sz w:val="20"/>
              </w:rPr>
              <w:t>HNPCR</w:t>
            </w:r>
          </w:p>
        </w:tc>
        <w:tc>
          <w:tcPr>
            <w:tcW w:w="3118" w:type="dxa"/>
          </w:tcPr>
          <w:p>
            <w:r/>
            <w:r>
              <w:rPr>
                <w:rFonts w:ascii="Arial" w:hAnsi="Arial"/>
                <w:sz w:val="20"/>
              </w:rPr>
              <w:t>COCTG, 477 de 806</w:t>
            </w:r>
          </w:p>
        </w:tc>
      </w:tr>
      <w:tr>
        <w:trPr>
          <w:cantSplit/>
        </w:trPr>
        <w:tc>
          <w:tcPr>
            <w:tcW w:w="2268" w:type="dxa"/>
          </w:tcPr>
          <w:p>
            <w:r/>
            <w:r>
              <w:rPr>
                <w:rFonts w:ascii="Arial" w:hAnsi="Arial"/>
                <w:sz w:val="20"/>
              </w:rPr>
              <w:t>CORPUS_A03 / A03v</w:t>
            </w:r>
          </w:p>
        </w:tc>
        <w:tc>
          <w:tcPr>
            <w:tcW w:w="1984" w:type="dxa"/>
          </w:tcPr>
          <w:p>
            <w:r/>
            <w:r>
              <w:rPr>
                <w:rFonts w:ascii="Arial" w:hAnsi="Arial"/>
                <w:sz w:val="20"/>
              </w:rPr>
              <w:t>HNPCR</w:t>
            </w:r>
          </w:p>
        </w:tc>
        <w:tc>
          <w:tcPr>
            <w:tcW w:w="3118" w:type="dxa"/>
          </w:tcPr>
          <w:p>
            <w:r/>
            <w:r>
              <w:rPr>
                <w:rFonts w:ascii="Arial" w:hAnsi="Arial"/>
                <w:sz w:val="20"/>
              </w:rPr>
              <w:t>JMKIN, 195 de 369</w:t>
            </w:r>
          </w:p>
        </w:tc>
      </w:tr>
      <w:tr>
        <w:trPr>
          <w:cantSplit/>
        </w:trPr>
        <w:tc>
          <w:tcPr>
            <w:tcW w:w="2268" w:type="dxa"/>
          </w:tcPr>
          <w:p>
            <w:r/>
            <w:r>
              <w:rPr>
                <w:rFonts w:ascii="Arial" w:hAnsi="Arial"/>
                <w:sz w:val="20"/>
              </w:rPr>
              <w:t>CORPUS_A04</w:t>
            </w:r>
          </w:p>
        </w:tc>
        <w:tc>
          <w:tcPr>
            <w:tcW w:w="1984" w:type="dxa"/>
          </w:tcPr>
          <w:p>
            <w:r/>
            <w:r>
              <w:rPr>
                <w:rFonts w:ascii="Arial" w:hAnsi="Arial"/>
                <w:sz w:val="20"/>
              </w:rPr>
              <w:t>GTSTC</w:t>
            </w:r>
          </w:p>
        </w:tc>
        <w:tc>
          <w:tcPr>
            <w:tcW w:w="3118" w:type="dxa"/>
          </w:tcPr>
          <w:p>
            <w:r/>
            <w:r>
              <w:rPr>
                <w:rFonts w:ascii="Arial" w:hAnsi="Arial"/>
                <w:sz w:val="20"/>
              </w:rPr>
              <w:t>VEPBL, 477 de 979</w:t>
            </w:r>
          </w:p>
        </w:tc>
      </w:tr>
      <w:tr>
        <w:trPr>
          <w:cantSplit/>
        </w:trPr>
        <w:tc>
          <w:tcPr>
            <w:tcW w:w="2268" w:type="dxa"/>
          </w:tcPr>
          <w:p>
            <w:r/>
            <w:r>
              <w:rPr>
                <w:rFonts w:ascii="Arial" w:hAnsi="Arial"/>
                <w:sz w:val="20"/>
              </w:rPr>
              <w:t>CORPUS_A05</w:t>
            </w:r>
          </w:p>
        </w:tc>
        <w:tc>
          <w:tcPr>
            <w:tcW w:w="1984" w:type="dxa"/>
          </w:tcPr>
          <w:p>
            <w:r/>
            <w:r>
              <w:rPr>
                <w:rFonts w:ascii="Arial" w:hAnsi="Arial"/>
                <w:sz w:val="20"/>
              </w:rPr>
              <w:t>GTPBR</w:t>
            </w:r>
          </w:p>
        </w:tc>
        <w:tc>
          <w:tcPr>
            <w:tcW w:w="3118" w:type="dxa"/>
          </w:tcPr>
          <w:p>
            <w:r/>
            <w:r>
              <w:rPr>
                <w:rFonts w:ascii="Arial" w:hAnsi="Arial"/>
                <w:sz w:val="20"/>
              </w:rPr>
              <w:t>GTPBR, 382 de 736 (coincide)</w:t>
            </w:r>
          </w:p>
        </w:tc>
      </w:tr>
      <w:tr>
        <w:trPr>
          <w:cantSplit/>
        </w:trPr>
        <w:tc>
          <w:tcPr>
            <w:tcW w:w="2268" w:type="dxa"/>
          </w:tcPr>
          <w:p>
            <w:r/>
            <w:r>
              <w:rPr>
                <w:rFonts w:ascii="Arial" w:hAnsi="Arial"/>
                <w:sz w:val="20"/>
              </w:rPr>
              <w:t>CORPUS_A06</w:t>
            </w:r>
          </w:p>
        </w:tc>
        <w:tc>
          <w:tcPr>
            <w:tcW w:w="1984" w:type="dxa"/>
          </w:tcPr>
          <w:p>
            <w:r/>
            <w:r>
              <w:rPr>
                <w:rFonts w:ascii="Arial" w:hAnsi="Arial"/>
                <w:sz w:val="20"/>
              </w:rPr>
              <w:t>GTPBR</w:t>
            </w:r>
          </w:p>
        </w:tc>
        <w:tc>
          <w:tcPr>
            <w:tcW w:w="3118" w:type="dxa"/>
          </w:tcPr>
          <w:p>
            <w:r/>
            <w:r>
              <w:rPr>
                <w:rFonts w:ascii="Arial" w:hAnsi="Arial"/>
                <w:sz w:val="20"/>
              </w:rPr>
              <w:t>— (no trae LOC+9)</w:t>
            </w:r>
          </w:p>
        </w:tc>
      </w:tr>
    </w:tbl>
    <w:p>
      <w:pPr>
        <w:spacing w:before="80" w:after="880"/>
        <w:ind w:left="850" w:firstLine="0"/>
      </w:pPr>
      <w:r>
        <w:rPr>
          <w:rFonts w:ascii="Arial" w:hAnsi="Arial"/>
          <w:b/>
          <w:sz w:val="24"/>
        </w:rPr>
        <w:t xml:space="preserve">Fuente: </w:t>
      </w:r>
      <w:r>
        <w:rPr>
          <w:rFonts w:ascii="Arial" w:hAnsi="Arial"/>
          <w:sz w:val="24"/>
        </w:rPr>
        <w:t>Elaboración propia.</w:t>
      </w:r>
    </w:p>
    <w:p>
      <w:pPr>
        <w:pStyle w:val="Heading2"/>
        <w:spacing w:before="0" w:after="760"/>
      </w:pPr>
      <w:r>
        <w:t>Bahías ocupadas sin carga propia</w:t>
      </w:r>
    </w:p>
    <w:p>
      <w:pPr>
        <w:spacing w:before="0" w:after="880"/>
        <w:ind w:left="850"/>
        <w:jc w:val="both"/>
      </w:pPr>
      <w:r>
        <w:rPr>
          <w:rFonts w:ascii="Arial" w:hAnsi="Arial"/>
          <w:sz w:val="24"/>
        </w:rPr>
        <w:t xml:space="preserve">Un contenedor de 40 o 45 pies, estibado siempre en bahía par, ocupa físicamente los slots de fila y nivel correspondientes en las bahías impares vecinas —regla absoluta, verificada sin una sola excepción en todo el corpus—. Hasta esta corrección, voyage.bays solo contenía bahías con contenedores propios, así que una bahía impar sin carga propia pero llena de slots ocupados por sus vecinas —una </w:t>
      </w:r>
      <w:r>
        <w:rPr>
          <w:rFonts w:ascii="Arial" w:hAnsi="Arial"/>
          <w:b/>
          <w:sz w:val="24"/>
        </w:rPr>
        <w:t>bahía invisible</w:t>
      </w:r>
      <w:r>
        <w:rPr>
          <w:rFonts w:ascii="Arial" w:hAnsi="Arial"/>
          <w:sz w:val="24"/>
        </w:rPr>
        <w:t>— no aparecía en absoluto en el plano ni en los conteos. La extensión agrega también esas bahías, con la ocupación física real, sin alterar el conteo de contenedores del viaje.</w:t>
      </w:r>
    </w:p>
    <w:p>
      <w:pPr>
        <w:keepNext/>
        <w:spacing w:before="0" w:after="0"/>
        <w:ind w:left="850" w:firstLine="0"/>
      </w:pPr>
      <w:r>
        <w:rPr>
          <w:rFonts w:ascii="Arial" w:hAnsi="Arial"/>
          <w:b/>
          <w:sz w:val="24"/>
        </w:rPr>
        <w:t>Tabla 3.</w:t>
      </w:r>
    </w:p>
    <w:p>
      <w:pPr>
        <w:keepNext/>
        <w:spacing w:line="480" w:lineRule="auto" w:before="0" w:after="0"/>
        <w:ind w:left="850" w:firstLine="0"/>
      </w:pPr>
      <w:r>
        <w:rPr>
          <w:rFonts w:ascii="Arial" w:hAnsi="Arial"/>
          <w:i/>
          <w:sz w:val="24"/>
        </w:rPr>
        <w:t>Bahías con carga propia frente a bahías invisibles (ocupadas solo por contenedores vecinos), por archivo</w:t>
      </w:r>
    </w:p>
    <w:tbl>
      <w:tblPr>
        <w:tblStyle w:val="TableGrid"/>
        <w:tblW w:type="auto" w:w="0"/>
        <w:jc w:val="left"/>
        <w:tblLook w:firstColumn="1" w:firstRow="1" w:lastColumn="0" w:lastRow="0" w:noHBand="0" w:noVBand="1" w:val="04A0"/>
        <w:tblInd w:w="958" w:type="dxa"/>
        <w:tblLayout w:type="fixed"/>
        <w:tblW w:w="7086" w:type="dxa"/>
      </w:tblPr>
      <w:tblGrid>
        <w:gridCol w:w="1984"/>
        <w:gridCol w:w="1984"/>
        <w:gridCol w:w="1701"/>
        <w:gridCol w:w="1417"/>
      </w:tblGrid>
      <w:tr>
        <w:trPr>
          <w:cantSplit/>
          <w:tblHeader/>
        </w:trPr>
        <w:tc>
          <w:tcPr>
            <w:tcW w:w="1984" w:type="dxa"/>
          </w:tcPr>
          <w:p>
            <w:r/>
            <w:r>
              <w:rPr>
                <w:rFonts w:ascii="Arial" w:hAnsi="Arial"/>
                <w:b/>
                <w:sz w:val="20"/>
              </w:rPr>
              <w:t>Archivo</w:t>
            </w:r>
          </w:p>
        </w:tc>
        <w:tc>
          <w:tcPr>
            <w:tcW w:w="1984" w:type="dxa"/>
          </w:tcPr>
          <w:p>
            <w:r/>
            <w:r>
              <w:rPr>
                <w:rFonts w:ascii="Arial" w:hAnsi="Arial"/>
                <w:b/>
                <w:sz w:val="20"/>
              </w:rPr>
              <w:t>Con carga propia</w:t>
            </w:r>
          </w:p>
        </w:tc>
        <w:tc>
          <w:tcPr>
            <w:tcW w:w="1701" w:type="dxa"/>
          </w:tcPr>
          <w:p>
            <w:r/>
            <w:r>
              <w:rPr>
                <w:rFonts w:ascii="Arial" w:hAnsi="Arial"/>
                <w:b/>
                <w:sz w:val="20"/>
              </w:rPr>
              <w:t>Invisibles</w:t>
            </w:r>
          </w:p>
        </w:tc>
        <w:tc>
          <w:tcPr>
            <w:tcW w:w="1417" w:type="dxa"/>
          </w:tcPr>
          <w:p>
            <w:r/>
            <w:r>
              <w:rPr>
                <w:rFonts w:ascii="Arial" w:hAnsi="Arial"/>
                <w:b/>
                <w:sz w:val="20"/>
              </w:rPr>
              <w:t>Total real</w:t>
            </w:r>
          </w:p>
        </w:tc>
      </w:tr>
      <w:tr>
        <w:trPr>
          <w:cantSplit/>
        </w:trPr>
        <w:tc>
          <w:tcPr>
            <w:tcW w:w="1984" w:type="dxa"/>
          </w:tcPr>
          <w:p>
            <w:r/>
            <w:r>
              <w:rPr>
                <w:rFonts w:ascii="Arial" w:hAnsi="Arial"/>
                <w:sz w:val="20"/>
              </w:rPr>
              <w:t>CORPUS_A01</w:t>
            </w:r>
          </w:p>
        </w:tc>
        <w:tc>
          <w:tcPr>
            <w:tcW w:w="1984" w:type="dxa"/>
          </w:tcPr>
          <w:p>
            <w:r/>
            <w:r>
              <w:rPr>
                <w:rFonts w:ascii="Arial" w:hAnsi="Arial"/>
                <w:sz w:val="20"/>
              </w:rPr>
              <w:t>27</w:t>
            </w:r>
          </w:p>
        </w:tc>
        <w:tc>
          <w:tcPr>
            <w:tcW w:w="1701" w:type="dxa"/>
          </w:tcPr>
          <w:p>
            <w:r/>
            <w:r>
              <w:rPr>
                <w:rFonts w:ascii="Arial" w:hAnsi="Arial"/>
                <w:sz w:val="20"/>
              </w:rPr>
              <w:t>7</w:t>
            </w:r>
          </w:p>
        </w:tc>
        <w:tc>
          <w:tcPr>
            <w:tcW w:w="1417" w:type="dxa"/>
          </w:tcPr>
          <w:p>
            <w:r/>
            <w:r>
              <w:rPr>
                <w:rFonts w:ascii="Arial" w:hAnsi="Arial"/>
                <w:sz w:val="20"/>
              </w:rPr>
              <w:t>34</w:t>
            </w:r>
          </w:p>
        </w:tc>
      </w:tr>
      <w:tr>
        <w:trPr>
          <w:cantSplit/>
        </w:trPr>
        <w:tc>
          <w:tcPr>
            <w:tcW w:w="1984" w:type="dxa"/>
          </w:tcPr>
          <w:p>
            <w:r/>
            <w:r>
              <w:rPr>
                <w:rFonts w:ascii="Arial" w:hAnsi="Arial"/>
                <w:sz w:val="20"/>
              </w:rPr>
              <w:t>CORPUS_A02</w:t>
            </w:r>
          </w:p>
        </w:tc>
        <w:tc>
          <w:tcPr>
            <w:tcW w:w="1984" w:type="dxa"/>
          </w:tcPr>
          <w:p>
            <w:r/>
            <w:r>
              <w:rPr>
                <w:rFonts w:ascii="Arial" w:hAnsi="Arial"/>
                <w:sz w:val="20"/>
              </w:rPr>
              <w:t>20</w:t>
            </w:r>
          </w:p>
        </w:tc>
        <w:tc>
          <w:tcPr>
            <w:tcW w:w="1701" w:type="dxa"/>
          </w:tcPr>
          <w:p>
            <w:r/>
            <w:r>
              <w:rPr>
                <w:rFonts w:ascii="Arial" w:hAnsi="Arial"/>
                <w:sz w:val="20"/>
              </w:rPr>
              <w:t>10</w:t>
            </w:r>
          </w:p>
        </w:tc>
        <w:tc>
          <w:tcPr>
            <w:tcW w:w="1417" w:type="dxa"/>
          </w:tcPr>
          <w:p>
            <w:r/>
            <w:r>
              <w:rPr>
                <w:rFonts w:ascii="Arial" w:hAnsi="Arial"/>
                <w:sz w:val="20"/>
              </w:rPr>
              <w:t>30</w:t>
            </w:r>
          </w:p>
        </w:tc>
      </w:tr>
      <w:tr>
        <w:trPr>
          <w:cantSplit/>
        </w:trPr>
        <w:tc>
          <w:tcPr>
            <w:tcW w:w="1984" w:type="dxa"/>
          </w:tcPr>
          <w:p>
            <w:r/>
            <w:r>
              <w:rPr>
                <w:rFonts w:ascii="Arial" w:hAnsi="Arial"/>
                <w:sz w:val="20"/>
              </w:rPr>
              <w:t>CORPUS_A03</w:t>
            </w:r>
          </w:p>
        </w:tc>
        <w:tc>
          <w:tcPr>
            <w:tcW w:w="1984" w:type="dxa"/>
          </w:tcPr>
          <w:p>
            <w:r/>
            <w:r>
              <w:rPr>
                <w:rFonts w:ascii="Arial" w:hAnsi="Arial"/>
                <w:sz w:val="20"/>
              </w:rPr>
              <w:t>14</w:t>
            </w:r>
          </w:p>
        </w:tc>
        <w:tc>
          <w:tcPr>
            <w:tcW w:w="1701" w:type="dxa"/>
          </w:tcPr>
          <w:p>
            <w:r/>
            <w:r>
              <w:rPr>
                <w:rFonts w:ascii="Arial" w:hAnsi="Arial"/>
                <w:sz w:val="20"/>
              </w:rPr>
              <w:t>13</w:t>
            </w:r>
          </w:p>
        </w:tc>
        <w:tc>
          <w:tcPr>
            <w:tcW w:w="1417" w:type="dxa"/>
          </w:tcPr>
          <w:p>
            <w:r/>
            <w:r>
              <w:rPr>
                <w:rFonts w:ascii="Arial" w:hAnsi="Arial"/>
                <w:sz w:val="20"/>
              </w:rPr>
              <w:t>27</w:t>
            </w:r>
          </w:p>
        </w:tc>
      </w:tr>
      <w:tr>
        <w:trPr>
          <w:cantSplit/>
        </w:trPr>
        <w:tc>
          <w:tcPr>
            <w:tcW w:w="1984" w:type="dxa"/>
          </w:tcPr>
          <w:p>
            <w:r/>
            <w:r>
              <w:rPr>
                <w:rFonts w:ascii="Arial" w:hAnsi="Arial"/>
                <w:sz w:val="20"/>
              </w:rPr>
              <w:t>CORPUS_A04</w:t>
            </w:r>
          </w:p>
        </w:tc>
        <w:tc>
          <w:tcPr>
            <w:tcW w:w="1984" w:type="dxa"/>
          </w:tcPr>
          <w:p>
            <w:r/>
            <w:r>
              <w:rPr>
                <w:rFonts w:ascii="Arial" w:hAnsi="Arial"/>
                <w:sz w:val="20"/>
              </w:rPr>
              <w:t>27</w:t>
            </w:r>
          </w:p>
        </w:tc>
        <w:tc>
          <w:tcPr>
            <w:tcW w:w="1701" w:type="dxa"/>
          </w:tcPr>
          <w:p>
            <w:r/>
            <w:r>
              <w:rPr>
                <w:rFonts w:ascii="Arial" w:hAnsi="Arial"/>
                <w:sz w:val="20"/>
              </w:rPr>
              <w:t>7</w:t>
            </w:r>
          </w:p>
        </w:tc>
        <w:tc>
          <w:tcPr>
            <w:tcW w:w="1417" w:type="dxa"/>
          </w:tcPr>
          <w:p>
            <w:r/>
            <w:r>
              <w:rPr>
                <w:rFonts w:ascii="Arial" w:hAnsi="Arial"/>
                <w:sz w:val="20"/>
              </w:rPr>
              <w:t>34</w:t>
            </w:r>
          </w:p>
        </w:tc>
      </w:tr>
      <w:tr>
        <w:trPr>
          <w:cantSplit/>
        </w:trPr>
        <w:tc>
          <w:tcPr>
            <w:tcW w:w="1984" w:type="dxa"/>
          </w:tcPr>
          <w:p>
            <w:r/>
            <w:r>
              <w:rPr>
                <w:rFonts w:ascii="Arial" w:hAnsi="Arial"/>
                <w:sz w:val="20"/>
              </w:rPr>
              <w:t>CORPUS_A05</w:t>
            </w:r>
          </w:p>
        </w:tc>
        <w:tc>
          <w:tcPr>
            <w:tcW w:w="1984" w:type="dxa"/>
          </w:tcPr>
          <w:p>
            <w:r/>
            <w:r>
              <w:rPr>
                <w:rFonts w:ascii="Arial" w:hAnsi="Arial"/>
                <w:sz w:val="20"/>
              </w:rPr>
              <w:t>21</w:t>
            </w:r>
          </w:p>
        </w:tc>
        <w:tc>
          <w:tcPr>
            <w:tcW w:w="1701" w:type="dxa"/>
          </w:tcPr>
          <w:p>
            <w:r/>
            <w:r>
              <w:rPr>
                <w:rFonts w:ascii="Arial" w:hAnsi="Arial"/>
                <w:sz w:val="20"/>
              </w:rPr>
              <w:t>6</w:t>
            </w:r>
          </w:p>
        </w:tc>
        <w:tc>
          <w:tcPr>
            <w:tcW w:w="1417" w:type="dxa"/>
          </w:tcPr>
          <w:p>
            <w:r/>
            <w:r>
              <w:rPr>
                <w:rFonts w:ascii="Arial" w:hAnsi="Arial"/>
                <w:sz w:val="20"/>
              </w:rPr>
              <w:t>27</w:t>
            </w:r>
          </w:p>
        </w:tc>
      </w:tr>
      <w:tr>
        <w:trPr>
          <w:cantSplit/>
        </w:trPr>
        <w:tc>
          <w:tcPr>
            <w:tcW w:w="1984" w:type="dxa"/>
          </w:tcPr>
          <w:p>
            <w:r/>
            <w:r>
              <w:rPr>
                <w:rFonts w:ascii="Arial" w:hAnsi="Arial"/>
                <w:sz w:val="20"/>
              </w:rPr>
              <w:t>CORPUS_A06</w:t>
            </w:r>
          </w:p>
        </w:tc>
        <w:tc>
          <w:tcPr>
            <w:tcW w:w="1984" w:type="dxa"/>
          </w:tcPr>
          <w:p>
            <w:r/>
            <w:r>
              <w:rPr>
                <w:rFonts w:ascii="Arial" w:hAnsi="Arial"/>
                <w:sz w:val="20"/>
              </w:rPr>
              <w:t>21</w:t>
            </w:r>
          </w:p>
        </w:tc>
        <w:tc>
          <w:tcPr>
            <w:tcW w:w="1701" w:type="dxa"/>
          </w:tcPr>
          <w:p>
            <w:r/>
            <w:r>
              <w:rPr>
                <w:rFonts w:ascii="Arial" w:hAnsi="Arial"/>
                <w:sz w:val="20"/>
              </w:rPr>
              <w:t>6</w:t>
            </w:r>
          </w:p>
        </w:tc>
        <w:tc>
          <w:tcPr>
            <w:tcW w:w="1417" w:type="dxa"/>
          </w:tcPr>
          <w:p>
            <w:r/>
            <w:r>
              <w:rPr>
                <w:rFonts w:ascii="Arial" w:hAnsi="Arial"/>
                <w:sz w:val="20"/>
              </w:rPr>
              <w:t>27</w:t>
            </w:r>
          </w:p>
        </w:tc>
      </w:tr>
    </w:tbl>
    <w:p>
      <w:pPr>
        <w:spacing w:before="80" w:after="880"/>
        <w:ind w:left="850" w:firstLine="0"/>
      </w:pPr>
      <w:r>
        <w:rPr>
          <w:rFonts w:ascii="Arial" w:hAnsi="Arial"/>
          <w:b/>
          <w:sz w:val="24"/>
        </w:rPr>
        <w:t xml:space="preserve">Fuente: </w:t>
      </w:r>
      <w:r>
        <w:rPr>
          <w:rFonts w:ascii="Arial" w:hAnsi="Arial"/>
          <w:sz w:val="24"/>
        </w:rPr>
        <w:t>Elaboración propia.</w:t>
      </w:r>
    </w:p>
    <w:p>
      <w:pPr>
        <w:spacing w:before="0" w:after="880"/>
        <w:ind w:left="850"/>
        <w:jc w:val="both"/>
      </w:pPr>
      <w:r>
        <w:rPr>
          <w:rFonts w:ascii="Arial" w:hAnsi="Arial"/>
          <w:sz w:val="24"/>
        </w:rPr>
        <w:t>En CORPUS_A03 las bahías invisibles (13) casi igualan a las visibles (14): el plano anterior mostraba poco más de la mitad de las bahías físicamente ocupadas del buque. El resumen y el reporte PDF pasan de reportar 27 a reportar 34 bahías con CORPUS_A01, y esa cifra —el total físico, no solo la carga propia— es la que se decidió mantener; el razonamiento se detalla en la sección IV.</w:t>
      </w:r>
    </w:p>
    <w:p>
      <w:pPr>
        <w:pStyle w:val="Heading1"/>
        <w:spacing w:before="0" w:after="760"/>
      </w:pPr>
      <w:r>
        <w:t>Decisiones de producto</w:t>
      </w:r>
    </w:p>
    <w:p>
      <w:pPr>
        <w:pStyle w:val="Heading2"/>
        <w:spacing w:before="0" w:after="760"/>
      </w:pPr>
      <w:r>
        <w:t>El conteo de «bahías» se mantiene en el total físico</w:t>
      </w:r>
    </w:p>
    <w:p>
      <w:pPr>
        <w:spacing w:before="0" w:after="880"/>
        <w:ind w:left="850"/>
        <w:jc w:val="both"/>
      </w:pPr>
      <w:r>
        <w:rPr>
          <w:rFonts w:ascii="Arial" w:hAnsi="Arial"/>
          <w:sz w:val="24"/>
        </w:rPr>
        <w:t>Al cerrar la extensión anterior quedó una pregunta de producto abierta: si el conteo de «bahías» que muestran el resumen y el reporte PDF debía seguir contando solo las bahías con carga propia —27 en CORPUS_A01— o pasar a contar las 34 físicamente ocupadas, propias más las que solo tienen slots ocupados por una vecina. Se decidió mantener 34. La razón es la misma por la que se hizo la extensión en primer lugar: el número de 27 es el que este mismo proceso de verificación demostró que esconde una séptima parte del buque realmente ocupado en ese archivo, y volver a 27 equivaldría a deshacer esa corrección en el reporte que más consulta un planificador de estiba. Queda pendiente, sin ser bloqueante, una aclaración visual —de qué esas 34 bahías, 7 no tienen contenedor propio— para que la cifra no se interprete como si las 34 mostraran carga visible; se detalla en la sección V.</w:t>
      </w:r>
    </w:p>
    <w:p>
      <w:pPr>
        <w:pStyle w:val="Heading1"/>
        <w:spacing w:before="0" w:after="760"/>
      </w:pPr>
      <w:r>
        <w:t>Pendientes sin cerrar</w:t>
      </w:r>
    </w:p>
    <w:p>
      <w:pPr>
        <w:spacing w:before="0" w:after="880"/>
        <w:ind w:left="425"/>
        <w:jc w:val="both"/>
      </w:pPr>
      <w:r>
        <w:rPr>
          <w:rFonts w:ascii="Arial" w:hAnsi="Arial"/>
          <w:sz w:val="24"/>
        </w:rPr>
        <w:t>Al cierre de este documento no queda ningún defecto técnico verificado como bloqueante. Quedan tres anotaciones sin urgencia, ninguna con código escrito todavía, que se documentan aquí para que quien retome el proyecto no tenga que redescubrirlas.</w:t>
      </w:r>
    </w:p>
    <w:p>
      <w:pPr>
        <w:pStyle w:val="Heading2"/>
        <w:spacing w:before="0" w:after="760"/>
      </w:pPr>
      <w:r>
        <w:t>Calificadores LOC+6 y LOC+12 de CORPUS_A06</w:t>
      </w:r>
    </w:p>
    <w:p>
      <w:pPr>
        <w:spacing w:before="0" w:after="880"/>
        <w:ind w:left="850"/>
        <w:jc w:val="both"/>
      </w:pPr>
      <w:r>
        <w:rPr>
          <w:rFonts w:ascii="Arial" w:hAnsi="Arial"/>
          <w:sz w:val="24"/>
        </w:rPr>
        <w:t>Donde los otros seis archivos del corpus traen un segmento LOC+9 (puerto de carga) y un LOC+11 (puerto de descarga) por contenedor, CORPUS_A06 trae en su lugar exactamente 717 segmentos LOC+6 y 717 LOC+12 —uno de cada uno por sus 717 contenedores—, y es el único de los siete archivos que declara la versión SMDG15 del estándar; el resto no trae esa etiqueta. No se debe asumir que esos calificadores equivalen a 9 y 11 solo porque ocupan el mismo lugar en el grupo de segmentos: esa misma clase de suposición por apariencia, sin confirmar el significado real del dato, ya produjo dos hallazgos erróneos durante este proceso, descritos en la sección VI. Hace falta confirmar qué significan esos calificadores en esa versión del estándar antes de tratar CORPUS_A06 como los demás archivos para la carga de paso.</w:t>
      </w:r>
    </w:p>
    <w:p>
      <w:pPr>
        <w:pStyle w:val="Heading2"/>
        <w:spacing w:before="0" w:after="760"/>
      </w:pPr>
      <w:r>
        <w:t>Detención (ANR) en Android</w:t>
      </w:r>
    </w:p>
    <w:p>
      <w:pPr>
        <w:spacing w:before="0" w:after="880"/>
        <w:ind w:left="850"/>
        <w:jc w:val="both"/>
      </w:pPr>
      <w:r>
        <w:rPr>
          <w:rFonts w:ascii="Arial" w:hAnsi="Arial"/>
          <w:sz w:val="24"/>
        </w:rPr>
        <w:t>Abrir el plano de bahía con el corpus completo produjo, durante la auditoría del 29 de agosto, un ANR persistente en Android API 36 —Windows y Web no se vieron afectados—. La hipótesis principal era la misma causa que corrige C‑4: al interpolar 45 niveles continuos por bahía en vez de los 12 reales, se construían unas 585 celdas por bahía, la mayoría vacías. Existe una nota, en el documento técnico completo, de que el ANR no reprodujo en un emulador API 36 tras aplicar C‑4; pero el segundo programador confirmó el 4 de septiembre que el problema sigue vivo. Esas dos afirmaciones no encajan todavía y quedan sin reconciliar en este documento: falta confirmar si el ANR reprodujo en dispositivo real y no en emulador, o si volvió a aparecer tras otro cambio posterior a esa prueba.</w:t>
      </w:r>
    </w:p>
    <w:p>
      <w:pPr>
        <w:pStyle w:val="Heading2"/>
        <w:spacing w:before="0" w:after="760"/>
      </w:pPr>
      <w:r>
        <w:t>Aclaración visual de las 34 bahías</w:t>
      </w:r>
    </w:p>
    <w:p>
      <w:pPr>
        <w:spacing w:before="0" w:after="880"/>
        <w:ind w:left="850"/>
        <w:jc w:val="both"/>
      </w:pPr>
      <w:r>
        <w:rPr>
          <w:rFonts w:ascii="Arial" w:hAnsi="Arial"/>
          <w:sz w:val="24"/>
        </w:rPr>
        <w:t>Consecuencia directa de la decisión de la sección IV: el resumen y el reporte PDF muestran 34 bahías en CORPUS_A01 sin distinguir cuáles tienen contenedores propios y cuáles solo están ocupadas por una vecina. Falta una aclaración de interfaz —estimada en una línea de texto— que lo diga explícitamente, para que quien lea el número no espere ver carga propia en las siete bahías invisibles.</w:t>
      </w:r>
    </w:p>
    <w:p>
      <w:pPr>
        <w:pStyle w:val="Heading1"/>
        <w:spacing w:before="0" w:after="760"/>
      </w:pPr>
      <w:r>
        <w:t>Método de verificación: lo que la doble revisión corrigió</w:t>
      </w:r>
    </w:p>
    <w:p>
      <w:pPr>
        <w:spacing w:before="0" w:after="880"/>
        <w:ind w:left="425"/>
        <w:jc w:val="both"/>
      </w:pPr>
      <w:r>
        <w:rPr>
          <w:rFonts w:ascii="Arial" w:hAnsi="Arial"/>
          <w:sz w:val="24"/>
        </w:rPr>
        <w:t>El valor de contrastar cada afirmación contra el corpus, en vez de darla por buena, no es abstracto: a lo largo del proceso corrigió seis afirmaciones concretas que habrían quedado mal registradas. Tres de ellas eran del propio autor de este documento, no solo de los programadores; se listan igual, porque ocultarlas habría desvirtuado el método que este documento defiende.</w:t>
      </w:r>
    </w:p>
    <w:p>
      <w:pPr>
        <w:keepNext/>
        <w:spacing w:before="0" w:after="0"/>
        <w:ind w:left="425" w:firstLine="0"/>
      </w:pPr>
      <w:r>
        <w:rPr>
          <w:rFonts w:ascii="Arial" w:hAnsi="Arial"/>
          <w:b/>
          <w:sz w:val="24"/>
        </w:rPr>
        <w:t>Tabla 4.</w:t>
      </w:r>
    </w:p>
    <w:p>
      <w:pPr>
        <w:keepNext/>
        <w:spacing w:line="480" w:lineRule="auto" w:before="0" w:after="0"/>
        <w:ind w:left="425" w:firstLine="0"/>
      </w:pPr>
      <w:r>
        <w:rPr>
          <w:rFonts w:ascii="Arial" w:hAnsi="Arial"/>
          <w:i/>
          <w:sz w:val="24"/>
        </w:rPr>
        <w:t>Correcciones al propio proceso de verificación, con su causa</w:t>
      </w:r>
    </w:p>
    <w:tbl>
      <w:tblPr>
        <w:tblStyle w:val="TableGrid"/>
        <w:tblW w:type="auto" w:w="0"/>
        <w:jc w:val="left"/>
        <w:tblLook w:firstColumn="1" w:firstRow="1" w:lastColumn="0" w:lastRow="0" w:noHBand="0" w:noVBand="1" w:val="04A0"/>
        <w:tblInd w:w="533" w:type="dxa"/>
        <w:tblLayout w:type="fixed"/>
        <w:tblW w:w="8250" w:type="dxa"/>
      </w:tblPr>
      <w:tblGrid>
        <w:gridCol w:w="1191"/>
        <w:gridCol w:w="3317"/>
        <w:gridCol w:w="3742"/>
      </w:tblGrid>
      <w:tr>
        <w:trPr>
          <w:cantSplit/>
          <w:tblHeader/>
        </w:trPr>
        <w:tc>
          <w:tcPr>
            <w:tcW w:w="1191" w:type="dxa"/>
          </w:tcPr>
          <w:p>
            <w:r/>
            <w:r>
              <w:rPr>
                <w:rFonts w:ascii="Arial" w:hAnsi="Arial"/>
                <w:b/>
                <w:sz w:val="20"/>
              </w:rPr>
              <w:t>N.</w:t>
            </w:r>
          </w:p>
        </w:tc>
        <w:tc>
          <w:tcPr>
            <w:tcW w:w="3317" w:type="dxa"/>
          </w:tcPr>
          <w:p>
            <w:r/>
            <w:r>
              <w:rPr>
                <w:rFonts w:ascii="Arial" w:hAnsi="Arial"/>
                <w:b/>
                <w:sz w:val="20"/>
              </w:rPr>
              <w:t>Afirmación corregida</w:t>
            </w:r>
          </w:p>
        </w:tc>
        <w:tc>
          <w:tcPr>
            <w:tcW w:w="3742" w:type="dxa"/>
          </w:tcPr>
          <w:p>
            <w:r/>
            <w:r>
              <w:rPr>
                <w:rFonts w:ascii="Arial" w:hAnsi="Arial"/>
                <w:b/>
                <w:sz w:val="20"/>
              </w:rPr>
              <w:t>Causa</w:t>
            </w:r>
          </w:p>
        </w:tc>
      </w:tr>
      <w:tr>
        <w:trPr>
          <w:cantSplit/>
        </w:trPr>
        <w:tc>
          <w:tcPr>
            <w:tcW w:w="1191" w:type="dxa"/>
          </w:tcPr>
          <w:p>
            <w:r/>
            <w:r>
              <w:rPr>
                <w:rFonts w:ascii="Arial" w:hAnsi="Arial"/>
                <w:sz w:val="20"/>
              </w:rPr>
              <w:t>1</w:t>
            </w:r>
          </w:p>
        </w:tc>
        <w:tc>
          <w:tcPr>
            <w:tcW w:w="3317" w:type="dxa"/>
          </w:tcPr>
          <w:p>
            <w:r/>
            <w:r>
              <w:rPr>
                <w:rFonts w:ascii="Arial" w:hAnsi="Arial"/>
                <w:sz w:val="20"/>
              </w:rPr>
              <w:t>Ocupación «real» de CORPUS_A01 en 74.1 %.</w:t>
            </w:r>
          </w:p>
        </w:tc>
        <w:tc>
          <w:tcPr>
            <w:tcW w:w="3742" w:type="dxa"/>
          </w:tcPr>
          <w:p>
            <w:r/>
            <w:r>
              <w:rPr>
                <w:rFonts w:ascii="Arial" w:hAnsi="Arial"/>
                <w:sz w:val="20"/>
              </w:rPr>
              <w:t>Denominador que premiaba a las bahías casi vacías; el valor correcto sobre la geometría declarada es 23.2 %.</w:t>
            </w:r>
          </w:p>
        </w:tc>
      </w:tr>
      <w:tr>
        <w:trPr>
          <w:cantSplit/>
        </w:trPr>
        <w:tc>
          <w:tcPr>
            <w:tcW w:w="1191" w:type="dxa"/>
          </w:tcPr>
          <w:p>
            <w:r/>
            <w:r>
              <w:rPr>
                <w:rFonts w:ascii="Arial" w:hAnsi="Arial"/>
                <w:sz w:val="20"/>
              </w:rPr>
              <w:t>2 y 5</w:t>
            </w:r>
          </w:p>
        </w:tc>
        <w:tc>
          <w:tcPr>
            <w:tcW w:w="3317" w:type="dxa"/>
          </w:tcPr>
          <w:p>
            <w:r/>
            <w:r>
              <w:rPr>
                <w:rFonts w:ascii="Arial" w:hAnsi="Arial"/>
                <w:sz w:val="20"/>
              </w:rPr>
              <w:t>El nivel 80 de cubierta existe pero siempre vacío.</w:t>
            </w:r>
          </w:p>
        </w:tc>
        <w:tc>
          <w:tcPr>
            <w:tcW w:w="3742" w:type="dxa"/>
          </w:tcPr>
          <w:p>
            <w:r/>
            <w:r>
              <w:rPr>
                <w:rFonts w:ascii="Arial" w:hAnsi="Arial"/>
                <w:sz w:val="20"/>
              </w:rPr>
              <w:t>Dato de origen incorrecto: el nivel real más bajo de cubierta es el 82, no el 80; la cubierta tiene cinco niveles, no seis.</w:t>
            </w:r>
          </w:p>
        </w:tc>
      </w:tr>
      <w:tr>
        <w:trPr>
          <w:cantSplit/>
        </w:trPr>
        <w:tc>
          <w:tcPr>
            <w:tcW w:w="1191" w:type="dxa"/>
          </w:tcPr>
          <w:p>
            <w:r/>
            <w:r>
              <w:rPr>
                <w:rFonts w:ascii="Arial" w:hAnsi="Arial"/>
                <w:sz w:val="20"/>
              </w:rPr>
              <w:t>3</w:t>
            </w:r>
          </w:p>
        </w:tc>
        <w:tc>
          <w:tcPr>
            <w:tcW w:w="3317" w:type="dxa"/>
          </w:tcPr>
          <w:p>
            <w:r/>
            <w:r>
              <w:rPr>
                <w:rFonts w:ascii="Arial" w:hAnsi="Arial"/>
                <w:sz w:val="20"/>
              </w:rPr>
              <w:t>Las equis del plano impreso indican slots inexistentes.</w:t>
            </w:r>
          </w:p>
        </w:tc>
        <w:tc>
          <w:tcPr>
            <w:tcW w:w="3742" w:type="dxa"/>
          </w:tcPr>
          <w:p>
            <w:r/>
            <w:r>
              <w:rPr>
                <w:rFonts w:ascii="Arial" w:hAnsi="Arial"/>
                <w:sz w:val="20"/>
              </w:rPr>
              <w:t>Interpretación por apariencia sin preguntar: son marcas manuales del planificador sobre carga que no se opera en esa escala.</w:t>
            </w:r>
          </w:p>
        </w:tc>
      </w:tr>
      <w:tr>
        <w:trPr>
          <w:cantSplit/>
        </w:trPr>
        <w:tc>
          <w:tcPr>
            <w:tcW w:w="1191" w:type="dxa"/>
          </w:tcPr>
          <w:p>
            <w:r/>
            <w:r>
              <w:rPr>
                <w:rFonts w:ascii="Arial" w:hAnsi="Arial"/>
                <w:sz w:val="20"/>
              </w:rPr>
              <w:t>6</w:t>
            </w:r>
          </w:p>
        </w:tc>
        <w:tc>
          <w:tcPr>
            <w:tcW w:w="3317" w:type="dxa"/>
          </w:tcPr>
          <w:p>
            <w:r/>
            <w:r>
              <w:rPr>
                <w:rFonts w:ascii="Arial" w:hAnsi="Arial"/>
                <w:sz w:val="20"/>
              </w:rPr>
              <w:t>Denominador de bahías invisibles en A03/A05/A06 (42.3 %).</w:t>
            </w:r>
          </w:p>
        </w:tc>
        <w:tc>
          <w:tcPr>
            <w:tcW w:w="3742" w:type="dxa"/>
          </w:tcPr>
          <w:p>
            <w:r/>
            <w:r>
              <w:rPr>
                <w:rFonts w:ascii="Arial" w:hAnsi="Arial"/>
                <w:sz w:val="20"/>
              </w:rPr>
              <w:t>Se aplicó la geometría de 156 huecos por bahía de A01 a los seis archivos por igual; A03, A05 y A06 tienen 132, no 156. El valor correcto es 50.0 %.</w:t>
            </w:r>
          </w:p>
        </w:tc>
      </w:tr>
    </w:tbl>
    <w:p>
      <w:pPr>
        <w:spacing w:before="80" w:after="880"/>
        <w:ind w:left="425" w:firstLine="0"/>
      </w:pPr>
      <w:r>
        <w:rPr>
          <w:rFonts w:ascii="Arial" w:hAnsi="Arial"/>
          <w:b/>
          <w:sz w:val="24"/>
        </w:rPr>
        <w:t xml:space="preserve">Fuente: </w:t>
      </w:r>
      <w:r>
        <w:rPr>
          <w:rFonts w:ascii="Arial" w:hAnsi="Arial"/>
          <w:sz w:val="24"/>
        </w:rPr>
        <w:t>Elaboración propia.</w:t>
      </w:r>
    </w:p>
    <w:p>
      <w:pPr>
        <w:spacing w:before="0" w:after="880"/>
        <w:ind w:left="425"/>
        <w:jc w:val="both"/>
      </w:pPr>
      <w:r>
        <w:rPr>
          <w:rFonts w:ascii="Arial" w:hAnsi="Arial"/>
          <w:sz w:val="24"/>
        </w:rPr>
        <w:t xml:space="preserve">El patrón común a las correcciones 3 y 6 es el mismo que ya había documentado la auditoría de seguridad del 25 de agosto sobre las reglas de Firestore: inferir el significado de un dato del mundo real en vez de observarlo o preguntarlo. Es, en palabras del propio proceso, la lección operativa que más veces se repitió durante este sprint: </w:t>
      </w:r>
      <w:r>
        <w:rPr>
          <w:rFonts w:ascii="Arial" w:hAnsi="Arial"/>
          <w:b/>
          <w:sz w:val="24"/>
        </w:rPr>
        <w:t>cuando el dato viene del mundo y no del código, se observa o se pregunta; no se deduce.</w:t>
      </w:r>
    </w:p>
    <w:p>
      <w:pPr>
        <w:pStyle w:val="Heading1"/>
        <w:spacing w:before="0" w:after="760"/>
      </w:pPr>
      <w:r>
        <w:t>Conclusiones</w:t>
      </w:r>
    </w:p>
    <w:p>
      <w:pPr>
        <w:spacing w:before="0" w:after="880"/>
        <w:ind w:left="425"/>
        <w:jc w:val="both"/>
      </w:pPr>
      <w:r>
        <w:rPr>
          <w:rFonts w:ascii="Arial" w:hAnsi="Arial"/>
          <w:sz w:val="24"/>
        </w:rPr>
        <w:t>Las nueve correcciones del Sprint 1 y los cinco hallazgos posteriores quedan cerrados y verificados contra el corpus completo de seis archivos BAPLIE reales, no solo reportados por quien los implementó. Los cinco puntos de retroalimentación del tutor sobre el Incremento 1 quedan atendidos. La aplicación compila en Windows, Android y Web; las 135 pruebas automatizadas pasan y flutter analyze se mantiene en 49 observaciones preexistentes, la línea base que el proyecto se propuso no subir.</w:t>
      </w:r>
    </w:p>
    <w:p>
      <w:pPr>
        <w:spacing w:before="0" w:after="880"/>
        <w:ind w:left="425"/>
        <w:jc w:val="both"/>
      </w:pPr>
      <w:r>
        <w:rPr>
          <w:rFonts w:ascii="Arial" w:hAnsi="Arial"/>
          <w:sz w:val="24"/>
        </w:rPr>
        <w:t>Quedan tres anotaciones sin cerrar, ninguna bloqueante: el significado de los calificadores LOC+6/LOC+12 en CORPUS_A06, la reconciliación del estado del ANR de Android entre lo probado en emulador y lo reportado en dispositivo, y una aclaración visual sobre la composición de las 34 bahías de CORPUS_A01. Las tres quedan documentadas en la sección V para quien retome el proyecto en las tareas de cierre de octubre.</w:t>
      </w:r>
    </w:p>
    <w:p>
      <w:pPr>
        <w:spacing w:before="0" w:after="880"/>
        <w:ind w:left="425"/>
        <w:jc w:val="both"/>
      </w:pPr>
      <w:r>
        <w:rPr>
          <w:rFonts w:ascii="Arial" w:hAnsi="Arial"/>
          <w:sz w:val="24"/>
        </w:rPr>
        <w:t>El resultado más transferible del sprint no es una cifra sino un método: la disciplina de doble verificación —código contra corpus, cada afirmación reproducida de forma independiente antes de aceptarse— detectó y corrigió errores de los tres participantes del proceso, incluido quien lo documenta. Esa disciplina es, junto con el principio de la cota inferior descrito en la introducción, el criterio que debería gobernar el resto del proyecto de graduación.</w:t>
      </w:r>
    </w:p>
    <w:sectPr w:rsidR="00FC693F" w:rsidRPr="0006063C" w:rsidSect="00034616">
      <w:headerReference w:type="default" r:id="rId12"/>
      <w:pgSz w:w="12240" w:h="15840"/>
      <w:pgMar w:top="1701" w:right="1417" w:bottom="1701" w:left="1984"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Roman"/>
      <w:pStyle w:val="Heading1"/>
      <w:lvlText w:val="%1."/>
      <w:suff w:val="tab"/>
      <w:lvlJc w:val="left"/>
      <w:pPr>
        <w:tabs>
          <w:tab w:val="num" w:pos="425"/>
        </w:tabs>
        <w:ind w:left="425" w:hanging="425"/>
      </w:pPr>
      <w:rPr>
        <w:b/>
        <w:rFonts w:ascii="Arial" w:hAnsi="Arial"/>
      </w:rPr>
    </w:lvl>
    <w:lvl w:ilvl="1">
      <w:start w:val="1"/>
      <w:numFmt w:val="upperLetter"/>
      <w:pStyle w:val="Heading2"/>
      <w:lvlText w:val="%2."/>
      <w:suff w:val="tab"/>
      <w:lvlJc w:val="left"/>
      <w:pPr>
        <w:tabs>
          <w:tab w:val="num" w:pos="850"/>
        </w:tabs>
        <w:ind w:left="850" w:hanging="425"/>
      </w:pPr>
      <w:rPr>
        <w:b/>
        <w:rFonts w:ascii="Arial" w:hAnsi="Arial"/>
      </w:rPr>
    </w:lvl>
    <w:lvl w:ilvl="2">
      <w:start w:val="1"/>
      <w:numFmt w:val="decimal"/>
      <w:pStyle w:val="Heading3"/>
      <w:lvlText w:val="%3."/>
      <w:suff w:val="tab"/>
      <w:lvlJc w:val="left"/>
      <w:pPr>
        <w:tabs>
          <w:tab w:val="num" w:pos="1276"/>
        </w:tabs>
        <w:ind w:left="1276" w:hanging="426"/>
      </w:pPr>
      <w:rPr>
        <w:b/>
        <w:rFonts w:ascii="Arial" w:hAnsi="Arial"/>
      </w:rPr>
    </w:lvl>
    <w:lvl w:ilvl="3">
      <w:start w:val="1"/>
      <w:numFmt w:val="lowerLetter"/>
      <w:pStyle w:val="Heading4"/>
      <w:lvlText w:val="%4."/>
      <w:suff w:val="tab"/>
      <w:lvlJc w:val="left"/>
      <w:pPr>
        <w:tabs>
          <w:tab w:val="num" w:pos="1276"/>
        </w:tabs>
        <w:ind w:left="1276" w:hanging="426"/>
      </w:pPr>
      <w:rPr>
        <w:b/>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240"/>
      <w:ind w:firstLine="357"/>
      <w:jc w:val="both"/>
    </w:pPr>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numPr>
        <w:ilvl w:val="0"/>
        <w:numId w:val="10"/>
      </w:numPr>
    </w:pPr>
    <w:rPr>
      <w:rFonts w:asciiTheme="majorHAnsi" w:eastAsiaTheme="majorEastAsia" w:hAnsiTheme="majorHAnsi" w:cstheme="majorBidi" w:ascii="Arial" w:hAnsi="Arial" w:eastAsia="Arial" w:cs="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numPr>
        <w:ilvl w:val="1"/>
        <w:numId w:val="10"/>
      </w:numPr>
    </w:pPr>
    <w:rPr>
      <w:rFonts w:asciiTheme="majorHAnsi" w:eastAsiaTheme="majorEastAsia" w:hAnsiTheme="majorHAnsi" w:cstheme="majorBidi" w:ascii="Arial" w:hAnsi="Arial" w:eastAsia="Arial" w:cs="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numPr>
        <w:ilvl w:val="2"/>
        <w:numId w:val="10"/>
      </w:numPr>
    </w:pPr>
    <w:rPr>
      <w:rFonts w:asciiTheme="majorHAnsi" w:eastAsiaTheme="majorEastAsia" w:hAnsiTheme="majorHAnsi" w:cstheme="majorBidi" w:ascii="Arial" w:hAnsi="Arial" w:eastAsia="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jc w:val="left"/>
      <w:outlineLvl w:val="3"/>
      <w:numPr>
        <w:ilvl w:val="3"/>
        <w:numId w:val="10"/>
      </w:numPr>
    </w:pPr>
    <w:rPr>
      <w:rFonts w:asciiTheme="majorHAnsi" w:eastAsiaTheme="majorEastAsia" w:hAnsiTheme="majorHAnsi" w:cstheme="majorBidi" w:ascii="Arial" w:hAnsi="Arial" w:eastAsia="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numPr>
        <w:ilvl w:val="0"/>
        <w:numId w:val="0"/>
      </w:num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entregables académicos BayStream</dc:title>
  <dc:subject>Formato UMG definido por Carlos Martínez</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