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8538"/>
        <w:jc w:val="left"/>
        <w:tblLayout w:type="fixed"/>
        <w:tblLook w:firstColumn="1" w:firstRow="1" w:lastColumn="0" w:lastRow="0" w:noHBand="0" w:noVBand="1" w:val="04A0"/>
        <w:tblBorders>
          <w:top w:val="nil"/>
          <w:left w:val="nil"/>
          <w:bottom w:val="nil"/>
          <w:right w:val="nil"/>
          <w:insideH w:val="nil"/>
          <w:insideV w:val="nil"/>
        </w:tblBorders>
      </w:tblPr>
      <w:tblGrid>
        <w:gridCol w:w="6384"/>
        <w:gridCol w:w="2154"/>
      </w:tblGrid>
      <w:tr>
        <w:tc>
          <w:tcPr>
            <w:tcW w:type="dxa" w:w="6384"/>
            <w:vAlign w:val="top"/>
          </w:tcPr>
          <w:p>
            <w:pPr>
              <w:spacing w:after="0" w:line="360" w:lineRule="auto"/>
              <w:jc w:val="left"/>
              <w:ind w:firstLine="0"/>
            </w:pPr>
            <w:r>
              <w:rPr>
                <w:rFonts w:ascii="Arial" w:hAnsi="Arial" w:eastAsia="Arial" w:cs="Arial"/>
                <w:sz w:val="24"/>
              </w:rPr>
              <w:t>Universidad Mariano Gálvez de Guatemala</w:t>
            </w:r>
            <w:r>
              <w:br/>
            </w:r>
            <w:r>
              <w:rPr>
                <w:rFonts w:ascii="Arial" w:hAnsi="Arial" w:eastAsia="Arial" w:cs="Arial"/>
                <w:sz w:val="24"/>
              </w:rPr>
              <w:t>Centro Universitario de Puerto Barrios</w:t>
            </w:r>
            <w:r>
              <w:br/>
            </w:r>
            <w:r>
              <w:rPr>
                <w:rFonts w:ascii="Arial" w:hAnsi="Arial" w:eastAsia="Arial" w:cs="Arial"/>
                <w:sz w:val="24"/>
              </w:rPr>
              <w:t>Facultad de Ingeniería en Sistemas</w:t>
            </w:r>
            <w:r>
              <w:br/>
            </w:r>
            <w:r>
              <w:rPr>
                <w:rFonts w:ascii="Arial" w:hAnsi="Arial" w:eastAsia="Arial" w:cs="Arial"/>
                <w:sz w:val="24"/>
              </w:rPr>
              <w:t>Proyecto de Graduación II</w:t>
            </w:r>
            <w:r>
              <w:br/>
            </w:r>
            <w:r>
              <w:rPr>
                <w:rFonts w:ascii="Arial" w:hAnsi="Arial" w:eastAsia="Arial" w:cs="Arial"/>
                <w:sz w:val="24"/>
              </w:rPr>
              <w:t>Ing. Juan Pablo Escobar</w:t>
            </w:r>
          </w:p>
        </w:tc>
        <w:tc>
          <w:tcPr>
            <w:tcW w:type="dxa" w:w="2154"/>
            <w:vAlign w:val="top"/>
          </w:tcPr>
          <w:p>
            <w:pPr>
              <w:spacing w:after="0"/>
              <w:jc w:val="right"/>
              <w:ind w:firstLine="0"/>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umg.png"/>
                          <pic:cNvPicPr/>
                        </pic:nvPicPr>
                        <pic:blipFill>
                          <a:blip r:embed="rId10"/>
                          <a:stretch>
                            <a:fillRect/>
                          </a:stretch>
                        </pic:blipFill>
                        <pic:spPr>
                          <a:xfrm>
                            <a:off x="0" y="0"/>
                            <a:ext cx="1152000" cy="1152000"/>
                          </a:xfrm>
                          <a:prstGeom prst="rect"/>
                        </pic:spPr>
                      </pic:pic>
                    </a:graphicData>
                  </a:graphic>
                </wp:inline>
              </w:drawing>
            </w:r>
          </w:p>
        </w:tc>
      </w:tr>
    </w:tbl>
    <w:p>
      <w:pPr>
        <w:spacing w:before="2835" w:after="120"/>
        <w:jc w:val="center"/>
        <w:ind w:firstLine="0"/>
      </w:pPr>
      <w:r>
        <w:rPr>
          <w:rFonts w:ascii="Arial" w:hAnsi="Arial" w:eastAsia="Arial" w:cs="Arial"/>
          <w:sz w:val="24"/>
        </w:rPr>
        <w:t>Presentación del Incremento 2.</w:t>
      </w:r>
    </w:p>
    <w:p>
      <w:pPr>
        <w:spacing w:after="0"/>
        <w:jc w:val="center"/>
        <w:ind w:firstLine="0"/>
      </w:pPr>
      <w:r>
        <w:rPr>
          <w:rFonts w:ascii="Arial" w:hAnsi="Arial" w:eastAsia="Arial" w:cs="Arial"/>
          <w:i/>
          <w:sz w:val="24"/>
        </w:rPr>
        <w:t>Seguridad y calidad del Sprint 2, ejecutado del 19 de septiembre al 17 de octubre de 2026 sobre el proyecto BayStream.</w:t>
      </w:r>
    </w:p>
    <w:p>
      <w:pPr>
        <w:spacing w:before="3685" w:after="0"/>
        <w:jc w:val="right"/>
        <w:ind w:firstLine="0"/>
      </w:pPr>
      <w:r>
        <w:rPr>
          <w:rFonts w:ascii="Arial" w:hAnsi="Arial" w:eastAsia="Arial" w:cs="Arial"/>
          <w:sz w:val="24"/>
        </w:rPr>
        <w:t>Carlos Giovanni Martínez Aldana 0909‑22‑19157</w:t>
      </w:r>
    </w:p>
    <w:p>
      <w:pPr>
        <w:spacing w:before="1417" w:after="0"/>
        <w:jc w:val="center"/>
        <w:ind w:firstLine="0"/>
      </w:pPr>
      <w:r>
        <w:rPr>
          <w:rFonts w:ascii="Arial" w:hAnsi="Arial" w:eastAsia="Arial" w:cs="Arial"/>
          <w:sz w:val="24"/>
        </w:rPr>
        <w:t>Puerto Barrios, Izabal 17 de octubre de 2026</w:t>
      </w:r>
    </w:p>
    <w:p>
      <w:pPr>
        <w:sectPr>
          <w:headerReference w:type="default" r:id="rId9"/>
          <w:pgSz w:w="12240" w:h="15840"/>
          <w:pgMar w:top="1701" w:right="1417" w:bottom="1701" w:left="1984" w:header="709" w:footer="709" w:gutter="0"/>
          <w:cols w:space="720"/>
          <w:docGrid w:linePitch="360"/>
        </w:sectPr>
        <w:ind w:firstLine="0"/>
      </w:pPr>
    </w:p>
    <w:p>
      <w:pPr>
        <w:spacing w:after="0"/>
        <w:jc w:val="center"/>
        <w:ind w:firstLine="0"/>
      </w:pPr>
      <w:r>
        <w:rPr>
          <w:rFonts w:ascii="Arial" w:hAnsi="Arial" w:eastAsia="Arial" w:cs="Arial"/>
          <w:b/>
          <w:sz w:val="24"/>
        </w:rPr>
        <w:t>Índice</w:t>
      </w:r>
    </w:p>
    <w:p>
      <w:pPr>
        <w:sectPr>
          <w:headerReference w:type="default" r:id="rId11"/>
          <w:pgSz w:w="12240" w:h="15840"/>
          <w:pgMar w:top="1701" w:right="1417" w:bottom="1701" w:left="1984" w:header="709" w:footer="709" w:gutter="0"/>
          <w:cols w:space="720"/>
          <w:docGrid w:linePitch="360"/>
        </w:sectPr>
      </w:pPr>
    </w:p>
    <w:p>
      <w:pPr>
        <w:pStyle w:val="Heading1"/>
        <w:spacing w:before="0" w:after="760"/>
      </w:pPr>
      <w:r>
        <w:t xml:space="preserve">Introducción</w:t>
      </w:r>
    </w:p>
    <w:p>
      <w:pPr>
        <w:pStyle w:val="Heading2"/>
        <w:spacing w:before="0" w:after="760"/>
      </w:pPr>
      <w:r>
        <w:t xml:space="preserve">Propósito del reporte</w:t>
      </w:r>
    </w:p>
    <w:p>
      <w:pPr>
        <w:spacing w:after="880"/>
        <w:ind w:left="850" w:firstLine="357"/>
        <w:jc w:val="both"/>
      </w:pPr>
      <w:r>
        <w:t xml:space="preserve">El presente documento cumple la misma doble función que el reporte del primer incremento. Presenta el segundo incremento del producto —qué se construyó, contra qué compromiso y con qué evidencia verificable— y evalúa la seguridad y la calidad de lo construido, de modo que el avance no se juzgue únicamente por su funcionalidad visible. Su estructura sigue la del reporte de resultados de una investigación cuantitativa (Hernández Sampieri et al., 2010), sin apartado de resumen.</w:t>
      </w:r>
    </w:p>
    <w:p>
      <w:pPr>
        <w:spacing w:after="880"/>
        <w:ind w:left="850" w:firstLine="357"/>
        <w:jc w:val="both"/>
      </w:pPr>
      <w:r>
        <w:t xml:space="preserve">El incremento corresponde al Sprint 2, ejecutado entre el 19 de septiembre y el 17 de octubre de 2026 sobre el Sprint Backlog presentado el 19 de septiembre (Martínez Aldana, 2026d). Su objetivo, fijado al abrir el sprint, era dotar a BayStream de un perfil de buque persistente y reutilizable —la geometría, los límites de apilamiento y las tomas eléctricas de cada buque—, habilitar sobre ese perfil la validación de reglas de estiba de RF‑027 y adelantar tres de las cinco tareas de cierre del curso.</w:t>
      </w:r>
    </w:p>
    <w:p>
      <w:pPr>
        <w:spacing w:after="880"/>
        <w:ind w:left="850" w:firstLine="357"/>
        <w:jc w:val="both"/>
      </w:pPr>
      <w:r>
        <w:t xml:space="preserve">A diferencia del primer reporte, este incorpora las dos piezas con que Scrum cierra un sprint (Schwaber y Sutherland, 2020). La revisión del sprint, que contrasta lo comprometido con lo entregado, se presenta en el capítulo de Resultados. La retrospectiva, que examina cómo se trabajó y qué se cambia para el sprint siguiente, se presenta en el capítulo de Discusión.</w:t>
      </w:r>
    </w:p>
    <w:p>
      <w:pPr>
        <w:spacing w:after="880"/>
        <w:ind w:left="850" w:firstLine="357"/>
        <w:jc w:val="both"/>
      </w:pPr>
      <w:r>
        <w:t xml:space="preserve">El estado que se reporta corresponde al 3 de octubre de 2026. A esa fecha quedaba abierta una sola tarea comprometida: la última comprobación del despliegue en Android. La aplicación ya está publicada en la prueba interna de Google Play; falta instalarla en el teléfono desde la tienda, que es el criterio de terminado de esa tarea.</w:t>
      </w:r>
    </w:p>
    <w:p>
      <w:pPr>
        <w:pStyle w:val="Heading2"/>
        <w:spacing w:before="0" w:after="760"/>
      </w:pPr>
      <w:r>
        <w:t xml:space="preserve">Definición de términos</w:t>
      </w:r>
    </w:p>
    <w:p>
      <w:pPr>
        <w:spacing w:after="880"/>
        <w:ind w:left="850" w:firstLine="357"/>
        <w:jc w:val="both"/>
      </w:pPr>
      <w:r>
        <w:t xml:space="preserve">Se conservan las definiciones de los reportes anteriores y se añaden las que introduce este sprint, de modo que su interpretación no dependa del criterio del lector.</w:t>
      </w:r>
    </w:p>
    <w:p>
      <w:pPr>
        <w:keepNext/>
        <w:spacing w:after="0"/>
        <w:ind w:left="850" w:firstLine="0"/>
        <w:jc w:val="left"/>
      </w:pPr>
      <w:r>
        <w:rPr>
          <w:b/>
        </w:rPr>
        <w:t>Tabla 77.</w:t>
      </w:r>
    </w:p>
    <w:p>
      <w:pPr>
        <w:keepNext/>
        <w:spacing w:after="0" w:line="480" w:lineRule="auto"/>
        <w:ind w:left="850" w:firstLine="0"/>
        <w:jc w:val="left"/>
      </w:pPr>
      <w:r>
        <w:rPr>
          <w:i/>
        </w:rPr>
        <w:t xml:space="preserve">Definición de términos del reporte del segundo incremento</w:t>
      </w:r>
    </w:p>
    <w:tbl>
      <w:tblPr>
        <w:tblStyle w:val="TableGrid"/>
        <w:tblW w:w="7881" w:type="dxa"/>
        <w:tblInd w:w="958" w:type="dxa"/>
        <w:tblLayout w:type="fixed"/>
        <w:tblLook w:val="04A0" w:firstRow="1" w:lastRow="0" w:firstColumn="1" w:lastColumn="0" w:noHBand="0" w:noVBand="1"/>
      </w:tblPr>
      <w:tblGrid>
        <w:gridCol w:w="1876"/>
        <w:gridCol w:w="6005"/>
      </w:tblGrid>
      <w:tr>
        <w:trPr>
          <w:cantSplit/>
          <w:tblHeader/>
        </w:trPr>
        <w:tc>
          <w:tcPr>
            <w:tcW w:w="1876" w:type="dxa"/>
          </w:tcPr>
          <w:p>
            <w:pPr>
              <w:keepNext/>
              <w:spacing w:before="40" w:after="40" w:line="240" w:lineRule="auto"/>
              <w:ind w:left="0" w:firstLine="0"/>
              <w:jc w:val="left"/>
            </w:pPr>
            <w:r>
              <w:rPr>
                <w:b/>
                <w:sz w:val="20"/>
                <w:szCs w:val="20"/>
              </w:rPr>
              <w:t xml:space="preserve">Término</w:t>
            </w:r>
          </w:p>
        </w:tc>
        <w:tc>
          <w:tcPr>
            <w:tcW w:w="6005" w:type="dxa"/>
          </w:tcPr>
          <w:p>
            <w:pPr>
              <w:keepNext/>
              <w:spacing w:before="40" w:after="40" w:line="240" w:lineRule="auto"/>
              <w:ind w:left="0" w:firstLine="0"/>
              <w:jc w:val="left"/>
            </w:pPr>
            <w:r>
              <w:rPr>
                <w:b/>
                <w:sz w:val="20"/>
                <w:szCs w:val="20"/>
              </w:rPr>
              <w:t xml:space="preserve">Definición operacional</w:t>
            </w:r>
          </w:p>
        </w:tc>
      </w:tr>
      <w:tr>
        <w:trPr>
          <w:cantSplit/>
        </w:trPr>
        <w:tc>
          <w:tcPr>
            <w:tcW w:w="1876" w:type="dxa"/>
          </w:tcPr>
          <w:p>
            <w:pPr>
              <w:spacing w:before="40" w:after="40" w:line="240" w:lineRule="auto"/>
              <w:ind w:left="0" w:firstLine="0"/>
              <w:jc w:val="left"/>
            </w:pPr>
            <w:r>
              <w:rPr>
                <w:b/>
                <w:sz w:val="20"/>
                <w:szCs w:val="20"/>
              </w:rPr>
              <w:t xml:space="preserve">Incremento</w:t>
            </w:r>
          </w:p>
        </w:tc>
        <w:tc>
          <w:tcPr>
            <w:tcW w:w="6005" w:type="dxa"/>
          </w:tcPr>
          <w:p>
            <w:pPr>
              <w:spacing w:before="40" w:after="40" w:line="240" w:lineRule="auto"/>
              <w:ind w:left="0" w:firstLine="0"/>
              <w:jc w:val="left"/>
            </w:pPr>
            <w:r>
              <w:rPr>
                <w:sz w:val="20"/>
                <w:szCs w:val="20"/>
              </w:rPr>
              <w:t xml:space="preserve">Suma de los elementos del Product Backlog completados durante un sprint, en condición utilizable y verificada contra la Definición de Terminado.</w:t>
            </w:r>
          </w:p>
        </w:tc>
      </w:tr>
      <w:tr>
        <w:trPr>
          <w:cantSplit/>
        </w:trPr>
        <w:tc>
          <w:tcPr>
            <w:tcW w:w="1876" w:type="dxa"/>
          </w:tcPr>
          <w:p>
            <w:pPr>
              <w:spacing w:before="40" w:after="40" w:line="240" w:lineRule="auto"/>
              <w:ind w:left="0" w:firstLine="0"/>
              <w:jc w:val="left"/>
            </w:pPr>
            <w:r>
              <w:rPr>
                <w:b/>
                <w:sz w:val="20"/>
                <w:szCs w:val="20"/>
              </w:rPr>
              <w:t xml:space="preserve">Perfil de buque</w:t>
            </w:r>
          </w:p>
        </w:tc>
        <w:tc>
          <w:tcPr>
            <w:tcW w:w="6005" w:type="dxa"/>
          </w:tcPr>
          <w:p>
            <w:pPr>
              <w:spacing w:before="40" w:after="40" w:line="240" w:lineRule="auto"/>
              <w:ind w:left="0" w:firstLine="0"/>
              <w:jc w:val="left"/>
            </w:pPr>
            <w:r>
              <w:rPr>
                <w:sz w:val="20"/>
                <w:szCs w:val="20"/>
              </w:rPr>
              <w:t xml:space="preserve">Declaración persistente de la geometría de un buque —filas, niveles, frontera entre cubierta y bodega, pisos y fila 00—, su límite de apilamiento y sus tomas de reefer, guardada bajo la identidad del buque y reutilizada en cada escala.</w:t>
            </w:r>
          </w:p>
        </w:tc>
      </w:tr>
      <w:tr>
        <w:trPr>
          <w:cantSplit/>
        </w:trPr>
        <w:tc>
          <w:tcPr>
            <w:tcW w:w="1876" w:type="dxa"/>
          </w:tcPr>
          <w:p>
            <w:pPr>
              <w:spacing w:before="40" w:after="40" w:line="240" w:lineRule="auto"/>
              <w:ind w:left="0" w:firstLine="0"/>
              <w:jc w:val="left"/>
            </w:pPr>
            <w:r>
              <w:rPr>
                <w:b/>
                <w:sz w:val="20"/>
                <w:szCs w:val="20"/>
              </w:rPr>
              <w:t xml:space="preserve">Validación preventiva</w:t>
            </w:r>
          </w:p>
        </w:tc>
        <w:tc>
          <w:tcPr>
            <w:tcW w:w="6005" w:type="dxa"/>
          </w:tcPr>
          <w:p>
            <w:pPr>
              <w:spacing w:before="40" w:after="40" w:line="240" w:lineRule="auto"/>
              <w:ind w:left="0" w:firstLine="0"/>
              <w:jc w:val="left"/>
            </w:pPr>
            <w:r>
              <w:rPr>
                <w:sz w:val="20"/>
                <w:szCs w:val="20"/>
              </w:rPr>
              <w:t xml:space="preserve">Comprobación que la aplicación ejecuta sobre la estiba del archivo BAPLIE antes de que la carga se mueva. Cada regla clasifica su resultado en tres estados: posible incumplimiento, no evaluado —la regla no tiene datos suficientes y dice por qué— y conforme.</w:t>
            </w:r>
          </w:p>
        </w:tc>
      </w:tr>
      <w:tr>
        <w:trPr>
          <w:cantSplit/>
        </w:trPr>
        <w:tc>
          <w:tcPr>
            <w:tcW w:w="1876" w:type="dxa"/>
          </w:tcPr>
          <w:p>
            <w:pPr>
              <w:spacing w:before="40" w:after="40" w:line="240" w:lineRule="auto"/>
              <w:ind w:left="0" w:firstLine="0"/>
              <w:jc w:val="left"/>
            </w:pPr>
            <w:r>
              <w:rPr>
                <w:b/>
                <w:sz w:val="20"/>
                <w:szCs w:val="20"/>
              </w:rPr>
              <w:t xml:space="preserve">Binario final</w:t>
            </w:r>
          </w:p>
        </w:tc>
        <w:tc>
          <w:tcPr>
            <w:tcW w:w="6005" w:type="dxa"/>
          </w:tcPr>
          <w:p>
            <w:pPr>
              <w:spacing w:before="40" w:after="40" w:line="240" w:lineRule="auto"/>
              <w:ind w:left="0" w:firstLine="0"/>
              <w:jc w:val="left"/>
            </w:pPr>
            <w:r>
              <w:rPr>
                <w:sz w:val="20"/>
                <w:szCs w:val="20"/>
              </w:rPr>
              <w:t xml:space="preserve">Archivo ejecutable de cada cliente, identificado por su resumen SHA‑256: app.so en Windows, main.dart.js en la Web, y el APK o el paquete .aab en Android. Permite afirmar que lo medido y lo publicado son el mismo archivo.</w:t>
            </w:r>
          </w:p>
        </w:tc>
      </w:tr>
      <w:tr>
        <w:trPr>
          <w:cantSplit/>
        </w:trPr>
        <w:tc>
          <w:tcPr>
            <w:tcW w:w="1876" w:type="dxa"/>
          </w:tcPr>
          <w:p>
            <w:pPr>
              <w:spacing w:before="40" w:after="40" w:line="240" w:lineRule="auto"/>
              <w:ind w:left="0" w:firstLine="0"/>
              <w:jc w:val="left"/>
            </w:pPr>
            <w:r>
              <w:rPr>
                <w:b/>
                <w:sz w:val="20"/>
                <w:szCs w:val="20"/>
              </w:rPr>
              <w:t xml:space="preserve">Criterio operativo</w:t>
            </w:r>
          </w:p>
        </w:tc>
        <w:tc>
          <w:tcPr>
            <w:tcW w:w="6005" w:type="dxa"/>
          </w:tcPr>
          <w:p>
            <w:pPr>
              <w:spacing w:before="40" w:after="40" w:line="240" w:lineRule="auto"/>
              <w:ind w:left="0" w:firstLine="0"/>
              <w:jc w:val="left"/>
            </w:pPr>
            <w:r>
              <w:rPr>
                <w:sz w:val="20"/>
                <w:szCs w:val="20"/>
              </w:rPr>
              <w:t xml:space="preserve">Definición de cómo se mide un requerimiento no funcional —métrica, instrumento, condición y procedimiento— que conserva el umbral fijado en el ERS aprobado.</w:t>
            </w:r>
          </w:p>
        </w:tc>
      </w:tr>
      <w:tr>
        <w:trPr>
          <w:cantSplit/>
        </w:trPr>
        <w:tc>
          <w:tcPr>
            <w:tcW w:w="1876" w:type="dxa"/>
          </w:tcPr>
          <w:p>
            <w:pPr>
              <w:spacing w:before="40" w:after="40" w:line="240" w:lineRule="auto"/>
              <w:ind w:left="0" w:firstLine="0"/>
              <w:jc w:val="left"/>
            </w:pPr>
            <w:r>
              <w:rPr>
                <w:b/>
                <w:sz w:val="20"/>
                <w:szCs w:val="20"/>
              </w:rPr>
              <w:t xml:space="preserve">Doble prueba</w:t>
            </w:r>
          </w:p>
        </w:tc>
        <w:tc>
          <w:tcPr>
            <w:tcW w:w="6005" w:type="dxa"/>
          </w:tcPr>
          <w:p>
            <w:pPr>
              <w:spacing w:before="40" w:after="40" w:line="240" w:lineRule="auto"/>
              <w:ind w:left="0" w:firstLine="0"/>
              <w:jc w:val="left"/>
            </w:pPr>
            <w:r>
              <w:rPr>
                <w:sz w:val="20"/>
                <w:szCs w:val="20"/>
              </w:rPr>
              <w:t xml:space="preserve">Verificación de una tarea por alguien distinto de quien la hizo: el otro programador, el auditor o el autor acepta, vuelve a medir o revisa lo entregado.</w:t>
            </w:r>
          </w:p>
        </w:tc>
      </w:tr>
      <w:tr>
        <w:trPr>
          <w:cantSplit/>
        </w:trPr>
        <w:tc>
          <w:tcPr>
            <w:tcW w:w="1876" w:type="dxa"/>
          </w:tcPr>
          <w:p>
            <w:pPr>
              <w:spacing w:before="40" w:after="40" w:line="240" w:lineRule="auto"/>
              <w:ind w:left="0" w:firstLine="0"/>
              <w:jc w:val="left"/>
            </w:pPr>
            <w:r>
              <w:rPr>
                <w:b/>
                <w:sz w:val="20"/>
                <w:szCs w:val="20"/>
              </w:rPr>
              <w:t xml:space="preserve">Limitación declarada</w:t>
            </w:r>
          </w:p>
        </w:tc>
        <w:tc>
          <w:tcPr>
            <w:tcW w:w="6005" w:type="dxa"/>
          </w:tcPr>
          <w:p>
            <w:pPr>
              <w:spacing w:before="40" w:after="40" w:line="240" w:lineRule="auto"/>
              <w:ind w:left="0" w:firstLine="0"/>
              <w:jc w:val="left"/>
            </w:pPr>
            <w:r>
              <w:rPr>
                <w:sz w:val="20"/>
                <w:szCs w:val="20"/>
              </w:rPr>
              <w:t xml:space="preserve">Control o requisito que no se pudo cumplir por una causa ajena al código, y que se reporta con su causa y con el control que lo reemplaza en lugar de omitirse.</w:t>
            </w:r>
          </w:p>
        </w:tc>
      </w:tr>
      <w:tr>
        <w:trPr>
          <w:cantSplit/>
        </w:trPr>
        <w:tc>
          <w:tcPr>
            <w:tcW w:w="1876" w:type="dxa"/>
          </w:tcPr>
          <w:p>
            <w:pPr>
              <w:keepNext/>
              <w:spacing w:before="40" w:after="40" w:line="240" w:lineRule="auto"/>
              <w:ind w:left="0" w:firstLine="0"/>
              <w:jc w:val="left"/>
            </w:pPr>
            <w:r>
              <w:rPr>
                <w:b/>
                <w:sz w:val="20"/>
                <w:szCs w:val="20"/>
              </w:rPr>
              <w:t xml:space="preserve">Prueba interna</w:t>
            </w:r>
          </w:p>
        </w:tc>
        <w:tc>
          <w:tcPr>
            <w:tcW w:w="6005" w:type="dxa"/>
          </w:tcPr>
          <w:p>
            <w:pPr>
              <w:keepNext/>
              <w:spacing w:before="40" w:after="40" w:line="240" w:lineRule="auto"/>
              <w:ind w:left="0" w:firstLine="0"/>
              <w:jc w:val="left"/>
            </w:pPr>
            <w:r>
              <w:rPr>
                <w:sz w:val="20"/>
                <w:szCs w:val="20"/>
              </w:rPr>
              <w:t xml:space="preserve">Canal de Google Play para hasta 100 </w:t>
            </w:r>
            <w:r>
              <w:rPr>
                <w:i/>
                <w:sz w:val="20"/>
                <w:szCs w:val="20"/>
              </w:rPr>
              <w:t xml:space="preserve">testers</w:t>
            </w:r>
            <w:r>
              <w:rPr>
                <w:sz w:val="20"/>
                <w:szCs w:val="20"/>
              </w:rPr>
              <w:t xml:space="preserve">, en el que la aplicación se instala desde la tienda sin publicarse al público (Google, s.f.-b).</w:t>
            </w:r>
          </w:p>
        </w:tc>
      </w:tr>
    </w:tbl>
    <w:p>
      <w:pPr>
        <w:spacing w:before="80" w:after="880"/>
        <w:ind w:left="850" w:firstLine="0"/>
        <w:jc w:val="left"/>
      </w:pPr>
      <w:r>
        <w:rPr>
          <w:b/>
        </w:rPr>
        <w:t xml:space="preserve">Fuente: </w:t>
      </w:r>
      <w:r>
        <w:t xml:space="preserve">Elaboración propia, con base en Schwaber y Sutherland (2020) para los términos de Scrum y en Google (s.f.-b) para la prueba interna.</w:t>
      </w:r>
    </w:p>
    <w:p>
      <w:pPr>
        <w:pStyle w:val="Heading2"/>
        <w:spacing w:before="0" w:after="760"/>
      </w:pPr>
      <w:r>
        <w:t xml:space="preserve">Limitaciones del reporte</w:t>
      </w:r>
    </w:p>
    <w:p>
      <w:pPr>
        <w:spacing w:after="880"/>
        <w:ind w:left="850" w:firstLine="357"/>
        <w:jc w:val="both"/>
      </w:pPr>
      <w:r>
        <w:t xml:space="preserve">Cuatro limitaciones acotan lo que aquí se afirma, y conviene declararlas antes de presentar los resultados.</w:t>
      </w:r>
    </w:p>
    <w:p>
      <w:pPr>
        <w:numPr>
          <w:ilvl w:val="0"/>
          <w:numId w:val="50"/>
        </w:numPr>
        <w:spacing w:after="880"/>
        <w:ind w:left="1559" w:hanging="709"/>
        <w:jc w:val="both"/>
      </w:pPr>
      <w:r>
        <w:t xml:space="preserve">Una tarea comprometida sigue abierta a la fecha de corte. El paquete Android está publicado en la prueba interna de Google Play, pero su criterio de terminado —instalarlo en el teléfono desde la tienda— aún no se había comprobado.</w:t>
      </w:r>
    </w:p>
    <w:p>
      <w:pPr>
        <w:numPr>
          <w:ilvl w:val="0"/>
          <w:numId w:val="50"/>
        </w:numPr>
        <w:spacing w:after="880"/>
        <w:ind w:left="1559" w:hanging="709"/>
        <w:jc w:val="both"/>
      </w:pPr>
      <w:r>
        <w:t xml:space="preserve">La evaluación de seguridad combina revisión del código, verificación de las reglas publicadas y observación del tráfico de red, pero no constituye una prueba de penetración. La aplicación sigue sin autenticación por decisión de alcance.</w:t>
      </w:r>
    </w:p>
    <w:p>
      <w:pPr>
        <w:numPr>
          <w:ilvl w:val="0"/>
          <w:numId w:val="50"/>
        </w:numPr>
        <w:spacing w:after="880"/>
        <w:ind w:left="1559" w:hanging="709"/>
        <w:jc w:val="both"/>
      </w:pPr>
      <w:r>
        <w:t xml:space="preserve">Los requerimientos no funcionales se midieron en un solo teléfono Android (Honor X5d con Android 15), una sola computadora con Windows 11 y un navegador. El corpus real tiene siete archivos BAPLIE de cinco buques, de 369 a 979 contenedores; no se dispone de archivos de 5 000 o de 10 000.</w:t>
      </w:r>
    </w:p>
    <w:p>
      <w:pPr>
        <w:numPr>
          <w:ilvl w:val="0"/>
          <w:numId w:val="50"/>
        </w:numPr>
        <w:spacing w:after="880"/>
        <w:ind w:left="1559" w:hanging="709"/>
        <w:jc w:val="both"/>
      </w:pPr>
      <w:r>
        <w:t xml:space="preserve">El código lo escriben agentes de inteligencia artificial bajo la dirección del autor (apartado II.A). La verificación cruzada entre agentes no sustituye la revisión de un desarrollador humano independiente.</w:t>
      </w:r>
    </w:p>
    <w:p>
      <w:pPr>
        <w:spacing w:after="880"/>
        <w:ind w:left="850" w:firstLine="357"/>
        <w:jc w:val="both"/>
      </w:pPr>
      <w:r>
        <w:t xml:space="preserve">El reporte no incorpora figuras. La evidencia visual del incremento se presenta en el tablero de cierre del sprint y en la presentación, entregados como documentos independientes.</w:t>
      </w:r>
    </w:p>
    <w:p>
      <w:pPr>
        <w:pStyle w:val="Heading1"/>
        <w:spacing w:before="0" w:after="760"/>
      </w:pPr>
      <w:r>
        <w:t xml:space="preserve">Método</w:t>
      </w:r>
    </w:p>
    <w:p>
      <w:pPr>
        <w:pStyle w:val="Heading2"/>
        <w:spacing w:before="0" w:after="760"/>
      </w:pPr>
      <w:r>
        <w:t xml:space="preserve">Organización del equipo y protocolo de ejecución</w:t>
      </w:r>
    </w:p>
    <w:p>
      <w:pPr>
        <w:spacing w:after="880"/>
        <w:ind w:left="850" w:firstLine="357"/>
        <w:jc w:val="both"/>
      </w:pPr>
      <w:r>
        <w:t xml:space="preserve">El sprint se ejecutó con un equipo formado por el autor y tres agentes de inteligencia artificial con funciones separadas, que resume la Tabla 78. La separación sigue el principio adoptado en el Sprint 1: la escritura del código se delega, pero las confirmaciones del repositorio y las publicaciones las ejecuta el autor, porque el historial del repositorio es evidencia empírica del trabajo de graduación y su autoría debe corresponder a quien lo defiende.</w:t>
      </w:r>
    </w:p>
    <w:p>
      <w:pPr>
        <w:keepNext/>
        <w:spacing w:after="0"/>
        <w:ind w:left="850" w:firstLine="0"/>
        <w:jc w:val="left"/>
      </w:pPr>
      <w:r>
        <w:rPr>
          <w:b/>
        </w:rPr>
        <w:t>Tabla 78.</w:t>
      </w:r>
    </w:p>
    <w:p>
      <w:pPr>
        <w:keepNext/>
        <w:spacing w:after="0" w:line="480" w:lineRule="auto"/>
        <w:ind w:left="850" w:firstLine="0"/>
        <w:jc w:val="left"/>
      </w:pPr>
      <w:r>
        <w:rPr>
          <w:i/>
        </w:rPr>
        <w:t xml:space="preserve">Integrantes del equipo del Sprint 2 y separación de funciones</w:t>
      </w:r>
    </w:p>
    <w:tbl>
      <w:tblPr>
        <w:tblStyle w:val="TableGrid"/>
        <w:tblW w:w="7881" w:type="dxa"/>
        <w:tblInd w:w="958" w:type="dxa"/>
        <w:tblLayout w:type="fixed"/>
        <w:tblLook w:val="04A0" w:firstRow="1" w:lastRow="0" w:firstColumn="1" w:lastColumn="0" w:noHBand="0" w:noVBand="1"/>
      </w:tblPr>
      <w:tblGrid>
        <w:gridCol w:w="1243"/>
        <w:gridCol w:w="1443"/>
        <w:gridCol w:w="3495"/>
        <w:gridCol w:w="1700"/>
      </w:tblGrid>
      <w:tr>
        <w:trPr>
          <w:cantSplit/>
          <w:tblHeader/>
        </w:trPr>
        <w:tc>
          <w:tcPr>
            <w:tcW w:w="1243" w:type="dxa"/>
          </w:tcPr>
          <w:p>
            <w:pPr>
              <w:keepNext/>
              <w:spacing w:before="40" w:after="40" w:line="240" w:lineRule="auto"/>
              <w:ind w:left="0" w:firstLine="0"/>
              <w:jc w:val="left"/>
            </w:pPr>
            <w:r>
              <w:rPr>
                <w:b/>
                <w:sz w:val="20"/>
                <w:szCs w:val="20"/>
              </w:rPr>
              <w:t xml:space="preserve">Integrante</w:t>
            </w:r>
          </w:p>
        </w:tc>
        <w:tc>
          <w:tcPr>
            <w:tcW w:w="1443" w:type="dxa"/>
          </w:tcPr>
          <w:p>
            <w:pPr>
              <w:keepNext/>
              <w:spacing w:before="40" w:after="40" w:line="240" w:lineRule="auto"/>
              <w:ind w:left="0" w:firstLine="0"/>
              <w:jc w:val="left"/>
            </w:pPr>
            <w:r>
              <w:rPr>
                <w:b/>
                <w:sz w:val="20"/>
                <w:szCs w:val="20"/>
              </w:rPr>
              <w:t xml:space="preserve">Herramienta</w:t>
            </w:r>
          </w:p>
        </w:tc>
        <w:tc>
          <w:tcPr>
            <w:tcW w:w="3495" w:type="dxa"/>
          </w:tcPr>
          <w:p>
            <w:pPr>
              <w:keepNext/>
              <w:spacing w:before="40" w:after="40" w:line="240" w:lineRule="auto"/>
              <w:ind w:left="0" w:firstLine="0"/>
              <w:jc w:val="left"/>
            </w:pPr>
            <w:r>
              <w:rPr>
                <w:b/>
                <w:sz w:val="20"/>
                <w:szCs w:val="20"/>
              </w:rPr>
              <w:t xml:space="preserve">Función</w:t>
            </w:r>
          </w:p>
        </w:tc>
        <w:tc>
          <w:tcPr>
            <w:tcW w:w="1700" w:type="dxa"/>
          </w:tcPr>
          <w:p>
            <w:pPr>
              <w:keepNext/>
              <w:spacing w:before="40" w:after="40" w:line="240" w:lineRule="auto"/>
              <w:ind w:left="0" w:firstLine="0"/>
              <w:jc w:val="left"/>
            </w:pPr>
            <w:r>
              <w:rPr>
                <w:b/>
                <w:sz w:val="20"/>
                <w:szCs w:val="20"/>
              </w:rPr>
              <w:t xml:space="preserve">Lo que no hace</w:t>
            </w:r>
          </w:p>
        </w:tc>
      </w:tr>
      <w:tr>
        <w:trPr>
          <w:cantSplit/>
        </w:trPr>
        <w:tc>
          <w:tcPr>
            <w:tcW w:w="1243" w:type="dxa"/>
          </w:tcPr>
          <w:p>
            <w:pPr>
              <w:spacing w:before="40" w:after="40" w:line="240" w:lineRule="auto"/>
              <w:ind w:left="0" w:firstLine="0"/>
              <w:jc w:val="left"/>
            </w:pPr>
            <w:r>
              <w:rPr>
                <w:b/>
                <w:sz w:val="20"/>
                <w:szCs w:val="20"/>
              </w:rPr>
              <w:t xml:space="preserve">Autor</w:t>
            </w:r>
          </w:p>
        </w:tc>
        <w:tc>
          <w:tcPr>
            <w:tcW w:w="1443" w:type="dxa"/>
          </w:tcPr>
          <w:p>
            <w:pPr>
              <w:spacing w:before="40" w:after="40" w:line="240" w:lineRule="auto"/>
              <w:ind w:left="0" w:firstLine="0"/>
              <w:jc w:val="left"/>
            </w:pPr>
            <w:r>
              <w:rPr>
                <w:sz w:val="20"/>
                <w:szCs w:val="20"/>
              </w:rPr>
              <w:t xml:space="preserve">—</w:t>
            </w:r>
          </w:p>
        </w:tc>
        <w:tc>
          <w:tcPr>
            <w:tcW w:w="3495" w:type="dxa"/>
          </w:tcPr>
          <w:p>
            <w:pPr>
              <w:spacing w:before="40" w:after="40" w:line="240" w:lineRule="auto"/>
              <w:ind w:left="0" w:firstLine="0"/>
              <w:jc w:val="left"/>
            </w:pPr>
            <w:r>
              <w:rPr>
                <w:sz w:val="20"/>
                <w:szCs w:val="20"/>
              </w:rPr>
              <w:t xml:space="preserve">Decide el alcance y cada disyuntiva, ejecuta git, publica en Firebase y en Google Play, y acepta o rechaza cada tarea.</w:t>
            </w:r>
          </w:p>
        </w:tc>
        <w:tc>
          <w:tcPr>
            <w:tcW w:w="1700" w:type="dxa"/>
          </w:tcPr>
          <w:p>
            <w:pPr>
              <w:spacing w:before="40" w:after="40" w:line="240" w:lineRule="auto"/>
              <w:ind w:left="0" w:firstLine="0"/>
              <w:jc w:val="left"/>
            </w:pPr>
            <w:r>
              <w:rPr>
                <w:sz w:val="20"/>
                <w:szCs w:val="20"/>
              </w:rPr>
              <w:t xml:space="preserve">—</w:t>
            </w:r>
          </w:p>
        </w:tc>
      </w:tr>
      <w:tr>
        <w:trPr>
          <w:cantSplit/>
        </w:trPr>
        <w:tc>
          <w:tcPr>
            <w:tcW w:w="1243" w:type="dxa"/>
          </w:tcPr>
          <w:p>
            <w:pPr>
              <w:spacing w:before="40" w:after="40" w:line="240" w:lineRule="auto"/>
              <w:ind w:left="0" w:firstLine="0"/>
              <w:jc w:val="left"/>
            </w:pPr>
            <w:r>
              <w:rPr>
                <w:b/>
                <w:sz w:val="20"/>
                <w:szCs w:val="20"/>
              </w:rPr>
              <w:t xml:space="preserve">Yov</w:t>
            </w:r>
          </w:p>
        </w:tc>
        <w:tc>
          <w:tcPr>
            <w:tcW w:w="1443" w:type="dxa"/>
          </w:tcPr>
          <w:p>
            <w:pPr>
              <w:spacing w:before="40" w:after="40" w:line="240" w:lineRule="auto"/>
              <w:ind w:left="0" w:firstLine="0"/>
              <w:jc w:val="left"/>
            </w:pPr>
            <w:r>
              <w:rPr>
                <w:sz w:val="20"/>
                <w:szCs w:val="20"/>
              </w:rPr>
              <w:t xml:space="preserve">Claude, en Cowork</w:t>
            </w:r>
          </w:p>
        </w:tc>
        <w:tc>
          <w:tcPr>
            <w:tcW w:w="3495" w:type="dxa"/>
          </w:tcPr>
          <w:p>
            <w:pPr>
              <w:spacing w:before="40" w:after="40" w:line="240" w:lineRule="auto"/>
              <w:ind w:left="0" w:firstLine="0"/>
              <w:jc w:val="left"/>
            </w:pPr>
            <w:r>
              <w:rPr>
                <w:sz w:val="20"/>
                <w:szCs w:val="20"/>
              </w:rPr>
              <w:t xml:space="preserve">Planificación, auditoría de cada entrega contra el repositorio, registro de decisiones y documentación.</w:t>
            </w:r>
          </w:p>
        </w:tc>
        <w:tc>
          <w:tcPr>
            <w:tcW w:w="1700" w:type="dxa"/>
          </w:tcPr>
          <w:p>
            <w:pPr>
              <w:spacing w:before="40" w:after="40" w:line="240" w:lineRule="auto"/>
              <w:ind w:left="0" w:firstLine="0"/>
              <w:jc w:val="left"/>
            </w:pPr>
            <w:r>
              <w:rPr>
                <w:sz w:val="20"/>
                <w:szCs w:val="20"/>
              </w:rPr>
              <w:t xml:space="preserve">No escribe código del producto.</w:t>
            </w:r>
          </w:p>
        </w:tc>
      </w:tr>
      <w:tr>
        <w:trPr>
          <w:cantSplit/>
        </w:trPr>
        <w:tc>
          <w:tcPr>
            <w:tcW w:w="1243" w:type="dxa"/>
          </w:tcPr>
          <w:p>
            <w:pPr>
              <w:spacing w:before="40" w:after="40" w:line="240" w:lineRule="auto"/>
              <w:ind w:left="0" w:firstLine="0"/>
              <w:jc w:val="left"/>
            </w:pPr>
            <w:r>
              <w:rPr>
                <w:b/>
                <w:sz w:val="20"/>
                <w:szCs w:val="20"/>
              </w:rPr>
              <w:t xml:space="preserve">Capitán Codex</w:t>
            </w:r>
          </w:p>
        </w:tc>
        <w:tc>
          <w:tcPr>
            <w:tcW w:w="1443" w:type="dxa"/>
          </w:tcPr>
          <w:p>
            <w:pPr>
              <w:spacing w:before="40" w:after="40" w:line="240" w:lineRule="auto"/>
              <w:ind w:left="0" w:firstLine="0"/>
              <w:jc w:val="left"/>
            </w:pPr>
            <w:r>
              <w:rPr>
                <w:sz w:val="20"/>
                <w:szCs w:val="20"/>
              </w:rPr>
              <w:t xml:space="preserve">ChatGPT, en Codex</w:t>
            </w:r>
          </w:p>
        </w:tc>
        <w:tc>
          <w:tcPr>
            <w:tcW w:w="3495" w:type="dxa"/>
          </w:tcPr>
          <w:p>
            <w:pPr>
              <w:spacing w:before="40" w:after="40" w:line="240" w:lineRule="auto"/>
              <w:ind w:left="0" w:firstLine="0"/>
              <w:jc w:val="left"/>
            </w:pPr>
            <w:r>
              <w:rPr>
                <w:sz w:val="20"/>
                <w:szCs w:val="20"/>
              </w:rPr>
              <w:t xml:space="preserve">Programador: implementa, compila, prueba y entrega un informe por tarea.</w:t>
            </w:r>
          </w:p>
        </w:tc>
        <w:tc>
          <w:tcPr>
            <w:tcW w:w="1700" w:type="dxa"/>
          </w:tcPr>
          <w:p>
            <w:pPr>
              <w:spacing w:before="40" w:after="40" w:line="240" w:lineRule="auto"/>
              <w:ind w:left="0" w:firstLine="0"/>
              <w:jc w:val="left"/>
            </w:pPr>
            <w:r>
              <w:rPr>
                <w:sz w:val="20"/>
                <w:szCs w:val="20"/>
              </w:rPr>
              <w:t xml:space="preserve">No ejecuta git ni publica.</w:t>
            </w:r>
          </w:p>
        </w:tc>
      </w:tr>
      <w:tr>
        <w:trPr>
          <w:cantSplit/>
        </w:trPr>
        <w:tc>
          <w:tcPr>
            <w:tcW w:w="1243" w:type="dxa"/>
          </w:tcPr>
          <w:p>
            <w:pPr>
              <w:keepNext/>
              <w:spacing w:before="40" w:after="40" w:line="240" w:lineRule="auto"/>
              <w:ind w:left="0" w:firstLine="0"/>
              <w:jc w:val="left"/>
            </w:pPr>
            <w:r>
              <w:rPr>
                <w:b/>
                <w:sz w:val="20"/>
                <w:szCs w:val="20"/>
              </w:rPr>
              <w:t xml:space="preserve">Timonel</w:t>
            </w:r>
          </w:p>
        </w:tc>
        <w:tc>
          <w:tcPr>
            <w:tcW w:w="1443" w:type="dxa"/>
          </w:tcPr>
          <w:p>
            <w:pPr>
              <w:keepNext/>
              <w:spacing w:before="40" w:after="40" w:line="240" w:lineRule="auto"/>
              <w:ind w:left="0" w:firstLine="0"/>
              <w:jc w:val="left"/>
            </w:pPr>
            <w:r>
              <w:rPr>
                <w:sz w:val="20"/>
                <w:szCs w:val="20"/>
              </w:rPr>
              <w:t xml:space="preserve">Claude Code</w:t>
            </w:r>
          </w:p>
        </w:tc>
        <w:tc>
          <w:tcPr>
            <w:tcW w:w="3495" w:type="dxa"/>
          </w:tcPr>
          <w:p>
            <w:pPr>
              <w:keepNext/>
              <w:spacing w:before="40" w:after="40" w:line="240" w:lineRule="auto"/>
              <w:ind w:left="0" w:firstLine="0"/>
              <w:jc w:val="left"/>
            </w:pPr>
            <w:r>
              <w:rPr>
                <w:sz w:val="20"/>
                <w:szCs w:val="20"/>
              </w:rPr>
              <w:t xml:space="preserve">Segundo programador, con las mismas reglas, en un carril de trabajo paralelo.</w:t>
            </w:r>
          </w:p>
        </w:tc>
        <w:tc>
          <w:tcPr>
            <w:tcW w:w="1700" w:type="dxa"/>
          </w:tcPr>
          <w:p>
            <w:pPr>
              <w:keepNext/>
              <w:spacing w:before="40" w:after="40" w:line="240" w:lineRule="auto"/>
              <w:ind w:left="0" w:firstLine="0"/>
              <w:jc w:val="left"/>
            </w:pPr>
            <w:r>
              <w:rPr>
                <w:sz w:val="20"/>
                <w:szCs w:val="20"/>
              </w:rPr>
              <w:t xml:space="preserve">No ejecuta git ni publica.</w:t>
            </w:r>
          </w:p>
        </w:tc>
      </w:tr>
    </w:tbl>
    <w:p>
      <w:pPr>
        <w:spacing w:before="80" w:after="880"/>
        <w:ind w:left="850" w:firstLine="0"/>
        <w:jc w:val="left"/>
      </w:pPr>
      <w:r>
        <w:rPr>
          <w:b/>
        </w:rPr>
        <w:t xml:space="preserve">Fuente: </w:t>
      </w:r>
      <w:r>
        <w:t xml:space="preserve">Elaboración propia.</w:t>
      </w:r>
    </w:p>
    <w:p>
      <w:pPr>
        <w:spacing w:after="880"/>
        <w:ind w:left="850" w:firstLine="357"/>
        <w:jc w:val="both"/>
      </w:pPr>
      <w:r>
        <w:t xml:space="preserve">El documento rector del sprint es un brief de implementación versionado en la raíz del repositorio. Contiene las restricciones, una ficha por tarea con su criterio de terminado, la Definición de Terminado y un registro de decisiones. Al 3 de octubre de 2026 ese registro reunía 44 decisiones fechadas, y cada una que corrige a otra lo declara.</w:t>
      </w:r>
    </w:p>
    <w:p>
      <w:pPr>
        <w:spacing w:after="880"/>
        <w:ind w:left="850" w:firstLine="357"/>
        <w:jc w:val="both"/>
      </w:pPr>
      <w:r>
        <w:t xml:space="preserve">La ejecución siguió un orden de ataque por riesgo decreciente, como en el Sprint 1. Las tareas de dominio del perfil precedieron a las de validación, porque estas dependen de aquellas. Los trámites de despliegue, cuya duración depende de terceros, se planificaron desde el primer día pese a ocupar el último lugar de la lista; el apartado IV.B reporta que no ocurrió así.</w:t>
      </w:r>
    </w:p>
    <w:p>
      <w:pPr>
        <w:spacing w:after="880"/>
        <w:ind w:left="850" w:firstLine="357"/>
        <w:jc w:val="both"/>
      </w:pPr>
      <w:r>
        <w:t xml:space="preserve">Los dos programadores trabajaron en carriles separados desde el inicio del sprint. A partir del 30 de septiembre lo hicieron bajo reglas escritas: una tarea en curso y un conjunto de archivos para cada uno, un solo comando de Flutter a la vez en la máquina del autor y el autor como árbitro de ese turno. Cada programador entrega su tarea con un informe y un bloque de comandos para que el autor confirme los cambios.</w:t>
      </w:r>
    </w:p>
    <w:p>
      <w:pPr>
        <w:pStyle w:val="Heading2"/>
        <w:spacing w:before="0" w:after="760"/>
      </w:pPr>
      <w:r>
        <w:t xml:space="preserve">Criterio de verificación del incremento</w:t>
      </w:r>
    </w:p>
    <w:p>
      <w:pPr>
        <w:spacing w:after="880"/>
        <w:ind w:left="850" w:firstLine="357"/>
        <w:jc w:val="both"/>
      </w:pPr>
      <w:r>
        <w:t xml:space="preserve">El incremento se verificó contra la Definición de Terminado fijada al abrir el sprint, que la Tabla 84 aplica a lo entregado. Respecto del Sprint 1 se endureció en tres puntos: el análisis estático debía quedar en cero a partir de la tarea que retiraba las advertencias heredadas, el dominio no podía importar el paquete de almacenamiento, y ninguna prueba existente podía borrarse ni marcarse como omitida.</w:t>
      </w:r>
    </w:p>
    <w:p>
      <w:pPr>
        <w:spacing w:after="880"/>
        <w:ind w:left="850" w:firstLine="357"/>
        <w:jc w:val="both"/>
      </w:pPr>
      <w:r>
        <w:t xml:space="preserve">Se añadieron dos prácticas que no existían en el primer incremento. La primera es la identificación de cada binario por su resumen SHA‑256: una medición o una prueba de aceptación vale solo para el binario cuyo resumen registra, y el de lo publicado se comparó con el de lo medido. La segunda es la doble prueba: las tareas de mayor consecuencia las aceptó o las volvió a medir un programador distinto del que las escribió.</w:t>
      </w:r>
    </w:p>
    <w:p>
      <w:pPr>
        <w:pStyle w:val="Heading2"/>
        <w:spacing w:before="0" w:after="760"/>
      </w:pPr>
      <w:r>
        <w:t xml:space="preserve">Procedimiento de la evaluación de seguridad</w:t>
      </w:r>
    </w:p>
    <w:p>
      <w:pPr>
        <w:spacing w:after="880"/>
        <w:ind w:left="850" w:firstLine="357"/>
        <w:jc w:val="both"/>
      </w:pPr>
      <w:r>
        <w:t xml:space="preserve">La evaluación partió de los siete hallazgos de la línea base del Sprint 1, clasificados contra OWASP Top 10:2025 y OWASP Mobile Top 10 2024 (OWASP Foundation, 2024, 2025; Martínez Aldana, 2026c), y siguió el tratamiento que se asignó entonces a cada uno: TC‑01 para el texto crudo de las excepciones, TC‑03 para las reglas de acceso, el registro de eventos y las dependencias, y TC‑04 para las credenciales y el proyecto de producción.</w:t>
      </w:r>
    </w:p>
    <w:p>
      <w:pPr>
        <w:spacing w:after="880"/>
        <w:ind w:left="850" w:firstLine="357"/>
        <w:jc w:val="both"/>
      </w:pPr>
      <w:r>
        <w:t xml:space="preserve">Se aplicaron tres procedimientos. Las reglas de acceso se verificaron ejecutándolas, con el simulador de reglas de la consola y con el protocolo real de la instrumentación de medición. Las dependencias se contrastaron, versión por versión, contra la base pública de vulnerabilidades OSV (OSV, s.f.). El tráfico de red del producto se observó en la Web con las herramientas del navegador y en Android con los contadores del sistema por aplicación.</w:t>
      </w:r>
    </w:p>
    <w:p>
      <w:pPr>
        <w:spacing w:after="880"/>
        <w:ind w:left="850" w:firstLine="357"/>
        <w:jc w:val="both"/>
      </w:pPr>
      <w:r>
        <w:t xml:space="preserve">A todo resultado nulo se le exigió un control positivo, es decir, demostrar que el instrumento detecta el caso cuando existe. Un «cero vulnerabilidades» o un «cero conexiones» sin ese control no distingue la ausencia del fenómeno de un instrumento que no funciona.</w:t>
      </w:r>
    </w:p>
    <w:p>
      <w:pPr>
        <w:pStyle w:val="Heading2"/>
        <w:spacing w:before="0" w:after="760"/>
      </w:pPr>
      <w:r>
        <w:t xml:space="preserve">Procedimiento de medición de los requerimientos no funcionales</w:t>
      </w:r>
    </w:p>
    <w:p>
      <w:pPr>
        <w:spacing w:after="880"/>
        <w:ind w:left="850" w:firstLine="357"/>
        <w:jc w:val="both"/>
      </w:pPr>
      <w:r>
        <w:t xml:space="preserve">Los ocho requerimientos no funcionales del ERS aprobado (Martínez Aldana, 2026b) se midieron dos veces con el mismo método. La primera medición la hizo un programador sobre la versión candidata; la segunda, el otro programador sobre los binarios finales, después de que cambiaran el manejo de errores, la validación y la inicialización de Firebase. Cada cifra se reportó como salió, incluidas las que no cumplen.</w:t>
      </w:r>
    </w:p>
    <w:p>
      <w:pPr>
        <w:spacing w:after="880"/>
        <w:ind w:left="850" w:firstLine="357"/>
        <w:jc w:val="both"/>
      </w:pPr>
      <w:r>
        <w:t xml:space="preserve">Como varios requerimientos resultaron no verificables tal como están escritos, se preparó además una propuesta de criterio operativo para cada uno, bajo una regla contra el sesgo: el criterio define cómo se mide y conserva el umbral del ERS, y si alguna opción cambiaría un dictamen se declara en una línea propia, con una justificación que no se apoya en el resultado.</w:t>
      </w:r>
    </w:p>
    <w:p>
      <w:pPr>
        <w:pStyle w:val="Heading1"/>
        <w:spacing w:before="0" w:after="760"/>
      </w:pPr>
      <w:r>
        <w:t xml:space="preserve">Resultados</w:t>
      </w:r>
    </w:p>
    <w:p>
      <w:pPr>
        <w:pStyle w:val="Heading2"/>
        <w:spacing w:before="0" w:after="760"/>
      </w:pPr>
      <w:r>
        <w:t xml:space="preserve">Elementos entregados en el incremento</w:t>
      </w:r>
    </w:p>
    <w:p>
      <w:pPr>
        <w:spacing w:after="880"/>
        <w:ind w:left="850" w:firstLine="357"/>
        <w:jc w:val="both"/>
      </w:pPr>
      <w:r>
        <w:t xml:space="preserve">De los seis elementos comprometidos, cinco se entregaron completos y uno, TC‑04, quedó con su última tarea en curso. La Tabla 79 los presenta por el valor que aportan al planificador de estiba y no por su implementación.</w:t>
      </w:r>
    </w:p>
    <w:p>
      <w:pPr>
        <w:keepNext/>
        <w:spacing w:after="0"/>
        <w:ind w:left="850" w:firstLine="0"/>
        <w:jc w:val="left"/>
      </w:pPr>
      <w:r>
        <w:rPr>
          <w:b/>
        </w:rPr>
        <w:t>Tabla 79.</w:t>
      </w:r>
    </w:p>
    <w:p>
      <w:pPr>
        <w:keepNext/>
        <w:spacing w:after="0" w:line="480" w:lineRule="auto"/>
        <w:ind w:left="850" w:firstLine="0"/>
        <w:jc w:val="left"/>
      </w:pPr>
      <w:r>
        <w:rPr>
          <w:i/>
        </w:rPr>
        <w:t xml:space="preserve">Elementos comprometidos en el Sprint 2 y su estado al cierre</w:t>
      </w:r>
    </w:p>
    <w:tbl>
      <w:tblPr>
        <w:tblStyle w:val="TableGrid"/>
        <w:tblW w:w="7881" w:type="dxa"/>
        <w:tblInd w:w="958" w:type="dxa"/>
        <w:tblLayout w:type="fixed"/>
        <w:tblLook w:val="04A0" w:firstRow="1" w:lastRow="0" w:firstColumn="1" w:lastColumn="0" w:noHBand="0" w:noVBand="1"/>
      </w:tblPr>
      <w:tblGrid>
        <w:gridCol w:w="1059"/>
        <w:gridCol w:w="1513"/>
        <w:gridCol w:w="587"/>
        <w:gridCol w:w="665"/>
        <w:gridCol w:w="1209"/>
        <w:gridCol w:w="2848"/>
      </w:tblGrid>
      <w:tr>
        <w:trPr>
          <w:cantSplit/>
          <w:tblHeader/>
        </w:trPr>
        <w:tc>
          <w:tcPr>
            <w:tcW w:w="1059" w:type="dxa"/>
          </w:tcPr>
          <w:p>
            <w:pPr>
              <w:keepNext/>
              <w:spacing w:before="40" w:after="40" w:line="240" w:lineRule="auto"/>
              <w:ind w:left="0" w:firstLine="0"/>
              <w:jc w:val="left"/>
            </w:pPr>
            <w:r>
              <w:rPr>
                <w:b/>
                <w:sz w:val="20"/>
                <w:szCs w:val="20"/>
              </w:rPr>
              <w:t xml:space="preserve">Id</w:t>
            </w:r>
          </w:p>
        </w:tc>
        <w:tc>
          <w:tcPr>
            <w:tcW w:w="1513" w:type="dxa"/>
          </w:tcPr>
          <w:p>
            <w:pPr>
              <w:keepNext/>
              <w:spacing w:before="40" w:after="40" w:line="240" w:lineRule="auto"/>
              <w:ind w:left="0" w:firstLine="0"/>
              <w:jc w:val="left"/>
            </w:pPr>
            <w:r>
              <w:rPr>
                <w:b/>
                <w:sz w:val="20"/>
                <w:szCs w:val="20"/>
              </w:rPr>
              <w:t xml:space="preserve">Elemento</w:t>
            </w:r>
          </w:p>
        </w:tc>
        <w:tc>
          <w:tcPr>
            <w:tcW w:w="587" w:type="dxa"/>
          </w:tcPr>
          <w:p>
            <w:pPr>
              <w:keepNext/>
              <w:spacing w:before="40" w:after="40" w:line="240" w:lineRule="auto"/>
              <w:ind w:left="0" w:firstLine="0"/>
              <w:jc w:val="left"/>
            </w:pPr>
            <w:r>
              <w:rPr>
                <w:b/>
                <w:sz w:val="20"/>
                <w:szCs w:val="20"/>
              </w:rPr>
              <w:t xml:space="preserve">Pts</w:t>
            </w:r>
          </w:p>
        </w:tc>
        <w:tc>
          <w:tcPr>
            <w:tcW w:w="665" w:type="dxa"/>
          </w:tcPr>
          <w:p>
            <w:pPr>
              <w:keepNext/>
              <w:spacing w:before="40" w:after="40" w:line="240" w:lineRule="auto"/>
              <w:ind w:left="0" w:firstLine="0"/>
              <w:jc w:val="left"/>
            </w:pPr>
            <w:r>
              <w:rPr>
                <w:b/>
                <w:sz w:val="20"/>
                <w:szCs w:val="20"/>
              </w:rPr>
              <w:t xml:space="preserve">h</w:t>
            </w:r>
          </w:p>
        </w:tc>
        <w:tc>
          <w:tcPr>
            <w:tcW w:w="1209" w:type="dxa"/>
          </w:tcPr>
          <w:p>
            <w:pPr>
              <w:keepNext/>
              <w:spacing w:before="40" w:after="40" w:line="240" w:lineRule="auto"/>
              <w:ind w:left="0" w:firstLine="0"/>
              <w:jc w:val="left"/>
            </w:pPr>
            <w:r>
              <w:rPr>
                <w:b/>
                <w:sz w:val="20"/>
                <w:szCs w:val="20"/>
              </w:rPr>
              <w:t xml:space="preserve">Estado</w:t>
            </w:r>
          </w:p>
        </w:tc>
        <w:tc>
          <w:tcPr>
            <w:tcW w:w="2848" w:type="dxa"/>
          </w:tcPr>
          <w:p>
            <w:pPr>
              <w:keepNext/>
              <w:spacing w:before="40" w:after="40" w:line="240" w:lineRule="auto"/>
              <w:ind w:left="0" w:firstLine="0"/>
              <w:jc w:val="left"/>
            </w:pPr>
            <w:r>
              <w:rPr>
                <w:b/>
                <w:sz w:val="20"/>
                <w:szCs w:val="20"/>
              </w:rPr>
              <w:t xml:space="preserve">Valor entregado al usuario</w:t>
            </w:r>
          </w:p>
        </w:tc>
      </w:tr>
      <w:tr>
        <w:trPr>
          <w:cantSplit/>
        </w:trPr>
        <w:tc>
          <w:tcPr>
            <w:tcW w:w="1059" w:type="dxa"/>
          </w:tcPr>
          <w:p>
            <w:pPr>
              <w:spacing w:before="40" w:after="40" w:line="240" w:lineRule="auto"/>
              <w:ind w:left="0" w:firstLine="0"/>
              <w:jc w:val="left"/>
            </w:pPr>
            <w:r>
              <w:rPr>
                <w:b/>
                <w:sz w:val="20"/>
                <w:szCs w:val="20"/>
              </w:rPr>
              <w:t xml:space="preserve">RF‑036</w:t>
            </w:r>
          </w:p>
        </w:tc>
        <w:tc>
          <w:tcPr>
            <w:tcW w:w="1513" w:type="dxa"/>
          </w:tcPr>
          <w:p>
            <w:pPr>
              <w:spacing w:before="40" w:after="40" w:line="240" w:lineRule="auto"/>
              <w:ind w:left="0" w:firstLine="0"/>
              <w:jc w:val="left"/>
            </w:pPr>
            <w:r>
              <w:rPr>
                <w:sz w:val="20"/>
                <w:szCs w:val="20"/>
              </w:rPr>
              <w:t xml:space="preserve">Perfil de buque persistente</w:t>
            </w:r>
          </w:p>
        </w:tc>
        <w:tc>
          <w:tcPr>
            <w:tcW w:w="587" w:type="dxa"/>
          </w:tcPr>
          <w:p>
            <w:pPr>
              <w:spacing w:before="40" w:after="40" w:line="240" w:lineRule="auto"/>
              <w:ind w:left="0" w:firstLine="0"/>
              <w:jc w:val="center"/>
            </w:pPr>
            <w:r>
              <w:rPr>
                <w:sz w:val="20"/>
                <w:szCs w:val="20"/>
              </w:rPr>
              <w:t xml:space="preserve">21</w:t>
            </w:r>
          </w:p>
        </w:tc>
        <w:tc>
          <w:tcPr>
            <w:tcW w:w="665" w:type="dxa"/>
          </w:tcPr>
          <w:p>
            <w:pPr>
              <w:spacing w:before="40" w:after="40" w:line="240" w:lineRule="auto"/>
              <w:ind w:left="0" w:firstLine="0"/>
              <w:jc w:val="center"/>
            </w:pPr>
            <w:r>
              <w:rPr>
                <w:sz w:val="20"/>
                <w:szCs w:val="20"/>
              </w:rPr>
              <w:t xml:space="preserve">13.0</w:t>
            </w:r>
          </w:p>
        </w:tc>
        <w:tc>
          <w:tcPr>
            <w:tcW w:w="1209" w:type="dxa"/>
          </w:tcPr>
          <w:p>
            <w:pPr>
              <w:spacing w:before="40" w:after="40" w:line="240" w:lineRule="auto"/>
              <w:ind w:left="0" w:firstLine="0"/>
              <w:jc w:val="left"/>
            </w:pPr>
            <w:r>
              <w:rPr>
                <w:sz w:val="20"/>
                <w:szCs w:val="20"/>
              </w:rPr>
              <w:t xml:space="preserve">Terminado</w:t>
            </w:r>
          </w:p>
        </w:tc>
        <w:tc>
          <w:tcPr>
            <w:tcW w:w="2848" w:type="dxa"/>
          </w:tcPr>
          <w:p>
            <w:pPr>
              <w:spacing w:before="40" w:after="40" w:line="240" w:lineRule="auto"/>
              <w:ind w:left="0" w:firstLine="0"/>
              <w:jc w:val="left"/>
            </w:pPr>
            <w:r>
              <w:rPr>
                <w:sz w:val="20"/>
                <w:szCs w:val="20"/>
              </w:rPr>
              <w:t xml:space="preserve">El buque se declara una vez —geometría, fila 00 por zona, límite de apilamiento y tomas de reefer— y la aplicación lo recuerda en cada escala. Un perfil existente sirve de plantilla para otro buque.</w:t>
            </w:r>
          </w:p>
        </w:tc>
      </w:tr>
      <w:tr>
        <w:trPr>
          <w:cantSplit/>
        </w:trPr>
        <w:tc>
          <w:tcPr>
            <w:tcW w:w="1059" w:type="dxa"/>
          </w:tcPr>
          <w:p>
            <w:pPr>
              <w:spacing w:before="40" w:after="40" w:line="240" w:lineRule="auto"/>
              <w:ind w:left="0" w:firstLine="0"/>
              <w:jc w:val="left"/>
            </w:pPr>
            <w:r>
              <w:rPr>
                <w:b/>
                <w:sz w:val="20"/>
                <w:szCs w:val="20"/>
              </w:rPr>
              <w:t xml:space="preserve">RF‑031+</w:t>
            </w:r>
          </w:p>
        </w:tc>
        <w:tc>
          <w:tcPr>
            <w:tcW w:w="1513" w:type="dxa"/>
          </w:tcPr>
          <w:p>
            <w:pPr>
              <w:spacing w:before="40" w:after="40" w:line="240" w:lineRule="auto"/>
              <w:ind w:left="0" w:firstLine="0"/>
              <w:jc w:val="left"/>
            </w:pPr>
            <w:r>
              <w:rPr>
                <w:sz w:val="20"/>
                <w:szCs w:val="20"/>
              </w:rPr>
              <w:t xml:space="preserve">Almacén local propio</w:t>
            </w:r>
          </w:p>
        </w:tc>
        <w:tc>
          <w:tcPr>
            <w:tcW w:w="587" w:type="dxa"/>
          </w:tcPr>
          <w:p>
            <w:pPr>
              <w:spacing w:before="40" w:after="40" w:line="240" w:lineRule="auto"/>
              <w:ind w:left="0" w:firstLine="0"/>
              <w:jc w:val="center"/>
            </w:pPr>
            <w:r>
              <w:rPr>
                <w:sz w:val="20"/>
                <w:szCs w:val="20"/>
              </w:rPr>
              <w:t xml:space="preserve">5</w:t>
            </w:r>
          </w:p>
        </w:tc>
        <w:tc>
          <w:tcPr>
            <w:tcW w:w="665" w:type="dxa"/>
          </w:tcPr>
          <w:p>
            <w:pPr>
              <w:spacing w:before="40" w:after="40" w:line="240" w:lineRule="auto"/>
              <w:ind w:left="0" w:firstLine="0"/>
              <w:jc w:val="center"/>
            </w:pPr>
            <w:r>
              <w:rPr>
                <w:sz w:val="20"/>
                <w:szCs w:val="20"/>
              </w:rPr>
              <w:t xml:space="preserve">3.0</w:t>
            </w:r>
          </w:p>
        </w:tc>
        <w:tc>
          <w:tcPr>
            <w:tcW w:w="1209" w:type="dxa"/>
          </w:tcPr>
          <w:p>
            <w:pPr>
              <w:spacing w:before="40" w:after="40" w:line="240" w:lineRule="auto"/>
              <w:ind w:left="0" w:firstLine="0"/>
              <w:jc w:val="left"/>
            </w:pPr>
            <w:r>
              <w:rPr>
                <w:sz w:val="20"/>
                <w:szCs w:val="20"/>
              </w:rPr>
              <w:t xml:space="preserve">Terminado</w:t>
            </w:r>
          </w:p>
        </w:tc>
        <w:tc>
          <w:tcPr>
            <w:tcW w:w="2848" w:type="dxa"/>
          </w:tcPr>
          <w:p>
            <w:pPr>
              <w:spacing w:before="40" w:after="40" w:line="240" w:lineRule="auto"/>
              <w:ind w:left="0" w:firstLine="0"/>
              <w:jc w:val="left"/>
            </w:pPr>
            <w:r>
              <w:rPr>
                <w:sz w:val="20"/>
                <w:szCs w:val="20"/>
              </w:rPr>
              <w:t xml:space="preserve">Los viajes recientes y los perfiles se guardan en el dispositivo y se reabren sin volver a procesar el archivo; en Windows y Android, también sin conexión.</w:t>
            </w:r>
          </w:p>
        </w:tc>
      </w:tr>
      <w:tr>
        <w:trPr>
          <w:cantSplit/>
        </w:trPr>
        <w:tc>
          <w:tcPr>
            <w:tcW w:w="1059" w:type="dxa"/>
          </w:tcPr>
          <w:p>
            <w:pPr>
              <w:spacing w:before="40" w:after="40" w:line="240" w:lineRule="auto"/>
              <w:ind w:left="0" w:firstLine="0"/>
              <w:jc w:val="left"/>
            </w:pPr>
            <w:r>
              <w:rPr>
                <w:b/>
                <w:sz w:val="20"/>
                <w:szCs w:val="20"/>
              </w:rPr>
              <w:t xml:space="preserve">RF‑027</w:t>
            </w:r>
          </w:p>
        </w:tc>
        <w:tc>
          <w:tcPr>
            <w:tcW w:w="1513" w:type="dxa"/>
          </w:tcPr>
          <w:p>
            <w:pPr>
              <w:spacing w:before="40" w:after="40" w:line="240" w:lineRule="auto"/>
              <w:ind w:left="0" w:firstLine="0"/>
              <w:jc w:val="left"/>
            </w:pPr>
            <w:r>
              <w:rPr>
                <w:sz w:val="20"/>
                <w:szCs w:val="20"/>
              </w:rPr>
              <w:t xml:space="preserve">Validación de reglas de estiba</w:t>
            </w:r>
          </w:p>
        </w:tc>
        <w:tc>
          <w:tcPr>
            <w:tcW w:w="587" w:type="dxa"/>
          </w:tcPr>
          <w:p>
            <w:pPr>
              <w:spacing w:before="40" w:after="40" w:line="240" w:lineRule="auto"/>
              <w:ind w:left="0" w:firstLine="0"/>
              <w:jc w:val="center"/>
            </w:pPr>
            <w:r>
              <w:rPr>
                <w:sz w:val="20"/>
                <w:szCs w:val="20"/>
              </w:rPr>
              <w:t xml:space="preserve">13</w:t>
            </w:r>
          </w:p>
        </w:tc>
        <w:tc>
          <w:tcPr>
            <w:tcW w:w="665" w:type="dxa"/>
          </w:tcPr>
          <w:p>
            <w:pPr>
              <w:spacing w:before="40" w:after="40" w:line="240" w:lineRule="auto"/>
              <w:ind w:left="0" w:firstLine="0"/>
              <w:jc w:val="center"/>
            </w:pPr>
            <w:r>
              <w:rPr>
                <w:sz w:val="20"/>
                <w:szCs w:val="20"/>
              </w:rPr>
              <w:t xml:space="preserve">8.0</w:t>
            </w:r>
          </w:p>
        </w:tc>
        <w:tc>
          <w:tcPr>
            <w:tcW w:w="1209" w:type="dxa"/>
          </w:tcPr>
          <w:p>
            <w:pPr>
              <w:spacing w:before="40" w:after="40" w:line="240" w:lineRule="auto"/>
              <w:ind w:left="0" w:firstLine="0"/>
              <w:jc w:val="left"/>
            </w:pPr>
            <w:r>
              <w:rPr>
                <w:sz w:val="20"/>
                <w:szCs w:val="20"/>
              </w:rPr>
              <w:t xml:space="preserve">Terminado</w:t>
            </w:r>
          </w:p>
        </w:tc>
        <w:tc>
          <w:tcPr>
            <w:tcW w:w="2848" w:type="dxa"/>
          </w:tcPr>
          <w:p>
            <w:pPr>
              <w:spacing w:before="40" w:after="40" w:line="240" w:lineRule="auto"/>
              <w:ind w:left="0" w:firstLine="0"/>
              <w:jc w:val="left"/>
            </w:pPr>
            <w:r>
              <w:rPr>
                <w:sz w:val="20"/>
                <w:szCs w:val="20"/>
              </w:rPr>
              <w:t xml:space="preserve">Un panel valida peso por pila, refrigerados sin toma, 20 pies sobre 40 pies y segregación de mercancías peligrosas, con severidad, explicación, fuente y salto a la posición en el plano.</w:t>
            </w:r>
          </w:p>
        </w:tc>
      </w:tr>
      <w:tr>
        <w:trPr>
          <w:cantSplit/>
        </w:trPr>
        <w:tc>
          <w:tcPr>
            <w:tcW w:w="1059" w:type="dxa"/>
          </w:tcPr>
          <w:p>
            <w:pPr>
              <w:spacing w:before="40" w:after="40" w:line="240" w:lineRule="auto"/>
              <w:ind w:left="0" w:firstLine="0"/>
              <w:jc w:val="left"/>
            </w:pPr>
            <w:r>
              <w:rPr>
                <w:b/>
                <w:sz w:val="20"/>
                <w:szCs w:val="20"/>
              </w:rPr>
              <w:t xml:space="preserve">TC‑01</w:t>
            </w:r>
          </w:p>
        </w:tc>
        <w:tc>
          <w:tcPr>
            <w:tcW w:w="1513" w:type="dxa"/>
          </w:tcPr>
          <w:p>
            <w:pPr>
              <w:spacing w:before="40" w:after="40" w:line="240" w:lineRule="auto"/>
              <w:ind w:left="0" w:firstLine="0"/>
              <w:jc w:val="left"/>
            </w:pPr>
            <w:r>
              <w:rPr>
                <w:sz w:val="20"/>
                <w:szCs w:val="20"/>
              </w:rPr>
              <w:t xml:space="preserve">Revisión de calidad</w:t>
            </w:r>
          </w:p>
        </w:tc>
        <w:tc>
          <w:tcPr>
            <w:tcW w:w="587" w:type="dxa"/>
          </w:tcPr>
          <w:p>
            <w:pPr>
              <w:spacing w:before="40" w:after="40" w:line="240" w:lineRule="auto"/>
              <w:ind w:left="0" w:firstLine="0"/>
              <w:jc w:val="center"/>
            </w:pPr>
            <w:r>
              <w:rPr>
                <w:sz w:val="20"/>
                <w:szCs w:val="20"/>
              </w:rPr>
              <w:t xml:space="preserve">5</w:t>
            </w:r>
          </w:p>
        </w:tc>
        <w:tc>
          <w:tcPr>
            <w:tcW w:w="665" w:type="dxa"/>
          </w:tcPr>
          <w:p>
            <w:pPr>
              <w:spacing w:before="40" w:after="40" w:line="240" w:lineRule="auto"/>
              <w:ind w:left="0" w:firstLine="0"/>
              <w:jc w:val="center"/>
            </w:pPr>
            <w:r>
              <w:rPr>
                <w:sz w:val="20"/>
                <w:szCs w:val="20"/>
              </w:rPr>
              <w:t xml:space="preserve">3.0</w:t>
            </w:r>
          </w:p>
        </w:tc>
        <w:tc>
          <w:tcPr>
            <w:tcW w:w="1209" w:type="dxa"/>
          </w:tcPr>
          <w:p>
            <w:pPr>
              <w:spacing w:before="40" w:after="40" w:line="240" w:lineRule="auto"/>
              <w:ind w:left="0" w:firstLine="0"/>
              <w:jc w:val="left"/>
            </w:pPr>
            <w:r>
              <w:rPr>
                <w:sz w:val="20"/>
                <w:szCs w:val="20"/>
              </w:rPr>
              <w:t xml:space="preserve">Terminado</w:t>
            </w:r>
          </w:p>
        </w:tc>
        <w:tc>
          <w:tcPr>
            <w:tcW w:w="2848" w:type="dxa"/>
          </w:tcPr>
          <w:p>
            <w:pPr>
              <w:spacing w:before="40" w:after="40" w:line="240" w:lineRule="auto"/>
              <w:ind w:left="0" w:firstLine="0"/>
              <w:jc w:val="left"/>
            </w:pPr>
            <w:r>
              <w:rPr>
                <w:sz w:val="20"/>
                <w:szCs w:val="20"/>
              </w:rPr>
              <w:t xml:space="preserve">Análisis estático en cero y los ocho requerimientos no funcionales medidos dos veces, con su dictamen.</w:t>
            </w:r>
          </w:p>
        </w:tc>
      </w:tr>
      <w:tr>
        <w:trPr>
          <w:cantSplit/>
        </w:trPr>
        <w:tc>
          <w:tcPr>
            <w:tcW w:w="1059" w:type="dxa"/>
          </w:tcPr>
          <w:p>
            <w:pPr>
              <w:spacing w:before="40" w:after="40" w:line="240" w:lineRule="auto"/>
              <w:ind w:left="0" w:firstLine="0"/>
              <w:jc w:val="left"/>
            </w:pPr>
            <w:r>
              <w:rPr>
                <w:b/>
                <w:sz w:val="20"/>
                <w:szCs w:val="20"/>
              </w:rPr>
              <w:t xml:space="preserve">TC‑03</w:t>
            </w:r>
          </w:p>
        </w:tc>
        <w:tc>
          <w:tcPr>
            <w:tcW w:w="1513" w:type="dxa"/>
          </w:tcPr>
          <w:p>
            <w:pPr>
              <w:spacing w:before="40" w:after="40" w:line="240" w:lineRule="auto"/>
              <w:ind w:left="0" w:firstLine="0"/>
              <w:jc w:val="left"/>
            </w:pPr>
            <w:r>
              <w:rPr>
                <w:sz w:val="20"/>
                <w:szCs w:val="20"/>
              </w:rPr>
              <w:t xml:space="preserve">Pruebas finales de seguridad</w:t>
            </w:r>
          </w:p>
        </w:tc>
        <w:tc>
          <w:tcPr>
            <w:tcW w:w="587" w:type="dxa"/>
          </w:tcPr>
          <w:p>
            <w:pPr>
              <w:spacing w:before="40" w:after="40" w:line="240" w:lineRule="auto"/>
              <w:ind w:left="0" w:firstLine="0"/>
              <w:jc w:val="center"/>
            </w:pPr>
            <w:r>
              <w:rPr>
                <w:sz w:val="20"/>
                <w:szCs w:val="20"/>
              </w:rPr>
              <w:t xml:space="preserve">5</w:t>
            </w:r>
          </w:p>
        </w:tc>
        <w:tc>
          <w:tcPr>
            <w:tcW w:w="665" w:type="dxa"/>
          </w:tcPr>
          <w:p>
            <w:pPr>
              <w:spacing w:before="40" w:after="40" w:line="240" w:lineRule="auto"/>
              <w:ind w:left="0" w:firstLine="0"/>
              <w:jc w:val="center"/>
            </w:pPr>
            <w:r>
              <w:rPr>
                <w:sz w:val="20"/>
                <w:szCs w:val="20"/>
              </w:rPr>
              <w:t xml:space="preserve">3.0</w:t>
            </w:r>
          </w:p>
        </w:tc>
        <w:tc>
          <w:tcPr>
            <w:tcW w:w="1209" w:type="dxa"/>
          </w:tcPr>
          <w:p>
            <w:pPr>
              <w:spacing w:before="40" w:after="40" w:line="240" w:lineRule="auto"/>
              <w:ind w:left="0" w:firstLine="0"/>
              <w:jc w:val="left"/>
            </w:pPr>
            <w:r>
              <w:rPr>
                <w:sz w:val="20"/>
                <w:szCs w:val="20"/>
              </w:rPr>
              <w:t xml:space="preserve">Terminado</w:t>
            </w:r>
          </w:p>
        </w:tc>
        <w:tc>
          <w:tcPr>
            <w:tcW w:w="2848" w:type="dxa"/>
          </w:tcPr>
          <w:p>
            <w:pPr>
              <w:spacing w:before="40" w:after="40" w:line="240" w:lineRule="auto"/>
              <w:ind w:left="0" w:firstLine="0"/>
              <w:jc w:val="left"/>
            </w:pPr>
            <w:r>
              <w:rPr>
                <w:sz w:val="20"/>
                <w:szCs w:val="20"/>
              </w:rPr>
              <w:t xml:space="preserve">Reglas de acceso verificadas en uso real, dependencias sin vulnerabilidades conocidas y registro de accesos verificado.</w:t>
            </w:r>
          </w:p>
        </w:tc>
      </w:tr>
      <w:tr>
        <w:trPr>
          <w:cantSplit/>
        </w:trPr>
        <w:tc>
          <w:tcPr>
            <w:tcW w:w="1059" w:type="dxa"/>
          </w:tcPr>
          <w:p>
            <w:pPr>
              <w:spacing w:before="40" w:after="40" w:line="240" w:lineRule="auto"/>
              <w:ind w:left="0" w:firstLine="0"/>
              <w:jc w:val="left"/>
            </w:pPr>
            <w:r>
              <w:rPr>
                <w:b/>
                <w:sz w:val="20"/>
                <w:szCs w:val="20"/>
              </w:rPr>
              <w:t xml:space="preserve">TC‑04</w:t>
            </w:r>
          </w:p>
        </w:tc>
        <w:tc>
          <w:tcPr>
            <w:tcW w:w="1513" w:type="dxa"/>
          </w:tcPr>
          <w:p>
            <w:pPr>
              <w:spacing w:before="40" w:after="40" w:line="240" w:lineRule="auto"/>
              <w:ind w:left="0" w:firstLine="0"/>
              <w:jc w:val="left"/>
            </w:pPr>
            <w:r>
              <w:rPr>
                <w:sz w:val="20"/>
                <w:szCs w:val="20"/>
              </w:rPr>
              <w:t xml:space="preserve">Despliegue</w:t>
            </w:r>
          </w:p>
        </w:tc>
        <w:tc>
          <w:tcPr>
            <w:tcW w:w="587" w:type="dxa"/>
          </w:tcPr>
          <w:p>
            <w:pPr>
              <w:spacing w:before="40" w:after="40" w:line="240" w:lineRule="auto"/>
              <w:ind w:left="0" w:firstLine="0"/>
              <w:jc w:val="center"/>
            </w:pPr>
            <w:r>
              <w:rPr>
                <w:sz w:val="20"/>
                <w:szCs w:val="20"/>
              </w:rPr>
              <w:t xml:space="preserve">8</w:t>
            </w:r>
          </w:p>
        </w:tc>
        <w:tc>
          <w:tcPr>
            <w:tcW w:w="665" w:type="dxa"/>
          </w:tcPr>
          <w:p>
            <w:pPr>
              <w:spacing w:before="40" w:after="40" w:line="240" w:lineRule="auto"/>
              <w:ind w:left="0" w:firstLine="0"/>
              <w:jc w:val="center"/>
            </w:pPr>
            <w:r>
              <w:rPr>
                <w:sz w:val="20"/>
                <w:szCs w:val="20"/>
              </w:rPr>
              <w:t xml:space="preserve">5.0</w:t>
            </w:r>
          </w:p>
        </w:tc>
        <w:tc>
          <w:tcPr>
            <w:tcW w:w="1209" w:type="dxa"/>
          </w:tcPr>
          <w:p>
            <w:pPr>
              <w:spacing w:before="40" w:after="40" w:line="240" w:lineRule="auto"/>
              <w:ind w:left="0" w:firstLine="0"/>
              <w:jc w:val="left"/>
            </w:pPr>
            <w:r>
              <w:rPr>
                <w:sz w:val="20"/>
                <w:szCs w:val="20"/>
              </w:rPr>
              <w:t xml:space="preserve">En curso</w:t>
            </w:r>
          </w:p>
        </w:tc>
        <w:tc>
          <w:tcPr>
            <w:tcW w:w="2848" w:type="dxa"/>
          </w:tcPr>
          <w:p>
            <w:pPr>
              <w:spacing w:before="40" w:after="40" w:line="240" w:lineRule="auto"/>
              <w:ind w:left="0" w:firstLine="0"/>
              <w:jc w:val="left"/>
            </w:pPr>
            <w:r>
              <w:rPr>
                <w:sz w:val="20"/>
                <w:szCs w:val="20"/>
              </w:rPr>
              <w:t xml:space="preserve">Proyecto de producción, cliente Web publicado y aplicación Android publicada en la prueba interna de Google Play. Falta instalarla en el teléfono desde la tienda.</w:t>
            </w:r>
          </w:p>
        </w:tc>
      </w:tr>
      <w:tr>
        <w:trPr>
          <w:cantSplit/>
        </w:trPr>
        <w:tc>
          <w:tcPr>
            <w:tcW w:w="1059" w:type="dxa"/>
          </w:tcPr>
          <w:p>
            <w:pPr>
              <w:keepNext/>
              <w:spacing w:before="40" w:after="40" w:line="240" w:lineRule="auto"/>
              <w:ind w:left="0" w:firstLine="0"/>
              <w:jc w:val="left"/>
            </w:pPr>
          </w:p>
        </w:tc>
        <w:tc>
          <w:tcPr>
            <w:tcW w:w="1513" w:type="dxa"/>
          </w:tcPr>
          <w:p>
            <w:pPr>
              <w:keepNext/>
              <w:spacing w:before="40" w:after="40" w:line="240" w:lineRule="auto"/>
              <w:ind w:left="0" w:firstLine="0"/>
              <w:jc w:val="left"/>
            </w:pPr>
            <w:r>
              <w:rPr>
                <w:b/>
                <w:sz w:val="20"/>
                <w:szCs w:val="20"/>
              </w:rPr>
              <w:t xml:space="preserve">Total</w:t>
            </w:r>
          </w:p>
        </w:tc>
        <w:tc>
          <w:tcPr>
            <w:tcW w:w="587" w:type="dxa"/>
          </w:tcPr>
          <w:p>
            <w:pPr>
              <w:keepNext/>
              <w:spacing w:before="40" w:after="40" w:line="240" w:lineRule="auto"/>
              <w:ind w:left="0" w:firstLine="0"/>
              <w:jc w:val="center"/>
            </w:pPr>
            <w:r>
              <w:rPr>
                <w:b/>
                <w:sz w:val="20"/>
                <w:szCs w:val="20"/>
              </w:rPr>
              <w:t xml:space="preserve">57</w:t>
            </w:r>
          </w:p>
        </w:tc>
        <w:tc>
          <w:tcPr>
            <w:tcW w:w="665" w:type="dxa"/>
          </w:tcPr>
          <w:p>
            <w:pPr>
              <w:keepNext/>
              <w:spacing w:before="40" w:after="40" w:line="240" w:lineRule="auto"/>
              <w:ind w:left="0" w:firstLine="0"/>
              <w:jc w:val="center"/>
            </w:pPr>
            <w:r>
              <w:rPr>
                <w:b/>
                <w:sz w:val="20"/>
                <w:szCs w:val="20"/>
              </w:rPr>
              <w:t xml:space="preserve">35.0</w:t>
            </w:r>
          </w:p>
        </w:tc>
        <w:tc>
          <w:tcPr>
            <w:tcW w:w="1209" w:type="dxa"/>
          </w:tcPr>
          <w:p>
            <w:pPr>
              <w:keepNext/>
              <w:spacing w:before="40" w:after="40" w:line="240" w:lineRule="auto"/>
              <w:ind w:left="0" w:firstLine="0"/>
              <w:jc w:val="left"/>
            </w:pPr>
          </w:p>
        </w:tc>
        <w:tc>
          <w:tcPr>
            <w:tcW w:w="2848" w:type="dxa"/>
          </w:tcPr>
          <w:p>
            <w:pPr>
              <w:keepNext/>
              <w:spacing w:before="40" w:after="40" w:line="240" w:lineRule="auto"/>
              <w:ind w:left="0" w:firstLine="0"/>
              <w:jc w:val="left"/>
            </w:pPr>
            <w:r>
              <w:rPr>
                <w:b/>
                <w:sz w:val="20"/>
                <w:szCs w:val="20"/>
              </w:rPr>
              <w:t xml:space="preserve">25 de 26 tareas terminadas · 33.0 h</w:t>
            </w:r>
          </w:p>
        </w:tc>
      </w:tr>
    </w:tbl>
    <w:p>
      <w:pPr>
        <w:spacing w:before="80" w:after="880"/>
        <w:ind w:left="850" w:firstLine="0"/>
        <w:jc w:val="left"/>
      </w:pPr>
      <w:r>
        <w:rPr>
          <w:b/>
        </w:rPr>
        <w:t xml:space="preserve">Fuente: </w:t>
      </w:r>
      <w:r>
        <w:t xml:space="preserve">Elaboración propia, con base en el Sprint Backlog del Sprint 2 (Martínez Aldana, 2026d) y el registro de ejecución del sprint.</w:t>
      </w:r>
    </w:p>
    <w:p>
      <w:pPr>
        <w:spacing w:after="880"/>
        <w:ind w:left="850" w:firstLine="357"/>
        <w:jc w:val="both"/>
      </w:pPr>
      <w:r>
        <w:t xml:space="preserve">RF‑036, el elemento añadido al Product Backlog al abrir el sprint, es el de mayor consecuencia para el producto. Antes del sprint la aplicación deducía la geometría del buque de cada archivo y la olvidaba al cerrarlo, y esa deducción ya había fallado en silencio con buques cuya cubierta no empieza en el nivel 82 (Martínez Aldana, 2026d). Ahora la geometría es un dato que declara el planificador, y la deducción desde el archivo quedó reducida a una propuesta inicial que él confirma o corrige.</w:t>
      </w:r>
    </w:p>
    <w:p>
      <w:pPr>
        <w:spacing w:after="880"/>
        <w:ind w:left="850" w:firstLine="357"/>
        <w:jc w:val="both"/>
      </w:pPr>
      <w:r>
        <w:t xml:space="preserve">RF‑027 se apoya en ese perfil. Sus cuatro validaciones, que resume la Tabla 80, devuelven tres estados en lugar de dos, porque una regla sin datos suficientes para decidir no debe presentarse como conforme. La segregación de mercancías peligrosas se evalúa por número ONU con la tabla de segregación de 49 CFR §176.83 (Carriage by Vessel, 2026), no con el Código IMDG, del que el proyecto no dispone; la diferencia se declara en cada alerta y reaparece en el resultado de RNF‑008.</w:t>
      </w:r>
    </w:p>
    <w:p>
      <w:pPr>
        <w:keepNext/>
        <w:spacing w:after="0"/>
        <w:ind w:left="850" w:firstLine="0"/>
        <w:jc w:val="left"/>
      </w:pPr>
      <w:r>
        <w:rPr>
          <w:b/>
        </w:rPr>
        <w:t>Tabla 80.</w:t>
      </w:r>
    </w:p>
    <w:p>
      <w:pPr>
        <w:keepNext/>
        <w:spacing w:after="0" w:line="480" w:lineRule="auto"/>
        <w:ind w:left="850" w:firstLine="0"/>
        <w:jc w:val="left"/>
      </w:pPr>
      <w:r>
        <w:rPr>
          <w:i/>
        </w:rPr>
        <w:t xml:space="preserve">Validaciones de RF‑027 y su resultado sobre el corpus real</w:t>
      </w:r>
    </w:p>
    <w:tbl>
      <w:tblPr>
        <w:tblStyle w:val="TableGrid"/>
        <w:tblW w:w="7881" w:type="dxa"/>
        <w:tblInd w:w="958" w:type="dxa"/>
        <w:tblLayout w:type="fixed"/>
        <w:tblLook w:val="04A0" w:firstRow="1" w:lastRow="0" w:firstColumn="1" w:lastColumn="0" w:noHBand="0" w:noVBand="1"/>
      </w:tblPr>
      <w:tblGrid>
        <w:gridCol w:w="1476"/>
        <w:gridCol w:w="1915"/>
        <w:gridCol w:w="2104"/>
        <w:gridCol w:w="2386"/>
      </w:tblGrid>
      <w:tr>
        <w:trPr>
          <w:cantSplit/>
          <w:tblHeader/>
        </w:trPr>
        <w:tc>
          <w:tcPr>
            <w:tcW w:w="1476" w:type="dxa"/>
          </w:tcPr>
          <w:p>
            <w:pPr>
              <w:keepNext/>
              <w:spacing w:before="40" w:after="40" w:line="240" w:lineRule="auto"/>
              <w:ind w:left="0" w:firstLine="0"/>
              <w:jc w:val="left"/>
            </w:pPr>
            <w:r>
              <w:rPr>
                <w:b/>
                <w:sz w:val="20"/>
                <w:szCs w:val="20"/>
              </w:rPr>
              <w:t xml:space="preserve">Validación</w:t>
            </w:r>
          </w:p>
        </w:tc>
        <w:tc>
          <w:tcPr>
            <w:tcW w:w="1915" w:type="dxa"/>
          </w:tcPr>
          <w:p>
            <w:pPr>
              <w:keepNext/>
              <w:spacing w:before="40" w:after="40" w:line="240" w:lineRule="auto"/>
              <w:ind w:left="0" w:firstLine="0"/>
              <w:jc w:val="left"/>
            </w:pPr>
            <w:r>
              <w:rPr>
                <w:b/>
                <w:sz w:val="20"/>
                <w:szCs w:val="20"/>
              </w:rPr>
              <w:t xml:space="preserve">Dato que usa</w:t>
            </w:r>
          </w:p>
        </w:tc>
        <w:tc>
          <w:tcPr>
            <w:tcW w:w="2104" w:type="dxa"/>
          </w:tcPr>
          <w:p>
            <w:pPr>
              <w:keepNext/>
              <w:spacing w:before="40" w:after="40" w:line="240" w:lineRule="auto"/>
              <w:ind w:left="0" w:firstLine="0"/>
              <w:jc w:val="left"/>
            </w:pPr>
            <w:r>
              <w:rPr>
                <w:b/>
                <w:sz w:val="20"/>
                <w:szCs w:val="20"/>
              </w:rPr>
              <w:t xml:space="preserve">Estados posibles</w:t>
            </w:r>
          </w:p>
        </w:tc>
        <w:tc>
          <w:tcPr>
            <w:tcW w:w="2386" w:type="dxa"/>
          </w:tcPr>
          <w:p>
            <w:pPr>
              <w:keepNext/>
              <w:spacing w:before="40" w:after="40" w:line="240" w:lineRule="auto"/>
              <w:ind w:left="0" w:firstLine="0"/>
              <w:jc w:val="left"/>
            </w:pPr>
            <w:r>
              <w:rPr>
                <w:b/>
                <w:sz w:val="20"/>
                <w:szCs w:val="20"/>
              </w:rPr>
              <w:t xml:space="preserve">Resultado en el corpus</w:t>
            </w:r>
          </w:p>
        </w:tc>
      </w:tr>
      <w:tr>
        <w:trPr>
          <w:cantSplit/>
        </w:trPr>
        <w:tc>
          <w:tcPr>
            <w:tcW w:w="1476" w:type="dxa"/>
          </w:tcPr>
          <w:p>
            <w:pPr>
              <w:spacing w:before="40" w:after="40" w:line="240" w:lineRule="auto"/>
              <w:ind w:left="0" w:firstLine="0"/>
              <w:jc w:val="left"/>
            </w:pPr>
            <w:r>
              <w:rPr>
                <w:b/>
                <w:sz w:val="20"/>
                <w:szCs w:val="20"/>
              </w:rPr>
              <w:t xml:space="preserve">Peso por pila</w:t>
            </w:r>
          </w:p>
        </w:tc>
        <w:tc>
          <w:tcPr>
            <w:tcW w:w="1915" w:type="dxa"/>
          </w:tcPr>
          <w:p>
            <w:pPr>
              <w:spacing w:before="40" w:after="40" w:line="240" w:lineRule="auto"/>
              <w:ind w:left="0" w:firstLine="0"/>
              <w:jc w:val="left"/>
            </w:pPr>
            <w:r>
              <w:rPr>
                <w:sz w:val="20"/>
                <w:szCs w:val="20"/>
              </w:rPr>
              <w:t xml:space="preserve">Límite declarado en el perfil</w:t>
            </w:r>
          </w:p>
        </w:tc>
        <w:tc>
          <w:tcPr>
            <w:tcW w:w="2104" w:type="dxa"/>
          </w:tcPr>
          <w:p>
            <w:pPr>
              <w:spacing w:before="40" w:after="40" w:line="240" w:lineRule="auto"/>
              <w:ind w:left="0" w:firstLine="0"/>
              <w:jc w:val="left"/>
            </w:pPr>
            <w:r>
              <w:rPr>
                <w:sz w:val="20"/>
                <w:szCs w:val="20"/>
              </w:rPr>
              <w:t xml:space="preserve">Posible incumplimiento; sin límite declarado, ninguna alerta</w:t>
            </w:r>
          </w:p>
        </w:tc>
        <w:tc>
          <w:tcPr>
            <w:tcW w:w="2386" w:type="dxa"/>
          </w:tcPr>
          <w:p>
            <w:pPr>
              <w:spacing w:before="40" w:after="40" w:line="240" w:lineRule="auto"/>
              <w:ind w:left="0" w:firstLine="0"/>
              <w:jc w:val="left"/>
            </w:pPr>
            <w:r>
              <w:rPr>
                <w:sz w:val="20"/>
                <w:szCs w:val="20"/>
              </w:rPr>
              <w:t xml:space="preserve">Con límite nulo, cero alertas; con un límite de prueba, las alertas aparecen</w:t>
            </w:r>
          </w:p>
        </w:tc>
      </w:tr>
      <w:tr>
        <w:trPr>
          <w:cantSplit/>
        </w:trPr>
        <w:tc>
          <w:tcPr>
            <w:tcW w:w="1476" w:type="dxa"/>
          </w:tcPr>
          <w:p>
            <w:pPr>
              <w:spacing w:before="40" w:after="40" w:line="240" w:lineRule="auto"/>
              <w:ind w:left="0" w:firstLine="0"/>
              <w:jc w:val="left"/>
            </w:pPr>
            <w:r>
              <w:rPr>
                <w:b/>
                <w:sz w:val="20"/>
                <w:szCs w:val="20"/>
              </w:rPr>
              <w:t xml:space="preserve">Refrigerado sin toma</w:t>
            </w:r>
          </w:p>
        </w:tc>
        <w:tc>
          <w:tcPr>
            <w:tcW w:w="1915" w:type="dxa"/>
          </w:tcPr>
          <w:p>
            <w:pPr>
              <w:spacing w:before="40" w:after="40" w:line="240" w:lineRule="auto"/>
              <w:ind w:left="0" w:firstLine="0"/>
              <w:jc w:val="left"/>
            </w:pPr>
            <w:r>
              <w:rPr>
                <w:sz w:val="20"/>
                <w:szCs w:val="20"/>
              </w:rPr>
              <w:t xml:space="preserve">Tomas declaradas o propuestas desde el archivo</w:t>
            </w:r>
          </w:p>
        </w:tc>
        <w:tc>
          <w:tcPr>
            <w:tcW w:w="2104" w:type="dxa"/>
          </w:tcPr>
          <w:p>
            <w:pPr>
              <w:spacing w:before="40" w:after="40" w:line="240" w:lineRule="auto"/>
              <w:ind w:left="0" w:firstLine="0"/>
              <w:jc w:val="left"/>
            </w:pPr>
            <w:r>
              <w:rPr>
                <w:sz w:val="20"/>
                <w:szCs w:val="20"/>
              </w:rPr>
              <w:t xml:space="preserve">Error si las tomas son declaradas; aviso si son propuestas</w:t>
            </w:r>
          </w:p>
        </w:tc>
        <w:tc>
          <w:tcPr>
            <w:tcW w:w="2386" w:type="dxa"/>
          </w:tcPr>
          <w:p>
            <w:pPr>
              <w:spacing w:before="40" w:after="40" w:line="240" w:lineRule="auto"/>
              <w:ind w:left="0" w:firstLine="0"/>
              <w:jc w:val="left"/>
            </w:pPr>
            <w:r>
              <w:rPr>
                <w:sz w:val="20"/>
                <w:szCs w:val="20"/>
              </w:rPr>
              <w:t xml:space="preserve">Sin alertas con las tomas propuestas</w:t>
            </w:r>
          </w:p>
        </w:tc>
      </w:tr>
      <w:tr>
        <w:trPr>
          <w:cantSplit/>
        </w:trPr>
        <w:tc>
          <w:tcPr>
            <w:tcW w:w="1476" w:type="dxa"/>
          </w:tcPr>
          <w:p>
            <w:pPr>
              <w:spacing w:before="40" w:after="40" w:line="240" w:lineRule="auto"/>
              <w:ind w:left="0" w:firstLine="0"/>
              <w:jc w:val="left"/>
            </w:pPr>
            <w:r>
              <w:rPr>
                <w:b/>
                <w:sz w:val="20"/>
                <w:szCs w:val="20"/>
              </w:rPr>
              <w:t xml:space="preserve">20 pies sobre 40 pies</w:t>
            </w:r>
          </w:p>
        </w:tc>
        <w:tc>
          <w:tcPr>
            <w:tcW w:w="1915" w:type="dxa"/>
          </w:tcPr>
          <w:p>
            <w:pPr>
              <w:spacing w:before="40" w:after="40" w:line="240" w:lineRule="auto"/>
              <w:ind w:left="0" w:firstLine="0"/>
              <w:jc w:val="left"/>
            </w:pPr>
            <w:r>
              <w:rPr>
                <w:sz w:val="20"/>
                <w:szCs w:val="20"/>
              </w:rPr>
              <w:t xml:space="preserve">Geometría y estiba del archivo</w:t>
            </w:r>
          </w:p>
        </w:tc>
        <w:tc>
          <w:tcPr>
            <w:tcW w:w="2104" w:type="dxa"/>
          </w:tcPr>
          <w:p>
            <w:pPr>
              <w:spacing w:before="40" w:after="40" w:line="240" w:lineRule="auto"/>
              <w:ind w:left="0" w:firstLine="0"/>
              <w:jc w:val="left"/>
            </w:pPr>
            <w:r>
              <w:rPr>
                <w:sz w:val="20"/>
                <w:szCs w:val="20"/>
              </w:rPr>
              <w:t xml:space="preserve">Posible incumplimiento</w:t>
            </w:r>
          </w:p>
        </w:tc>
        <w:tc>
          <w:tcPr>
            <w:tcW w:w="2386" w:type="dxa"/>
          </w:tcPr>
          <w:p>
            <w:pPr>
              <w:spacing w:before="40" w:after="40" w:line="240" w:lineRule="auto"/>
              <w:ind w:left="0" w:firstLine="0"/>
              <w:jc w:val="left"/>
            </w:pPr>
            <w:r>
              <w:rPr>
                <w:sz w:val="20"/>
                <w:szCs w:val="20"/>
              </w:rPr>
              <w:t xml:space="preserve">Cero casos en los seis archivos revisados; los positivos, en pruebas controladas</w:t>
            </w:r>
          </w:p>
        </w:tc>
      </w:tr>
      <w:tr>
        <w:trPr>
          <w:cantSplit/>
        </w:trPr>
        <w:tc>
          <w:tcPr>
            <w:tcW w:w="1476" w:type="dxa"/>
          </w:tcPr>
          <w:p>
            <w:pPr>
              <w:keepNext/>
              <w:spacing w:before="40" w:after="40" w:line="240" w:lineRule="auto"/>
              <w:ind w:left="0" w:firstLine="0"/>
              <w:jc w:val="left"/>
            </w:pPr>
            <w:r>
              <w:rPr>
                <w:b/>
                <w:sz w:val="20"/>
                <w:szCs w:val="20"/>
              </w:rPr>
              <w:t xml:space="preserve">Segregación de peligrosas</w:t>
            </w:r>
          </w:p>
        </w:tc>
        <w:tc>
          <w:tcPr>
            <w:tcW w:w="1915" w:type="dxa"/>
          </w:tcPr>
          <w:p>
            <w:pPr>
              <w:keepNext/>
              <w:spacing w:before="40" w:after="40" w:line="240" w:lineRule="auto"/>
              <w:ind w:left="0" w:firstLine="0"/>
              <w:jc w:val="left"/>
            </w:pPr>
            <w:r>
              <w:rPr>
                <w:sz w:val="20"/>
                <w:szCs w:val="20"/>
              </w:rPr>
              <w:t xml:space="preserve">Segmentos DGS y 49 CFR §176.83</w:t>
            </w:r>
          </w:p>
        </w:tc>
        <w:tc>
          <w:tcPr>
            <w:tcW w:w="2104" w:type="dxa"/>
          </w:tcPr>
          <w:p>
            <w:pPr>
              <w:keepNext/>
              <w:spacing w:before="40" w:after="40" w:line="240" w:lineRule="auto"/>
              <w:ind w:left="0" w:firstLine="0"/>
              <w:jc w:val="left"/>
            </w:pPr>
            <w:r>
              <w:rPr>
                <w:sz w:val="20"/>
                <w:szCs w:val="20"/>
              </w:rPr>
              <w:t xml:space="preserve">Posible incumplimiento, no evaluado, conforme</w:t>
            </w:r>
          </w:p>
        </w:tc>
        <w:tc>
          <w:tcPr>
            <w:tcW w:w="2386" w:type="dxa"/>
          </w:tcPr>
          <w:p>
            <w:pPr>
              <w:keepNext/>
              <w:spacing w:before="40" w:after="40" w:line="240" w:lineRule="auto"/>
              <w:ind w:left="0" w:firstLine="0"/>
              <w:jc w:val="left"/>
            </w:pPr>
            <w:r>
              <w:rPr>
                <w:sz w:val="20"/>
                <w:szCs w:val="20"/>
              </w:rPr>
              <w:t xml:space="preserve">BUQUE ALFA: 0, 0 y 6. BUQUE CHARLIE: 2, 100 y 151</w:t>
            </w:r>
          </w:p>
        </w:tc>
      </w:tr>
    </w:tbl>
    <w:p>
      <w:pPr>
        <w:spacing w:before="80" w:after="880"/>
        <w:ind w:left="850" w:firstLine="0"/>
        <w:jc w:val="left"/>
      </w:pPr>
      <w:r>
        <w:rPr>
          <w:b/>
        </w:rPr>
        <w:t xml:space="preserve">Fuente: </w:t>
      </w:r>
      <w:r>
        <w:t xml:space="preserve">Elaboración propia, con base en la aceptación de T‑42 en los tres clientes y en las pruebas automáticas de T‑38 a T‑41.</w:t>
      </w:r>
    </w:p>
    <w:p>
      <w:pPr>
        <w:spacing w:after="880"/>
        <w:ind w:left="850" w:firstLine="357"/>
        <w:jc w:val="both"/>
      </w:pPr>
      <w:r>
        <w:t xml:space="preserve">Los dos posibles incumplimientos de BUQUE CHARLIE los juzgó el autor, como planificador, alertas válidas. De los 100 no evaluados, 99 corresponden a la regla de grupos de segregación de §176.83(m) y uno a la excepción de §176.83(a)(8); ninguno queda sin motivo. La aceptación del panel la hizo el programador que no lo escribió, en Windows, en Android y en la Web, sobre binarios identificados por su resumen.</w:t>
      </w:r>
    </w:p>
    <w:p>
      <w:pPr>
        <w:spacing w:after="880"/>
        <w:ind w:left="850" w:firstLine="357"/>
        <w:jc w:val="both"/>
      </w:pPr>
      <w:r>
        <w:t xml:space="preserve">La revisión cruzada de RF‑027 (T‑55), hecha por el programador que no escribió su código, contrastó la tabla de segregación con el texto de §176.83 en sus 28 pares y 17 números ONU, y confirmó dos defectos latentes del modelo que no alteraban ningún resultado del corpus: el tratamiento de la fila 00 y la correspondencia entre las tomas de 20 y de 40 pies. El primero se corrigió en el sprint. El segundo exige saber cómo documenta cada buque sus tomas, y quedó para el sprint siguiente después de que una búsqueda dedicada no encontrara una convención pública.</w:t>
      </w:r>
    </w:p>
    <w:p>
      <w:pPr>
        <w:pStyle w:val="Heading2"/>
        <w:spacing w:before="0" w:after="760"/>
      </w:pPr>
      <w:r>
        <w:t xml:space="preserve">Cumplimiento del compromiso y trabajo fuera del compromiso</w:t>
      </w:r>
    </w:p>
    <w:p>
      <w:pPr>
        <w:spacing w:after="880"/>
        <w:ind w:left="850" w:firstLine="357"/>
        <w:jc w:val="both"/>
      </w:pPr>
      <w:r>
        <w:t xml:space="preserve">La Tabla 81 contrasta el compromiso con lo ejecutado. Ninguna tarea comprometida quedó sin empezar.</w:t>
      </w:r>
    </w:p>
    <w:p>
      <w:pPr>
        <w:keepNext/>
        <w:spacing w:after="0"/>
        <w:ind w:left="850" w:firstLine="0"/>
        <w:jc w:val="left"/>
      </w:pPr>
      <w:r>
        <w:rPr>
          <w:b/>
        </w:rPr>
        <w:t>Tabla 81.</w:t>
      </w:r>
    </w:p>
    <w:p>
      <w:pPr>
        <w:keepNext/>
        <w:spacing w:after="0" w:line="480" w:lineRule="auto"/>
        <w:ind w:left="850" w:firstLine="0"/>
        <w:jc w:val="left"/>
      </w:pPr>
      <w:r>
        <w:rPr>
          <w:i/>
        </w:rPr>
        <w:t xml:space="preserve">Compromiso del Sprint 2 frente a lo ejecutado</w:t>
      </w:r>
    </w:p>
    <w:tbl>
      <w:tblPr>
        <w:tblStyle w:val="TableGrid"/>
        <w:tblW w:w="7881" w:type="dxa"/>
        <w:tblInd w:w="958" w:type="dxa"/>
        <w:tblLayout w:type="fixed"/>
        <w:tblLook w:val="04A0" w:firstRow="1" w:lastRow="0" w:firstColumn="1" w:lastColumn="0" w:noHBand="0" w:noVBand="1"/>
      </w:tblPr>
      <w:tblGrid>
        <w:gridCol w:w="2401"/>
        <w:gridCol w:w="906"/>
        <w:gridCol w:w="874"/>
        <w:gridCol w:w="3700"/>
      </w:tblGrid>
      <w:tr>
        <w:trPr>
          <w:cantSplit/>
          <w:tblHeader/>
        </w:trPr>
        <w:tc>
          <w:tcPr>
            <w:tcW w:w="2401" w:type="dxa"/>
          </w:tcPr>
          <w:p>
            <w:pPr>
              <w:keepNext/>
              <w:spacing w:before="40" w:after="40" w:line="240" w:lineRule="auto"/>
              <w:ind w:left="0" w:firstLine="0"/>
              <w:jc w:val="left"/>
            </w:pPr>
            <w:r>
              <w:rPr>
                <w:b/>
                <w:sz w:val="20"/>
                <w:szCs w:val="20"/>
              </w:rPr>
              <w:t xml:space="preserve">Concepto</w:t>
            </w:r>
          </w:p>
        </w:tc>
        <w:tc>
          <w:tcPr>
            <w:tcW w:w="906" w:type="dxa"/>
          </w:tcPr>
          <w:p>
            <w:pPr>
              <w:keepNext/>
              <w:spacing w:before="40" w:after="40" w:line="240" w:lineRule="auto"/>
              <w:ind w:left="0" w:firstLine="0"/>
              <w:jc w:val="left"/>
            </w:pPr>
            <w:r>
              <w:rPr>
                <w:b/>
                <w:sz w:val="20"/>
                <w:szCs w:val="20"/>
              </w:rPr>
              <w:t xml:space="preserve">Tareas</w:t>
            </w:r>
          </w:p>
        </w:tc>
        <w:tc>
          <w:tcPr>
            <w:tcW w:w="874" w:type="dxa"/>
          </w:tcPr>
          <w:p>
            <w:pPr>
              <w:keepNext/>
              <w:spacing w:before="40" w:after="40" w:line="240" w:lineRule="auto"/>
              <w:ind w:left="0" w:firstLine="0"/>
              <w:jc w:val="left"/>
            </w:pPr>
            <w:r>
              <w:rPr>
                <w:b/>
                <w:sz w:val="20"/>
                <w:szCs w:val="20"/>
              </w:rPr>
              <w:t xml:space="preserve">Horas</w:t>
            </w:r>
          </w:p>
        </w:tc>
        <w:tc>
          <w:tcPr>
            <w:tcW w:w="3700" w:type="dxa"/>
          </w:tcPr>
          <w:p>
            <w:pPr>
              <w:keepNext/>
              <w:spacing w:before="40" w:after="40" w:line="240" w:lineRule="auto"/>
              <w:ind w:left="0" w:firstLine="0"/>
              <w:jc w:val="left"/>
            </w:pPr>
            <w:r>
              <w:rPr>
                <w:b/>
                <w:sz w:val="20"/>
                <w:szCs w:val="20"/>
              </w:rPr>
              <w:t xml:space="preserve">Nota</w:t>
            </w:r>
          </w:p>
        </w:tc>
      </w:tr>
      <w:tr>
        <w:trPr>
          <w:cantSplit/>
        </w:trPr>
        <w:tc>
          <w:tcPr>
            <w:tcW w:w="2401" w:type="dxa"/>
          </w:tcPr>
          <w:p>
            <w:pPr>
              <w:spacing w:before="40" w:after="40" w:line="240" w:lineRule="auto"/>
              <w:ind w:left="0" w:firstLine="0"/>
              <w:jc w:val="left"/>
            </w:pPr>
            <w:r>
              <w:rPr>
                <w:b/>
                <w:sz w:val="20"/>
                <w:szCs w:val="20"/>
              </w:rPr>
              <w:t xml:space="preserve">Comprometido al abrir</w:t>
            </w:r>
          </w:p>
        </w:tc>
        <w:tc>
          <w:tcPr>
            <w:tcW w:w="906" w:type="dxa"/>
          </w:tcPr>
          <w:p>
            <w:pPr>
              <w:spacing w:before="40" w:after="40" w:line="240" w:lineRule="auto"/>
              <w:ind w:left="0" w:firstLine="0"/>
              <w:jc w:val="center"/>
            </w:pPr>
            <w:r>
              <w:rPr>
                <w:sz w:val="20"/>
                <w:szCs w:val="20"/>
              </w:rPr>
              <w:t xml:space="preserve">26</w:t>
            </w:r>
          </w:p>
        </w:tc>
        <w:tc>
          <w:tcPr>
            <w:tcW w:w="874" w:type="dxa"/>
          </w:tcPr>
          <w:p>
            <w:pPr>
              <w:spacing w:before="40" w:after="40" w:line="240" w:lineRule="auto"/>
              <w:ind w:left="0" w:firstLine="0"/>
              <w:jc w:val="center"/>
            </w:pPr>
            <w:r>
              <w:rPr>
                <w:sz w:val="20"/>
                <w:szCs w:val="20"/>
              </w:rPr>
              <w:t xml:space="preserve">35.0</w:t>
            </w:r>
          </w:p>
        </w:tc>
        <w:tc>
          <w:tcPr>
            <w:tcW w:w="3700" w:type="dxa"/>
          </w:tcPr>
          <w:p>
            <w:pPr>
              <w:spacing w:before="40" w:after="40" w:line="240" w:lineRule="auto"/>
              <w:ind w:left="0" w:firstLine="0"/>
              <w:jc w:val="left"/>
            </w:pPr>
            <w:r>
              <w:rPr>
                <w:sz w:val="20"/>
                <w:szCs w:val="20"/>
              </w:rPr>
              <w:t xml:space="preserve">57 puntos de historia, seis elementos</w:t>
            </w:r>
          </w:p>
        </w:tc>
      </w:tr>
      <w:tr>
        <w:trPr>
          <w:cantSplit/>
        </w:trPr>
        <w:tc>
          <w:tcPr>
            <w:tcW w:w="2401" w:type="dxa"/>
          </w:tcPr>
          <w:p>
            <w:pPr>
              <w:spacing w:before="40" w:after="40" w:line="240" w:lineRule="auto"/>
              <w:ind w:left="0" w:firstLine="0"/>
              <w:jc w:val="left"/>
            </w:pPr>
            <w:r>
              <w:rPr>
                <w:b/>
                <w:sz w:val="20"/>
                <w:szCs w:val="20"/>
              </w:rPr>
              <w:t xml:space="preserve">Terminado</w:t>
            </w:r>
          </w:p>
        </w:tc>
        <w:tc>
          <w:tcPr>
            <w:tcW w:w="906" w:type="dxa"/>
          </w:tcPr>
          <w:p>
            <w:pPr>
              <w:spacing w:before="40" w:after="40" w:line="240" w:lineRule="auto"/>
              <w:ind w:left="0" w:firstLine="0"/>
              <w:jc w:val="center"/>
            </w:pPr>
            <w:r>
              <w:rPr>
                <w:sz w:val="20"/>
                <w:szCs w:val="20"/>
              </w:rPr>
              <w:t xml:space="preserve">25</w:t>
            </w:r>
          </w:p>
        </w:tc>
        <w:tc>
          <w:tcPr>
            <w:tcW w:w="874" w:type="dxa"/>
          </w:tcPr>
          <w:p>
            <w:pPr>
              <w:spacing w:before="40" w:after="40" w:line="240" w:lineRule="auto"/>
              <w:ind w:left="0" w:firstLine="0"/>
              <w:jc w:val="center"/>
            </w:pPr>
            <w:r>
              <w:rPr>
                <w:sz w:val="20"/>
                <w:szCs w:val="20"/>
              </w:rPr>
              <w:t xml:space="preserve">33.0</w:t>
            </w:r>
          </w:p>
        </w:tc>
        <w:tc>
          <w:tcPr>
            <w:tcW w:w="3700" w:type="dxa"/>
          </w:tcPr>
          <w:p>
            <w:pPr>
              <w:spacing w:before="40" w:after="40" w:line="240" w:lineRule="auto"/>
              <w:ind w:left="0" w:firstLine="0"/>
              <w:jc w:val="left"/>
            </w:pPr>
            <w:r>
              <w:rPr>
                <w:sz w:val="20"/>
                <w:szCs w:val="20"/>
              </w:rPr>
              <w:t xml:space="preserve">Cinco elementos completos</w:t>
            </w:r>
          </w:p>
        </w:tc>
      </w:tr>
      <w:tr>
        <w:trPr>
          <w:cantSplit/>
        </w:trPr>
        <w:tc>
          <w:tcPr>
            <w:tcW w:w="2401" w:type="dxa"/>
          </w:tcPr>
          <w:p>
            <w:pPr>
              <w:spacing w:before="40" w:after="40" w:line="240" w:lineRule="auto"/>
              <w:ind w:left="0" w:firstLine="0"/>
              <w:jc w:val="left"/>
            </w:pPr>
            <w:r>
              <w:rPr>
                <w:b/>
                <w:sz w:val="20"/>
                <w:szCs w:val="20"/>
              </w:rPr>
              <w:t xml:space="preserve">En curso</w:t>
            </w:r>
          </w:p>
        </w:tc>
        <w:tc>
          <w:tcPr>
            <w:tcW w:w="906" w:type="dxa"/>
          </w:tcPr>
          <w:p>
            <w:pPr>
              <w:spacing w:before="40" w:after="40" w:line="240" w:lineRule="auto"/>
              <w:ind w:left="0" w:firstLine="0"/>
              <w:jc w:val="center"/>
            </w:pPr>
            <w:r>
              <w:rPr>
                <w:sz w:val="20"/>
                <w:szCs w:val="20"/>
              </w:rPr>
              <w:t xml:space="preserve">1</w:t>
            </w:r>
          </w:p>
        </w:tc>
        <w:tc>
          <w:tcPr>
            <w:tcW w:w="874" w:type="dxa"/>
          </w:tcPr>
          <w:p>
            <w:pPr>
              <w:spacing w:before="40" w:after="40" w:line="240" w:lineRule="auto"/>
              <w:ind w:left="0" w:firstLine="0"/>
              <w:jc w:val="center"/>
            </w:pPr>
            <w:r>
              <w:rPr>
                <w:sz w:val="20"/>
                <w:szCs w:val="20"/>
              </w:rPr>
              <w:t xml:space="preserve">2.0</w:t>
            </w:r>
          </w:p>
        </w:tc>
        <w:tc>
          <w:tcPr>
            <w:tcW w:w="3700" w:type="dxa"/>
          </w:tcPr>
          <w:p>
            <w:pPr>
              <w:spacing w:before="40" w:after="40" w:line="240" w:lineRule="auto"/>
              <w:ind w:left="0" w:firstLine="0"/>
              <w:jc w:val="left"/>
            </w:pPr>
            <w:r>
              <w:rPr>
                <w:sz w:val="20"/>
                <w:szCs w:val="20"/>
              </w:rPr>
              <w:t xml:space="preserve">T‑49: publicada en la prueba interna; falta instalarla desde Play</w:t>
            </w:r>
          </w:p>
        </w:tc>
      </w:tr>
      <w:tr>
        <w:trPr>
          <w:cantSplit/>
        </w:trPr>
        <w:tc>
          <w:tcPr>
            <w:tcW w:w="2401" w:type="dxa"/>
          </w:tcPr>
          <w:p>
            <w:pPr>
              <w:spacing w:before="40" w:after="40" w:line="240" w:lineRule="auto"/>
              <w:ind w:left="0" w:firstLine="0"/>
              <w:jc w:val="left"/>
            </w:pPr>
            <w:r>
              <w:rPr>
                <w:b/>
                <w:sz w:val="20"/>
                <w:szCs w:val="20"/>
              </w:rPr>
              <w:t xml:space="preserve">Fuera del compromiso, contra la holgura</w:t>
            </w:r>
          </w:p>
        </w:tc>
        <w:tc>
          <w:tcPr>
            <w:tcW w:w="906" w:type="dxa"/>
          </w:tcPr>
          <w:p>
            <w:pPr>
              <w:spacing w:before="40" w:after="40" w:line="240" w:lineRule="auto"/>
              <w:ind w:left="0" w:firstLine="0"/>
              <w:jc w:val="center"/>
            </w:pPr>
            <w:r>
              <w:rPr>
                <w:sz w:val="20"/>
                <w:szCs w:val="20"/>
              </w:rPr>
              <w:t xml:space="preserve">15</w:t>
            </w:r>
          </w:p>
        </w:tc>
        <w:tc>
          <w:tcPr>
            <w:tcW w:w="874" w:type="dxa"/>
          </w:tcPr>
          <w:p>
            <w:pPr>
              <w:spacing w:before="40" w:after="40" w:line="240" w:lineRule="auto"/>
              <w:ind w:left="0" w:firstLine="0"/>
              <w:jc w:val="center"/>
            </w:pPr>
            <w:r>
              <w:rPr>
                <w:sz w:val="20"/>
                <w:szCs w:val="20"/>
              </w:rPr>
              <w:t xml:space="preserve">17.0</w:t>
            </w:r>
          </w:p>
        </w:tc>
        <w:tc>
          <w:tcPr>
            <w:tcW w:w="3700" w:type="dxa"/>
          </w:tcPr>
          <w:p>
            <w:pPr>
              <w:spacing w:before="40" w:after="40" w:line="240" w:lineRule="auto"/>
              <w:ind w:left="0" w:firstLine="0"/>
              <w:jc w:val="left"/>
            </w:pPr>
            <w:r>
              <w:rPr>
                <w:sz w:val="20"/>
                <w:szCs w:val="20"/>
              </w:rPr>
              <w:t xml:space="preserve">Según el registro del sprint, de 18.0 h de holgura; 16.5 h estimadas</w:t>
            </w:r>
          </w:p>
        </w:tc>
      </w:tr>
      <w:tr>
        <w:trPr>
          <w:cantSplit/>
        </w:trPr>
        <w:tc>
          <w:tcPr>
            <w:tcW w:w="2401" w:type="dxa"/>
          </w:tcPr>
          <w:p>
            <w:pPr>
              <w:keepNext/>
              <w:spacing w:before="40" w:after="40" w:line="240" w:lineRule="auto"/>
              <w:ind w:left="0" w:firstLine="0"/>
              <w:jc w:val="left"/>
            </w:pPr>
            <w:r>
              <w:rPr>
                <w:b/>
                <w:sz w:val="20"/>
                <w:szCs w:val="20"/>
              </w:rPr>
              <w:t xml:space="preserve">Diferido al sprint siguiente</w:t>
            </w:r>
          </w:p>
        </w:tc>
        <w:tc>
          <w:tcPr>
            <w:tcW w:w="906" w:type="dxa"/>
          </w:tcPr>
          <w:p>
            <w:pPr>
              <w:keepNext/>
              <w:spacing w:before="40" w:after="40" w:line="240" w:lineRule="auto"/>
              <w:ind w:left="0" w:firstLine="0"/>
              <w:jc w:val="center"/>
            </w:pPr>
            <w:r>
              <w:rPr>
                <w:sz w:val="20"/>
                <w:szCs w:val="20"/>
              </w:rPr>
              <w:t xml:space="preserve">1</w:t>
            </w:r>
          </w:p>
        </w:tc>
        <w:tc>
          <w:tcPr>
            <w:tcW w:w="874" w:type="dxa"/>
          </w:tcPr>
          <w:p>
            <w:pPr>
              <w:keepNext/>
              <w:spacing w:before="40" w:after="40" w:line="240" w:lineRule="auto"/>
              <w:ind w:left="0" w:firstLine="0"/>
              <w:jc w:val="center"/>
            </w:pPr>
            <w:r>
              <w:rPr>
                <w:sz w:val="20"/>
                <w:szCs w:val="20"/>
              </w:rPr>
              <w:t xml:space="preserve">—</w:t>
            </w:r>
          </w:p>
        </w:tc>
        <w:tc>
          <w:tcPr>
            <w:tcW w:w="3700" w:type="dxa"/>
          </w:tcPr>
          <w:p>
            <w:pPr>
              <w:keepNext/>
              <w:spacing w:before="40" w:after="40" w:line="240" w:lineRule="auto"/>
              <w:ind w:left="0" w:firstLine="0"/>
              <w:jc w:val="left"/>
            </w:pPr>
            <w:r>
              <w:rPr>
                <w:sz w:val="20"/>
                <w:szCs w:val="20"/>
              </w:rPr>
              <w:t xml:space="preserve">T‑56, carga de tomas de reefer por celda y por rangos</w:t>
            </w:r>
          </w:p>
        </w:tc>
      </w:tr>
    </w:tbl>
    <w:p>
      <w:pPr>
        <w:spacing w:before="80" w:after="880"/>
        <w:ind w:left="850" w:firstLine="0"/>
        <w:jc w:val="left"/>
      </w:pPr>
      <w:r>
        <w:rPr>
          <w:b/>
        </w:rPr>
        <w:t xml:space="preserve">Fuente: </w:t>
      </w:r>
      <w:r>
        <w:t xml:space="preserve">Elaboración propia, con base en el registro de ejecución del sprint.</w:t>
      </w:r>
    </w:p>
    <w:p>
      <w:pPr>
        <w:spacing w:after="880"/>
        <w:ind w:left="850" w:firstLine="357"/>
        <w:jc w:val="both"/>
      </w:pPr>
      <w:r>
        <w:t xml:space="preserve">El trabajo fuera del compromiso consumió casi toda la holgura reservada al abrir el sprint, y su composición confirma para qué se reservó: como muestra la Tabla 82, esas tareas nacieron de verificar el producto contra archivos reales, de revisiones cruzadas o de preparar el despliegue, no de ampliar el alcance.</w:t>
      </w:r>
    </w:p>
    <w:p>
      <w:pPr>
        <w:keepNext/>
        <w:spacing w:after="0"/>
        <w:ind w:left="850" w:firstLine="0"/>
        <w:jc w:val="left"/>
      </w:pPr>
      <w:r>
        <w:rPr>
          <w:b/>
        </w:rPr>
        <w:t>Tabla 82.</w:t>
      </w:r>
    </w:p>
    <w:p>
      <w:pPr>
        <w:keepNext/>
        <w:spacing w:after="0" w:line="480" w:lineRule="auto"/>
        <w:ind w:left="850" w:firstLine="0"/>
        <w:jc w:val="left"/>
      </w:pPr>
      <w:r>
        <w:rPr>
          <w:i/>
        </w:rPr>
        <w:t xml:space="preserve">Tareas ejecutadas fuera del compromiso, contra la holgura</w:t>
      </w:r>
    </w:p>
    <w:tbl>
      <w:tblPr>
        <w:tblStyle w:val="TableGrid"/>
        <w:tblW w:w="7881" w:type="dxa"/>
        <w:tblInd w:w="958" w:type="dxa"/>
        <w:tblLayout w:type="fixed"/>
        <w:tblLook w:val="04A0" w:firstRow="1" w:lastRow="0" w:firstColumn="1" w:lastColumn="0" w:noHBand="0" w:noVBand="1"/>
      </w:tblPr>
      <w:tblGrid>
        <w:gridCol w:w="904"/>
        <w:gridCol w:w="5412"/>
        <w:gridCol w:w="1565"/>
      </w:tblGrid>
      <w:tr>
        <w:trPr>
          <w:cantSplit/>
          <w:tblHeader/>
        </w:trPr>
        <w:tc>
          <w:tcPr>
            <w:tcW w:w="904" w:type="dxa"/>
          </w:tcPr>
          <w:p>
            <w:pPr>
              <w:keepNext/>
              <w:spacing w:before="40" w:after="40" w:line="240" w:lineRule="auto"/>
              <w:ind w:left="0" w:firstLine="0"/>
              <w:jc w:val="left"/>
            </w:pPr>
            <w:r>
              <w:rPr>
                <w:b/>
                <w:sz w:val="20"/>
                <w:szCs w:val="20"/>
              </w:rPr>
              <w:t xml:space="preserve">Tarea</w:t>
            </w:r>
          </w:p>
        </w:tc>
        <w:tc>
          <w:tcPr>
            <w:tcW w:w="5412" w:type="dxa"/>
          </w:tcPr>
          <w:p>
            <w:pPr>
              <w:keepNext/>
              <w:spacing w:before="40" w:after="40" w:line="240" w:lineRule="auto"/>
              <w:ind w:left="0" w:firstLine="0"/>
              <w:jc w:val="left"/>
            </w:pPr>
            <w:r>
              <w:rPr>
                <w:b/>
                <w:sz w:val="20"/>
                <w:szCs w:val="20"/>
              </w:rPr>
              <w:t xml:space="preserve">Qué resolvió</w:t>
            </w:r>
          </w:p>
        </w:tc>
        <w:tc>
          <w:tcPr>
            <w:tcW w:w="1565" w:type="dxa"/>
          </w:tcPr>
          <w:p>
            <w:pPr>
              <w:keepNext/>
              <w:spacing w:before="40" w:after="40" w:line="240" w:lineRule="auto"/>
              <w:ind w:left="0" w:firstLine="0"/>
              <w:jc w:val="left"/>
            </w:pPr>
            <w:r>
              <w:rPr>
                <w:b/>
                <w:sz w:val="20"/>
                <w:szCs w:val="20"/>
              </w:rPr>
              <w:t xml:space="preserve">Confirmación</w:t>
            </w:r>
          </w:p>
        </w:tc>
      </w:tr>
      <w:tr>
        <w:trPr>
          <w:cantSplit/>
        </w:trPr>
        <w:tc>
          <w:tcPr>
            <w:tcW w:w="904" w:type="dxa"/>
          </w:tcPr>
          <w:p>
            <w:pPr>
              <w:spacing w:before="40" w:after="40" w:line="240" w:lineRule="auto"/>
              <w:ind w:left="0" w:firstLine="0"/>
              <w:jc w:val="left"/>
            </w:pPr>
            <w:r>
              <w:rPr>
                <w:b/>
                <w:sz w:val="20"/>
                <w:szCs w:val="20"/>
              </w:rPr>
              <w:t xml:space="preserve">T‑50</w:t>
            </w:r>
          </w:p>
        </w:tc>
        <w:tc>
          <w:tcPr>
            <w:tcW w:w="5412" w:type="dxa"/>
          </w:tcPr>
          <w:p>
            <w:pPr>
              <w:spacing w:before="40" w:after="40" w:line="240" w:lineRule="auto"/>
              <w:ind w:left="0" w:firstLine="0"/>
              <w:jc w:val="left"/>
            </w:pPr>
            <w:r>
              <w:rPr>
                <w:sz w:val="20"/>
                <w:szCs w:val="20"/>
              </w:rPr>
              <w:t xml:space="preserve">La detención de Android heredada del Sprint 1 era del emulador; no se reproduce en un dispositivo real.</w:t>
            </w:r>
          </w:p>
        </w:tc>
        <w:tc>
          <w:tcPr>
            <w:tcW w:w="1565" w:type="dxa"/>
          </w:tcPr>
          <w:p>
            <w:pPr>
              <w:spacing w:before="40" w:after="40" w:line="240" w:lineRule="auto"/>
              <w:ind w:left="0" w:firstLine="0"/>
              <w:jc w:val="left"/>
            </w:pPr>
            <w:r>
              <w:rPr>
                <w:sz w:val="20"/>
                <w:szCs w:val="20"/>
              </w:rPr>
              <w:t xml:space="preserve">d2b5c15</w:t>
            </w:r>
          </w:p>
        </w:tc>
      </w:tr>
      <w:tr>
        <w:trPr>
          <w:cantSplit/>
        </w:trPr>
        <w:tc>
          <w:tcPr>
            <w:tcW w:w="904" w:type="dxa"/>
          </w:tcPr>
          <w:p>
            <w:pPr>
              <w:spacing w:before="40" w:after="40" w:line="240" w:lineRule="auto"/>
              <w:ind w:left="0" w:firstLine="0"/>
              <w:jc w:val="left"/>
            </w:pPr>
            <w:r>
              <w:rPr>
                <w:b/>
                <w:sz w:val="20"/>
                <w:szCs w:val="20"/>
              </w:rPr>
              <w:t xml:space="preserve">T‑51</w:t>
            </w:r>
          </w:p>
        </w:tc>
        <w:tc>
          <w:tcPr>
            <w:tcW w:w="5412" w:type="dxa"/>
          </w:tcPr>
          <w:p>
            <w:pPr>
              <w:spacing w:before="40" w:after="40" w:line="240" w:lineRule="auto"/>
              <w:ind w:left="0" w:firstLine="0"/>
              <w:jc w:val="left"/>
            </w:pPr>
            <w:r>
              <w:rPr>
                <w:sz w:val="20"/>
                <w:szCs w:val="20"/>
              </w:rPr>
              <w:t xml:space="preserve">Retiró el último supuesto de capacidad fija del buque en el modelo.</w:t>
            </w:r>
          </w:p>
        </w:tc>
        <w:tc>
          <w:tcPr>
            <w:tcW w:w="1565" w:type="dxa"/>
          </w:tcPr>
          <w:p>
            <w:pPr>
              <w:spacing w:before="40" w:after="40" w:line="240" w:lineRule="auto"/>
              <w:ind w:left="0" w:firstLine="0"/>
              <w:jc w:val="left"/>
            </w:pPr>
            <w:r>
              <w:rPr>
                <w:sz w:val="20"/>
                <w:szCs w:val="20"/>
              </w:rPr>
              <w:t xml:space="preserve">aa27781</w:t>
            </w:r>
          </w:p>
        </w:tc>
      </w:tr>
      <w:tr>
        <w:trPr>
          <w:cantSplit/>
        </w:trPr>
        <w:tc>
          <w:tcPr>
            <w:tcW w:w="904" w:type="dxa"/>
          </w:tcPr>
          <w:p>
            <w:pPr>
              <w:spacing w:before="40" w:after="40" w:line="240" w:lineRule="auto"/>
              <w:ind w:left="0" w:firstLine="0"/>
              <w:jc w:val="left"/>
            </w:pPr>
            <w:r>
              <w:rPr>
                <w:b/>
                <w:sz w:val="20"/>
                <w:szCs w:val="20"/>
              </w:rPr>
              <w:t xml:space="preserve">T‑52</w:t>
            </w:r>
          </w:p>
        </w:tc>
        <w:tc>
          <w:tcPr>
            <w:tcW w:w="5412" w:type="dxa"/>
          </w:tcPr>
          <w:p>
            <w:pPr>
              <w:spacing w:before="40" w:after="40" w:line="240" w:lineRule="auto"/>
              <w:ind w:left="0" w:firstLine="0"/>
              <w:jc w:val="left"/>
            </w:pPr>
            <w:r>
              <w:rPr>
                <w:sz w:val="20"/>
                <w:szCs w:val="20"/>
              </w:rPr>
              <w:t xml:space="preserve">El reporte PDF pasó a usar la geometría declarada.</w:t>
            </w:r>
          </w:p>
        </w:tc>
        <w:tc>
          <w:tcPr>
            <w:tcW w:w="1565" w:type="dxa"/>
          </w:tcPr>
          <w:p>
            <w:pPr>
              <w:spacing w:before="40" w:after="40" w:line="240" w:lineRule="auto"/>
              <w:ind w:left="0" w:firstLine="0"/>
              <w:jc w:val="left"/>
            </w:pPr>
            <w:r>
              <w:rPr>
                <w:sz w:val="20"/>
                <w:szCs w:val="20"/>
              </w:rPr>
              <w:t xml:space="preserve">fa66565</w:t>
            </w:r>
          </w:p>
        </w:tc>
      </w:tr>
      <w:tr>
        <w:trPr>
          <w:cantSplit/>
        </w:trPr>
        <w:tc>
          <w:tcPr>
            <w:tcW w:w="904" w:type="dxa"/>
          </w:tcPr>
          <w:p>
            <w:pPr>
              <w:spacing w:before="40" w:after="40" w:line="240" w:lineRule="auto"/>
              <w:ind w:left="0" w:firstLine="0"/>
              <w:jc w:val="left"/>
            </w:pPr>
            <w:r>
              <w:rPr>
                <w:b/>
                <w:sz w:val="20"/>
                <w:szCs w:val="20"/>
              </w:rPr>
              <w:t xml:space="preserve">T‑53</w:t>
            </w:r>
          </w:p>
        </w:tc>
        <w:tc>
          <w:tcPr>
            <w:tcW w:w="5412" w:type="dxa"/>
          </w:tcPr>
          <w:p>
            <w:pPr>
              <w:spacing w:before="40" w:after="40" w:line="240" w:lineRule="auto"/>
              <w:ind w:left="0" w:firstLine="0"/>
              <w:jc w:val="left"/>
            </w:pPr>
            <w:r>
              <w:rPr>
                <w:sz w:val="20"/>
                <w:szCs w:val="20"/>
              </w:rPr>
              <w:t xml:space="preserve">El PDF dibuja los huecos ocupados por un contenedor de 40 pies vecino.</w:t>
            </w:r>
          </w:p>
        </w:tc>
        <w:tc>
          <w:tcPr>
            <w:tcW w:w="1565" w:type="dxa"/>
          </w:tcPr>
          <w:p>
            <w:pPr>
              <w:spacing w:before="40" w:after="40" w:line="240" w:lineRule="auto"/>
              <w:ind w:left="0" w:firstLine="0"/>
              <w:jc w:val="left"/>
            </w:pPr>
            <w:r>
              <w:rPr>
                <w:sz w:val="20"/>
                <w:szCs w:val="20"/>
              </w:rPr>
              <w:t xml:space="preserve">1fa28cc</w:t>
            </w:r>
          </w:p>
        </w:tc>
      </w:tr>
      <w:tr>
        <w:trPr>
          <w:cantSplit/>
        </w:trPr>
        <w:tc>
          <w:tcPr>
            <w:tcW w:w="904" w:type="dxa"/>
          </w:tcPr>
          <w:p>
            <w:pPr>
              <w:spacing w:before="40" w:after="40" w:line="240" w:lineRule="auto"/>
              <w:ind w:left="0" w:firstLine="0"/>
              <w:jc w:val="left"/>
            </w:pPr>
            <w:r>
              <w:rPr>
                <w:b/>
                <w:sz w:val="20"/>
                <w:szCs w:val="20"/>
              </w:rPr>
              <w:t xml:space="preserve">T‑54</w:t>
            </w:r>
          </w:p>
        </w:tc>
        <w:tc>
          <w:tcPr>
            <w:tcW w:w="5412" w:type="dxa"/>
          </w:tcPr>
          <w:p>
            <w:pPr>
              <w:spacing w:before="40" w:after="40" w:line="240" w:lineRule="auto"/>
              <w:ind w:left="0" w:firstLine="0"/>
              <w:jc w:val="left"/>
            </w:pPr>
            <w:r>
              <w:rPr>
                <w:sz w:val="20"/>
                <w:szCs w:val="20"/>
              </w:rPr>
              <w:t xml:space="preserve">El límite de apilamiento se muestra igual en las tres plataformas.</w:t>
            </w:r>
          </w:p>
        </w:tc>
        <w:tc>
          <w:tcPr>
            <w:tcW w:w="1565" w:type="dxa"/>
          </w:tcPr>
          <w:p>
            <w:pPr>
              <w:spacing w:before="40" w:after="40" w:line="240" w:lineRule="auto"/>
              <w:ind w:left="0" w:firstLine="0"/>
              <w:jc w:val="left"/>
            </w:pPr>
            <w:r>
              <w:rPr>
                <w:sz w:val="20"/>
                <w:szCs w:val="20"/>
              </w:rPr>
              <w:t xml:space="preserve">ae72611</w:t>
            </w:r>
          </w:p>
        </w:tc>
      </w:tr>
      <w:tr>
        <w:trPr>
          <w:cantSplit/>
        </w:trPr>
        <w:tc>
          <w:tcPr>
            <w:tcW w:w="904" w:type="dxa"/>
          </w:tcPr>
          <w:p>
            <w:pPr>
              <w:spacing w:before="40" w:after="40" w:line="240" w:lineRule="auto"/>
              <w:ind w:left="0" w:firstLine="0"/>
              <w:jc w:val="left"/>
            </w:pPr>
            <w:r>
              <w:rPr>
                <w:b/>
                <w:sz w:val="20"/>
                <w:szCs w:val="20"/>
              </w:rPr>
              <w:t xml:space="preserve">T‑55</w:t>
            </w:r>
          </w:p>
        </w:tc>
        <w:tc>
          <w:tcPr>
            <w:tcW w:w="5412" w:type="dxa"/>
          </w:tcPr>
          <w:p>
            <w:pPr>
              <w:spacing w:before="40" w:after="40" w:line="240" w:lineRule="auto"/>
              <w:ind w:left="0" w:firstLine="0"/>
              <w:jc w:val="left"/>
            </w:pPr>
            <w:r>
              <w:rPr>
                <w:sz w:val="20"/>
                <w:szCs w:val="20"/>
              </w:rPr>
              <w:t xml:space="preserve">Revisión cruzada de RF‑027: dos defectos latentes del modelo.</w:t>
            </w:r>
          </w:p>
        </w:tc>
        <w:tc>
          <w:tcPr>
            <w:tcW w:w="1565" w:type="dxa"/>
          </w:tcPr>
          <w:p>
            <w:pPr>
              <w:spacing w:before="40" w:after="40" w:line="240" w:lineRule="auto"/>
              <w:ind w:left="0" w:firstLine="0"/>
              <w:jc w:val="left"/>
            </w:pPr>
            <w:r>
              <w:rPr>
                <w:sz w:val="20"/>
                <w:szCs w:val="20"/>
              </w:rPr>
              <w:t xml:space="preserve">ceaf4c6</w:t>
            </w:r>
          </w:p>
        </w:tc>
      </w:tr>
      <w:tr>
        <w:trPr>
          <w:cantSplit/>
        </w:trPr>
        <w:tc>
          <w:tcPr>
            <w:tcW w:w="904" w:type="dxa"/>
          </w:tcPr>
          <w:p>
            <w:pPr>
              <w:spacing w:before="40" w:after="40" w:line="240" w:lineRule="auto"/>
              <w:ind w:left="0" w:firstLine="0"/>
              <w:jc w:val="left"/>
            </w:pPr>
            <w:r>
              <w:rPr>
                <w:b/>
                <w:sz w:val="20"/>
                <w:szCs w:val="20"/>
              </w:rPr>
              <w:t xml:space="preserve">T‑57</w:t>
            </w:r>
          </w:p>
        </w:tc>
        <w:tc>
          <w:tcPr>
            <w:tcW w:w="5412" w:type="dxa"/>
          </w:tcPr>
          <w:p>
            <w:pPr>
              <w:spacing w:before="40" w:after="40" w:line="240" w:lineRule="auto"/>
              <w:ind w:left="0" w:firstLine="0"/>
              <w:jc w:val="left"/>
            </w:pPr>
            <w:r>
              <w:rPr>
                <w:sz w:val="20"/>
                <w:szCs w:val="20"/>
              </w:rPr>
              <w:t xml:space="preserve">Mensajes de error en español con causa y acción sugerida.</w:t>
            </w:r>
          </w:p>
        </w:tc>
        <w:tc>
          <w:tcPr>
            <w:tcW w:w="1565" w:type="dxa"/>
          </w:tcPr>
          <w:p>
            <w:pPr>
              <w:spacing w:before="40" w:after="40" w:line="240" w:lineRule="auto"/>
              <w:ind w:left="0" w:firstLine="0"/>
              <w:jc w:val="left"/>
            </w:pPr>
            <w:r>
              <w:rPr>
                <w:sz w:val="20"/>
                <w:szCs w:val="20"/>
              </w:rPr>
              <w:t xml:space="preserve">7a034ee</w:t>
            </w:r>
          </w:p>
        </w:tc>
      </w:tr>
      <w:tr>
        <w:trPr>
          <w:cantSplit/>
        </w:trPr>
        <w:tc>
          <w:tcPr>
            <w:tcW w:w="904" w:type="dxa"/>
          </w:tcPr>
          <w:p>
            <w:pPr>
              <w:spacing w:before="40" w:after="40" w:line="240" w:lineRule="auto"/>
              <w:ind w:left="0" w:firstLine="0"/>
              <w:jc w:val="left"/>
            </w:pPr>
            <w:r>
              <w:rPr>
                <w:b/>
                <w:sz w:val="20"/>
                <w:szCs w:val="20"/>
              </w:rPr>
              <w:t xml:space="preserve">T‑58</w:t>
            </w:r>
          </w:p>
        </w:tc>
        <w:tc>
          <w:tcPr>
            <w:tcW w:w="5412" w:type="dxa"/>
          </w:tcPr>
          <w:p>
            <w:pPr>
              <w:spacing w:before="40" w:after="40" w:line="240" w:lineRule="auto"/>
              <w:ind w:left="0" w:firstLine="0"/>
              <w:jc w:val="left"/>
            </w:pPr>
            <w:r>
              <w:rPr>
                <w:sz w:val="20"/>
                <w:szCs w:val="20"/>
              </w:rPr>
              <w:t xml:space="preserve">Fila 00 declarada por zona y dos ajustes de segregación.</w:t>
            </w:r>
          </w:p>
        </w:tc>
        <w:tc>
          <w:tcPr>
            <w:tcW w:w="1565" w:type="dxa"/>
          </w:tcPr>
          <w:p>
            <w:pPr>
              <w:spacing w:before="40" w:after="40" w:line="240" w:lineRule="auto"/>
              <w:ind w:left="0" w:firstLine="0"/>
              <w:jc w:val="left"/>
            </w:pPr>
            <w:r>
              <w:rPr>
                <w:sz w:val="20"/>
                <w:szCs w:val="20"/>
              </w:rPr>
              <w:t xml:space="preserve">3e721c9</w:t>
            </w:r>
          </w:p>
        </w:tc>
      </w:tr>
      <w:tr>
        <w:trPr>
          <w:cantSplit/>
        </w:trPr>
        <w:tc>
          <w:tcPr>
            <w:tcW w:w="904" w:type="dxa"/>
          </w:tcPr>
          <w:p>
            <w:pPr>
              <w:spacing w:before="40" w:after="40" w:line="240" w:lineRule="auto"/>
              <w:ind w:left="0" w:firstLine="0"/>
              <w:jc w:val="left"/>
            </w:pPr>
            <w:r>
              <w:rPr>
                <w:b/>
                <w:sz w:val="20"/>
                <w:szCs w:val="20"/>
              </w:rPr>
              <w:t xml:space="preserve">T‑59</w:t>
            </w:r>
          </w:p>
        </w:tc>
        <w:tc>
          <w:tcPr>
            <w:tcW w:w="5412" w:type="dxa"/>
          </w:tcPr>
          <w:p>
            <w:pPr>
              <w:spacing w:before="40" w:after="40" w:line="240" w:lineRule="auto"/>
              <w:ind w:left="0" w:firstLine="0"/>
              <w:jc w:val="left"/>
            </w:pPr>
            <w:r>
              <w:rPr>
                <w:sz w:val="20"/>
                <w:szCs w:val="20"/>
              </w:rPr>
              <w:t xml:space="preserve">Búsqueda de cómo se documentan las tomas de reefer; sin respuesta pública.</w:t>
            </w:r>
          </w:p>
        </w:tc>
        <w:tc>
          <w:tcPr>
            <w:tcW w:w="1565" w:type="dxa"/>
          </w:tcPr>
          <w:p>
            <w:pPr>
              <w:spacing w:before="40" w:after="40" w:line="240" w:lineRule="auto"/>
              <w:ind w:left="0" w:firstLine="0"/>
              <w:jc w:val="left"/>
            </w:pPr>
            <w:r>
              <w:rPr>
                <w:sz w:val="20"/>
                <w:szCs w:val="20"/>
              </w:rPr>
              <w:t xml:space="preserve">40fba22</w:t>
            </w:r>
          </w:p>
        </w:tc>
      </w:tr>
      <w:tr>
        <w:trPr>
          <w:cantSplit/>
        </w:trPr>
        <w:tc>
          <w:tcPr>
            <w:tcW w:w="904" w:type="dxa"/>
          </w:tcPr>
          <w:p>
            <w:pPr>
              <w:spacing w:before="40" w:after="40" w:line="240" w:lineRule="auto"/>
              <w:ind w:left="0" w:firstLine="0"/>
              <w:jc w:val="left"/>
            </w:pPr>
            <w:r>
              <w:rPr>
                <w:b/>
                <w:sz w:val="20"/>
                <w:szCs w:val="20"/>
              </w:rPr>
              <w:t xml:space="preserve">T‑60</w:t>
            </w:r>
          </w:p>
        </w:tc>
        <w:tc>
          <w:tcPr>
            <w:tcW w:w="5412" w:type="dxa"/>
          </w:tcPr>
          <w:p>
            <w:pPr>
              <w:spacing w:before="40" w:after="40" w:line="240" w:lineRule="auto"/>
              <w:ind w:left="0" w:firstLine="0"/>
              <w:jc w:val="left"/>
            </w:pPr>
            <w:r>
              <w:rPr>
                <w:sz w:val="20"/>
                <w:szCs w:val="20"/>
              </w:rPr>
              <w:t xml:space="preserve">La fila 00 que ocupa el propio viaje cuenta como existente.</w:t>
            </w:r>
          </w:p>
        </w:tc>
        <w:tc>
          <w:tcPr>
            <w:tcW w:w="1565" w:type="dxa"/>
          </w:tcPr>
          <w:p>
            <w:pPr>
              <w:spacing w:before="40" w:after="40" w:line="240" w:lineRule="auto"/>
              <w:ind w:left="0" w:firstLine="0"/>
              <w:jc w:val="left"/>
            </w:pPr>
            <w:r>
              <w:rPr>
                <w:sz w:val="20"/>
                <w:szCs w:val="20"/>
              </w:rPr>
              <w:t xml:space="preserve">5e67522</w:t>
            </w:r>
          </w:p>
        </w:tc>
      </w:tr>
      <w:tr>
        <w:trPr>
          <w:cantSplit/>
        </w:trPr>
        <w:tc>
          <w:tcPr>
            <w:tcW w:w="904" w:type="dxa"/>
          </w:tcPr>
          <w:p>
            <w:pPr>
              <w:spacing w:before="40" w:after="40" w:line="240" w:lineRule="auto"/>
              <w:ind w:left="0" w:firstLine="0"/>
              <w:jc w:val="left"/>
            </w:pPr>
            <w:r>
              <w:rPr>
                <w:b/>
                <w:sz w:val="20"/>
                <w:szCs w:val="20"/>
              </w:rPr>
              <w:t xml:space="preserve">T‑61</w:t>
            </w:r>
          </w:p>
        </w:tc>
        <w:tc>
          <w:tcPr>
            <w:tcW w:w="5412" w:type="dxa"/>
          </w:tcPr>
          <w:p>
            <w:pPr>
              <w:spacing w:before="40" w:after="40" w:line="240" w:lineRule="auto"/>
              <w:ind w:left="0" w:firstLine="0"/>
              <w:jc w:val="left"/>
            </w:pPr>
            <w:r>
              <w:rPr>
                <w:sz w:val="20"/>
                <w:szCs w:val="20"/>
              </w:rPr>
              <w:t xml:space="preserve">Al reabrir un viaje, los datos del buque salen del perfil vigente.</w:t>
            </w:r>
          </w:p>
        </w:tc>
        <w:tc>
          <w:tcPr>
            <w:tcW w:w="1565" w:type="dxa"/>
          </w:tcPr>
          <w:p>
            <w:pPr>
              <w:spacing w:before="40" w:after="40" w:line="240" w:lineRule="auto"/>
              <w:ind w:left="0" w:firstLine="0"/>
              <w:jc w:val="left"/>
            </w:pPr>
            <w:r>
              <w:rPr>
                <w:sz w:val="20"/>
                <w:szCs w:val="20"/>
              </w:rPr>
              <w:t xml:space="preserve">5df7e16</w:t>
            </w:r>
          </w:p>
        </w:tc>
      </w:tr>
      <w:tr>
        <w:trPr>
          <w:cantSplit/>
        </w:trPr>
        <w:tc>
          <w:tcPr>
            <w:tcW w:w="904" w:type="dxa"/>
          </w:tcPr>
          <w:p>
            <w:pPr>
              <w:spacing w:before="40" w:after="40" w:line="240" w:lineRule="auto"/>
              <w:ind w:left="0" w:firstLine="0"/>
              <w:jc w:val="left"/>
            </w:pPr>
            <w:r>
              <w:rPr>
                <w:b/>
                <w:sz w:val="20"/>
                <w:szCs w:val="20"/>
              </w:rPr>
              <w:t xml:space="preserve">T‑62</w:t>
            </w:r>
          </w:p>
        </w:tc>
        <w:tc>
          <w:tcPr>
            <w:tcW w:w="5412" w:type="dxa"/>
          </w:tcPr>
          <w:p>
            <w:pPr>
              <w:spacing w:before="40" w:after="40" w:line="240" w:lineRule="auto"/>
              <w:ind w:left="0" w:firstLine="0"/>
              <w:jc w:val="left"/>
            </w:pPr>
            <w:r>
              <w:rPr>
                <w:sz w:val="20"/>
                <w:szCs w:val="20"/>
              </w:rPr>
              <w:t xml:space="preserve">La instrumentación de H5 obtuvo su propio punto de entrada, prerrequisito de T‑47.</w:t>
            </w:r>
          </w:p>
        </w:tc>
        <w:tc>
          <w:tcPr>
            <w:tcW w:w="1565" w:type="dxa"/>
          </w:tcPr>
          <w:p>
            <w:pPr>
              <w:spacing w:before="40" w:after="40" w:line="240" w:lineRule="auto"/>
              <w:ind w:left="0" w:firstLine="0"/>
              <w:jc w:val="left"/>
            </w:pPr>
            <w:r>
              <w:rPr>
                <w:sz w:val="20"/>
                <w:szCs w:val="20"/>
              </w:rPr>
              <w:t xml:space="preserve">318fcbd</w:t>
            </w:r>
          </w:p>
        </w:tc>
      </w:tr>
      <w:tr>
        <w:trPr>
          <w:cantSplit/>
        </w:trPr>
        <w:tc>
          <w:tcPr>
            <w:tcW w:w="904" w:type="dxa"/>
          </w:tcPr>
          <w:p>
            <w:pPr>
              <w:spacing w:before="40" w:after="40" w:line="240" w:lineRule="auto"/>
              <w:ind w:left="0" w:firstLine="0"/>
              <w:jc w:val="left"/>
            </w:pPr>
            <w:r>
              <w:rPr>
                <w:b/>
                <w:sz w:val="20"/>
                <w:szCs w:val="20"/>
              </w:rPr>
              <w:t xml:space="preserve">T‑63</w:t>
            </w:r>
          </w:p>
        </w:tc>
        <w:tc>
          <w:tcPr>
            <w:tcW w:w="5412" w:type="dxa"/>
          </w:tcPr>
          <w:p>
            <w:pPr>
              <w:spacing w:before="40" w:after="40" w:line="240" w:lineRule="auto"/>
              <w:ind w:left="0" w:firstLine="0"/>
              <w:jc w:val="left"/>
            </w:pPr>
            <w:r>
              <w:rPr>
                <w:sz w:val="20"/>
                <w:szCs w:val="20"/>
              </w:rPr>
              <w:t xml:space="preserve">Propuesta de criterio operativo para cada requerimiento no funcional.</w:t>
            </w:r>
          </w:p>
        </w:tc>
        <w:tc>
          <w:tcPr>
            <w:tcW w:w="1565" w:type="dxa"/>
          </w:tcPr>
          <w:p>
            <w:pPr>
              <w:spacing w:before="40" w:after="40" w:line="240" w:lineRule="auto"/>
              <w:ind w:left="0" w:firstLine="0"/>
              <w:jc w:val="left"/>
            </w:pPr>
            <w:r>
              <w:rPr>
                <w:sz w:val="20"/>
                <w:szCs w:val="20"/>
              </w:rPr>
              <w:t xml:space="preserve">33c3c34</w:t>
            </w:r>
          </w:p>
        </w:tc>
      </w:tr>
      <w:tr>
        <w:trPr>
          <w:cantSplit/>
        </w:trPr>
        <w:tc>
          <w:tcPr>
            <w:tcW w:w="904" w:type="dxa"/>
          </w:tcPr>
          <w:p>
            <w:pPr>
              <w:spacing w:before="40" w:after="40" w:line="240" w:lineRule="auto"/>
              <w:ind w:left="0" w:firstLine="0"/>
              <w:jc w:val="left"/>
            </w:pPr>
            <w:r>
              <w:rPr>
                <w:b/>
                <w:sz w:val="20"/>
                <w:szCs w:val="20"/>
              </w:rPr>
              <w:t xml:space="preserve">T‑64</w:t>
            </w:r>
          </w:p>
        </w:tc>
        <w:tc>
          <w:tcPr>
            <w:tcW w:w="5412" w:type="dxa"/>
          </w:tcPr>
          <w:p>
            <w:pPr>
              <w:spacing w:before="40" w:after="40" w:line="240" w:lineRule="auto"/>
              <w:ind w:left="0" w:firstLine="0"/>
              <w:jc w:val="left"/>
            </w:pPr>
            <w:r>
              <w:rPr>
                <w:sz w:val="20"/>
                <w:szCs w:val="20"/>
              </w:rPr>
              <w:t xml:space="preserve">Declaraciones de Google Play comprobadas contra el paquete y el código.</w:t>
            </w:r>
          </w:p>
        </w:tc>
        <w:tc>
          <w:tcPr>
            <w:tcW w:w="1565" w:type="dxa"/>
          </w:tcPr>
          <w:p>
            <w:pPr>
              <w:spacing w:before="40" w:after="40" w:line="240" w:lineRule="auto"/>
              <w:ind w:left="0" w:firstLine="0"/>
              <w:jc w:val="left"/>
            </w:pPr>
            <w:r>
              <w:rPr>
                <w:sz w:val="20"/>
                <w:szCs w:val="20"/>
              </w:rPr>
              <w:t xml:space="preserve">ca1a3ab</w:t>
            </w:r>
          </w:p>
        </w:tc>
      </w:tr>
      <w:tr>
        <w:trPr>
          <w:cantSplit/>
        </w:trPr>
        <w:tc>
          <w:tcPr>
            <w:tcW w:w="904" w:type="dxa"/>
          </w:tcPr>
          <w:p>
            <w:pPr>
              <w:keepNext/>
              <w:spacing w:before="40" w:after="40" w:line="240" w:lineRule="auto"/>
              <w:ind w:left="0" w:firstLine="0"/>
              <w:jc w:val="left"/>
            </w:pPr>
            <w:r>
              <w:rPr>
                <w:b/>
                <w:sz w:val="20"/>
                <w:szCs w:val="20"/>
              </w:rPr>
              <w:t xml:space="preserve">T‑65</w:t>
            </w:r>
          </w:p>
        </w:tc>
        <w:tc>
          <w:tcPr>
            <w:tcW w:w="5412" w:type="dxa"/>
          </w:tcPr>
          <w:p>
            <w:pPr>
              <w:keepNext/>
              <w:spacing w:before="40" w:after="40" w:line="240" w:lineRule="auto"/>
              <w:ind w:left="0" w:firstLine="0"/>
              <w:jc w:val="left"/>
            </w:pPr>
            <w:r>
              <w:rPr>
                <w:sz w:val="20"/>
                <w:szCs w:val="20"/>
              </w:rPr>
              <w:t xml:space="preserve">Red del producto en Android: cero tráfico en las operaciones básicas.</w:t>
            </w:r>
          </w:p>
        </w:tc>
        <w:tc>
          <w:tcPr>
            <w:tcW w:w="1565" w:type="dxa"/>
          </w:tcPr>
          <w:p>
            <w:pPr>
              <w:keepNext/>
              <w:spacing w:before="40" w:after="40" w:line="240" w:lineRule="auto"/>
              <w:ind w:left="0" w:firstLine="0"/>
              <w:jc w:val="left"/>
            </w:pPr>
            <w:r>
              <w:rPr>
                <w:sz w:val="20"/>
                <w:szCs w:val="20"/>
              </w:rPr>
              <w:t xml:space="preserve">e76fe06</w:t>
            </w:r>
          </w:p>
        </w:tc>
      </w:tr>
    </w:tbl>
    <w:p>
      <w:pPr>
        <w:spacing w:before="80" w:after="880"/>
        <w:ind w:left="850" w:firstLine="0"/>
        <w:jc w:val="left"/>
      </w:pPr>
      <w:r>
        <w:rPr>
          <w:b/>
        </w:rPr>
        <w:t xml:space="preserve">Fuente: </w:t>
      </w:r>
      <w:r>
        <w:t xml:space="preserve">Elaboración propia, con base en el historial del repositorio.</w:t>
      </w:r>
    </w:p>
    <w:p>
      <w:pPr>
        <w:pStyle w:val="Heading2"/>
        <w:spacing w:before="0" w:after="760"/>
      </w:pPr>
      <w:r>
        <w:t xml:space="preserve">Trazabilidad con el repositorio</w:t>
      </w:r>
    </w:p>
    <w:p>
      <w:pPr>
        <w:spacing w:after="880"/>
        <w:ind w:left="850" w:firstLine="357"/>
        <w:jc w:val="both"/>
      </w:pPr>
      <w:r>
        <w:t xml:space="preserve">Cada tarea comprometida termina en una confirmación verificable del repositorio. Esa correspondencia es lo que permite auditar el incremento: no se afirma que una funcionalidad exista, se señala dónde está su implementación. Entre el 19 de septiembre y el 3 de octubre de 2026 el repositorio registra 82 confirmaciones: 47 de tareas, informes, evidencia y entregables, y 35 de seguimiento del sprint, entre el registro de decisiones y el tablero. La Tabla 83 relaciona las tareas comprometidas con su confirmación principal.</w:t>
      </w:r>
    </w:p>
    <w:p>
      <w:pPr>
        <w:keepNext/>
        <w:spacing w:after="0"/>
        <w:ind w:left="850" w:firstLine="0"/>
        <w:jc w:val="left"/>
      </w:pPr>
      <w:r>
        <w:rPr>
          <w:b/>
        </w:rPr>
        <w:t>Tabla 83.</w:t>
      </w:r>
    </w:p>
    <w:p>
      <w:pPr>
        <w:keepNext/>
        <w:spacing w:after="0" w:line="480" w:lineRule="auto"/>
        <w:ind w:left="850" w:firstLine="0"/>
        <w:jc w:val="left"/>
      </w:pPr>
      <w:r>
        <w:rPr>
          <w:i/>
        </w:rPr>
        <w:t xml:space="preserve">Trazabilidad entre las tareas comprometidas y las confirmaciones del repositorio</w:t>
      </w:r>
    </w:p>
    <w:tbl>
      <w:tblPr>
        <w:tblStyle w:val="TableGrid"/>
        <w:tblW w:w="7881" w:type="dxa"/>
        <w:tblInd w:w="958" w:type="dxa"/>
        <w:tblLayout w:type="fixed"/>
        <w:tblLook w:val="04A0" w:firstRow="1" w:lastRow="0" w:firstColumn="1" w:lastColumn="0" w:noHBand="0" w:noVBand="1"/>
      </w:tblPr>
      <w:tblGrid>
        <w:gridCol w:w="1564"/>
        <w:gridCol w:w="1333"/>
        <w:gridCol w:w="3807"/>
        <w:gridCol w:w="1177"/>
      </w:tblGrid>
      <w:tr>
        <w:trPr>
          <w:cantSplit/>
          <w:tblHeader/>
        </w:trPr>
        <w:tc>
          <w:tcPr>
            <w:tcW w:w="1564" w:type="dxa"/>
          </w:tcPr>
          <w:p>
            <w:pPr>
              <w:keepNext/>
              <w:spacing w:before="40" w:after="40" w:line="240" w:lineRule="auto"/>
              <w:ind w:left="0" w:firstLine="0"/>
              <w:jc w:val="left"/>
            </w:pPr>
            <w:r>
              <w:rPr>
                <w:b/>
                <w:sz w:val="20"/>
                <w:szCs w:val="20"/>
              </w:rPr>
              <w:t xml:space="preserve">Confirmación</w:t>
            </w:r>
          </w:p>
        </w:tc>
        <w:tc>
          <w:tcPr>
            <w:tcW w:w="1333" w:type="dxa"/>
          </w:tcPr>
          <w:p>
            <w:pPr>
              <w:keepNext/>
              <w:spacing w:before="40" w:after="40" w:line="240" w:lineRule="auto"/>
              <w:ind w:left="0" w:firstLine="0"/>
              <w:jc w:val="left"/>
            </w:pPr>
            <w:r>
              <w:rPr>
                <w:b/>
                <w:sz w:val="20"/>
                <w:szCs w:val="20"/>
              </w:rPr>
              <w:t xml:space="preserve">Tareas</w:t>
            </w:r>
          </w:p>
        </w:tc>
        <w:tc>
          <w:tcPr>
            <w:tcW w:w="3807" w:type="dxa"/>
          </w:tcPr>
          <w:p>
            <w:pPr>
              <w:keepNext/>
              <w:spacing w:before="40" w:after="40" w:line="240" w:lineRule="auto"/>
              <w:ind w:left="0" w:firstLine="0"/>
              <w:jc w:val="left"/>
            </w:pPr>
            <w:r>
              <w:rPr>
                <w:b/>
                <w:sz w:val="20"/>
                <w:szCs w:val="20"/>
              </w:rPr>
              <w:t xml:space="preserve">Contenido</w:t>
            </w:r>
          </w:p>
        </w:tc>
        <w:tc>
          <w:tcPr>
            <w:tcW w:w="1177" w:type="dxa"/>
          </w:tcPr>
          <w:p>
            <w:pPr>
              <w:keepNext/>
              <w:spacing w:before="40" w:after="40" w:line="240" w:lineRule="auto"/>
              <w:ind w:left="0" w:firstLine="0"/>
              <w:jc w:val="left"/>
            </w:pPr>
            <w:r>
              <w:rPr>
                <w:b/>
                <w:sz w:val="20"/>
                <w:szCs w:val="20"/>
              </w:rPr>
              <w:t xml:space="preserve">Elemento</w:t>
            </w:r>
          </w:p>
        </w:tc>
      </w:tr>
      <w:tr>
        <w:trPr>
          <w:cantSplit/>
        </w:trPr>
        <w:tc>
          <w:tcPr>
            <w:tcW w:w="1564" w:type="dxa"/>
          </w:tcPr>
          <w:p>
            <w:pPr>
              <w:spacing w:before="40" w:after="40" w:line="240" w:lineRule="auto"/>
              <w:ind w:left="0" w:firstLine="0"/>
              <w:jc w:val="left"/>
            </w:pPr>
            <w:r>
              <w:rPr>
                <w:b/>
                <w:sz w:val="20"/>
                <w:szCs w:val="20"/>
              </w:rPr>
              <w:t xml:space="preserve">388db74</w:t>
            </w:r>
          </w:p>
        </w:tc>
        <w:tc>
          <w:tcPr>
            <w:tcW w:w="1333" w:type="dxa"/>
          </w:tcPr>
          <w:p>
            <w:pPr>
              <w:spacing w:before="40" w:after="40" w:line="240" w:lineRule="auto"/>
              <w:ind w:left="0" w:firstLine="0"/>
              <w:jc w:val="left"/>
            </w:pPr>
            <w:r>
              <w:rPr>
                <w:sz w:val="20"/>
                <w:szCs w:val="20"/>
              </w:rPr>
              <w:t xml:space="preserve">T‑35</w:t>
            </w:r>
          </w:p>
        </w:tc>
        <w:tc>
          <w:tcPr>
            <w:tcW w:w="3807" w:type="dxa"/>
          </w:tcPr>
          <w:p>
            <w:pPr>
              <w:spacing w:before="40" w:after="40" w:line="240" w:lineRule="auto"/>
              <w:ind w:left="0" w:firstLine="0"/>
              <w:jc w:val="left"/>
            </w:pPr>
            <w:r>
              <w:rPr>
                <w:sz w:val="20"/>
                <w:szCs w:val="20"/>
              </w:rPr>
              <w:t xml:space="preserve">Elegir y verificar el motor de almacenamiento local con una medición</w:t>
            </w:r>
          </w:p>
        </w:tc>
        <w:tc>
          <w:tcPr>
            <w:tcW w:w="1177" w:type="dxa"/>
          </w:tcPr>
          <w:p>
            <w:pPr>
              <w:spacing w:before="40" w:after="40" w:line="240" w:lineRule="auto"/>
              <w:ind w:left="0" w:firstLine="0"/>
              <w:jc w:val="left"/>
            </w:pPr>
            <w:r>
              <w:rPr>
                <w:sz w:val="20"/>
                <w:szCs w:val="20"/>
              </w:rPr>
              <w:t xml:space="preserve">RF‑031+</w:t>
            </w:r>
          </w:p>
        </w:tc>
      </w:tr>
      <w:tr>
        <w:trPr>
          <w:cantSplit/>
        </w:trPr>
        <w:tc>
          <w:tcPr>
            <w:tcW w:w="1564" w:type="dxa"/>
          </w:tcPr>
          <w:p>
            <w:pPr>
              <w:spacing w:before="40" w:after="40" w:line="240" w:lineRule="auto"/>
              <w:ind w:left="0" w:firstLine="0"/>
              <w:jc w:val="left"/>
            </w:pPr>
            <w:r>
              <w:rPr>
                <w:b/>
                <w:sz w:val="20"/>
                <w:szCs w:val="20"/>
              </w:rPr>
              <w:t xml:space="preserve">a0edffa</w:t>
            </w:r>
          </w:p>
        </w:tc>
        <w:tc>
          <w:tcPr>
            <w:tcW w:w="1333" w:type="dxa"/>
          </w:tcPr>
          <w:p>
            <w:pPr>
              <w:spacing w:before="40" w:after="40" w:line="240" w:lineRule="auto"/>
              <w:ind w:left="0" w:firstLine="0"/>
              <w:jc w:val="left"/>
            </w:pPr>
            <w:r>
              <w:rPr>
                <w:sz w:val="20"/>
                <w:szCs w:val="20"/>
              </w:rPr>
              <w:t xml:space="preserve">T‑24, T‑25</w:t>
            </w:r>
          </w:p>
        </w:tc>
        <w:tc>
          <w:tcPr>
            <w:tcW w:w="3807" w:type="dxa"/>
          </w:tcPr>
          <w:p>
            <w:pPr>
              <w:spacing w:before="40" w:after="40" w:line="240" w:lineRule="auto"/>
              <w:ind w:left="0" w:firstLine="0"/>
              <w:jc w:val="left"/>
            </w:pPr>
            <w:r>
              <w:rPr>
                <w:sz w:val="20"/>
                <w:szCs w:val="20"/>
              </w:rPr>
              <w:t xml:space="preserve">Identificar buques y serializar perfiles con origen explícito</w:t>
            </w:r>
          </w:p>
        </w:tc>
        <w:tc>
          <w:tcPr>
            <w:tcW w:w="1177" w:type="dxa"/>
          </w:tcPr>
          <w:p>
            <w:pPr>
              <w:spacing w:before="40" w:after="40" w:line="240" w:lineRule="auto"/>
              <w:ind w:left="0" w:firstLine="0"/>
              <w:jc w:val="left"/>
            </w:pPr>
            <w:r>
              <w:rPr>
                <w:sz w:val="20"/>
                <w:szCs w:val="20"/>
              </w:rPr>
              <w:t xml:space="preserve">RF‑036</w:t>
            </w:r>
          </w:p>
        </w:tc>
      </w:tr>
      <w:tr>
        <w:trPr>
          <w:cantSplit/>
        </w:trPr>
        <w:tc>
          <w:tcPr>
            <w:tcW w:w="1564" w:type="dxa"/>
          </w:tcPr>
          <w:p>
            <w:pPr>
              <w:spacing w:before="40" w:after="40" w:line="240" w:lineRule="auto"/>
              <w:ind w:left="0" w:firstLine="0"/>
              <w:jc w:val="left"/>
            </w:pPr>
            <w:r>
              <w:rPr>
                <w:b/>
                <w:sz w:val="20"/>
                <w:szCs w:val="20"/>
              </w:rPr>
              <w:t xml:space="preserve">69afd4e</w:t>
            </w:r>
          </w:p>
        </w:tc>
        <w:tc>
          <w:tcPr>
            <w:tcW w:w="1333" w:type="dxa"/>
          </w:tcPr>
          <w:p>
            <w:pPr>
              <w:spacing w:before="40" w:after="40" w:line="240" w:lineRule="auto"/>
              <w:ind w:left="0" w:firstLine="0"/>
              <w:jc w:val="left"/>
            </w:pPr>
            <w:r>
              <w:rPr>
                <w:sz w:val="20"/>
                <w:szCs w:val="20"/>
              </w:rPr>
              <w:t xml:space="preserve">T‑36</w:t>
            </w:r>
          </w:p>
        </w:tc>
        <w:tc>
          <w:tcPr>
            <w:tcW w:w="3807" w:type="dxa"/>
          </w:tcPr>
          <w:p>
            <w:pPr>
              <w:spacing w:before="40" w:after="40" w:line="240" w:lineRule="auto"/>
              <w:ind w:left="0" w:firstLine="0"/>
              <w:jc w:val="left"/>
            </w:pPr>
            <w:r>
              <w:rPr>
                <w:sz w:val="20"/>
                <w:szCs w:val="20"/>
              </w:rPr>
              <w:t xml:space="preserve">Persistir viajes y perfiles con esquema versionado</w:t>
            </w:r>
          </w:p>
        </w:tc>
        <w:tc>
          <w:tcPr>
            <w:tcW w:w="1177" w:type="dxa"/>
          </w:tcPr>
          <w:p>
            <w:pPr>
              <w:spacing w:before="40" w:after="40" w:line="240" w:lineRule="auto"/>
              <w:ind w:left="0" w:firstLine="0"/>
              <w:jc w:val="left"/>
            </w:pPr>
            <w:r>
              <w:rPr>
                <w:sz w:val="20"/>
                <w:szCs w:val="20"/>
              </w:rPr>
              <w:t xml:space="preserve">RF‑031+</w:t>
            </w:r>
          </w:p>
        </w:tc>
      </w:tr>
      <w:tr>
        <w:trPr>
          <w:cantSplit/>
        </w:trPr>
        <w:tc>
          <w:tcPr>
            <w:tcW w:w="1564" w:type="dxa"/>
          </w:tcPr>
          <w:p>
            <w:pPr>
              <w:spacing w:before="40" w:after="40" w:line="240" w:lineRule="auto"/>
              <w:ind w:left="0" w:firstLine="0"/>
              <w:jc w:val="left"/>
            </w:pPr>
            <w:r>
              <w:rPr>
                <w:b/>
                <w:sz w:val="20"/>
                <w:szCs w:val="20"/>
              </w:rPr>
              <w:t xml:space="preserve">55fe8f5</w:t>
            </w:r>
          </w:p>
        </w:tc>
        <w:tc>
          <w:tcPr>
            <w:tcW w:w="1333" w:type="dxa"/>
          </w:tcPr>
          <w:p>
            <w:pPr>
              <w:spacing w:before="40" w:after="40" w:line="240" w:lineRule="auto"/>
              <w:ind w:left="0" w:firstLine="0"/>
              <w:jc w:val="left"/>
            </w:pPr>
            <w:r>
              <w:rPr>
                <w:sz w:val="20"/>
                <w:szCs w:val="20"/>
              </w:rPr>
              <w:t xml:space="preserve">T‑26 … T‑28</w:t>
            </w:r>
          </w:p>
        </w:tc>
        <w:tc>
          <w:tcPr>
            <w:tcW w:w="3807" w:type="dxa"/>
          </w:tcPr>
          <w:p>
            <w:pPr>
              <w:spacing w:before="40" w:after="40" w:line="240" w:lineRule="auto"/>
              <w:ind w:left="0" w:firstLine="0"/>
              <w:jc w:val="left"/>
            </w:pPr>
            <w:r>
              <w:rPr>
                <w:sz w:val="20"/>
                <w:szCs w:val="20"/>
              </w:rPr>
              <w:t xml:space="preserve">Parametrizar zonas y recordar perfiles entre viajes</w:t>
            </w:r>
          </w:p>
        </w:tc>
        <w:tc>
          <w:tcPr>
            <w:tcW w:w="1177" w:type="dxa"/>
          </w:tcPr>
          <w:p>
            <w:pPr>
              <w:spacing w:before="40" w:after="40" w:line="240" w:lineRule="auto"/>
              <w:ind w:left="0" w:firstLine="0"/>
              <w:jc w:val="left"/>
            </w:pPr>
            <w:r>
              <w:rPr>
                <w:sz w:val="20"/>
                <w:szCs w:val="20"/>
              </w:rPr>
              <w:t xml:space="preserve">RF‑036</w:t>
            </w:r>
          </w:p>
        </w:tc>
      </w:tr>
      <w:tr>
        <w:trPr>
          <w:cantSplit/>
        </w:trPr>
        <w:tc>
          <w:tcPr>
            <w:tcW w:w="1564" w:type="dxa"/>
          </w:tcPr>
          <w:p>
            <w:pPr>
              <w:spacing w:before="40" w:after="40" w:line="240" w:lineRule="auto"/>
              <w:ind w:left="0" w:firstLine="0"/>
              <w:jc w:val="left"/>
            </w:pPr>
            <w:r>
              <w:rPr>
                <w:b/>
                <w:sz w:val="20"/>
                <w:szCs w:val="20"/>
              </w:rPr>
              <w:t xml:space="preserve">8f0d39d</w:t>
            </w:r>
          </w:p>
        </w:tc>
        <w:tc>
          <w:tcPr>
            <w:tcW w:w="1333" w:type="dxa"/>
          </w:tcPr>
          <w:p>
            <w:pPr>
              <w:spacing w:before="40" w:after="40" w:line="240" w:lineRule="auto"/>
              <w:ind w:left="0" w:firstLine="0"/>
              <w:jc w:val="left"/>
            </w:pPr>
            <w:r>
              <w:rPr>
                <w:sz w:val="20"/>
                <w:szCs w:val="20"/>
              </w:rPr>
              <w:t xml:space="preserve">T‑45</w:t>
            </w:r>
          </w:p>
        </w:tc>
        <w:tc>
          <w:tcPr>
            <w:tcW w:w="3807" w:type="dxa"/>
          </w:tcPr>
          <w:p>
            <w:pPr>
              <w:spacing w:before="40" w:after="40" w:line="240" w:lineRule="auto"/>
              <w:ind w:left="0" w:firstLine="0"/>
              <w:jc w:val="left"/>
            </w:pPr>
            <w:r>
              <w:rPr>
                <w:sz w:val="20"/>
                <w:szCs w:val="20"/>
              </w:rPr>
              <w:t xml:space="preserve">Publicar las reglas sin identidad y conservar la variante con autenticación</w:t>
            </w:r>
          </w:p>
        </w:tc>
        <w:tc>
          <w:tcPr>
            <w:tcW w:w="1177" w:type="dxa"/>
          </w:tcPr>
          <w:p>
            <w:pPr>
              <w:spacing w:before="40" w:after="40" w:line="240" w:lineRule="auto"/>
              <w:ind w:left="0" w:firstLine="0"/>
              <w:jc w:val="left"/>
            </w:pPr>
            <w:r>
              <w:rPr>
                <w:sz w:val="20"/>
                <w:szCs w:val="20"/>
              </w:rPr>
              <w:t xml:space="preserve">TC‑03</w:t>
            </w:r>
          </w:p>
        </w:tc>
      </w:tr>
      <w:tr>
        <w:trPr>
          <w:cantSplit/>
        </w:trPr>
        <w:tc>
          <w:tcPr>
            <w:tcW w:w="1564" w:type="dxa"/>
          </w:tcPr>
          <w:p>
            <w:pPr>
              <w:spacing w:before="40" w:after="40" w:line="240" w:lineRule="auto"/>
              <w:ind w:left="0" w:firstLine="0"/>
              <w:jc w:val="left"/>
            </w:pPr>
            <w:r>
              <w:rPr>
                <w:b/>
                <w:sz w:val="20"/>
                <w:szCs w:val="20"/>
              </w:rPr>
              <w:t xml:space="preserve">591f99a</w:t>
            </w:r>
          </w:p>
        </w:tc>
        <w:tc>
          <w:tcPr>
            <w:tcW w:w="1333" w:type="dxa"/>
          </w:tcPr>
          <w:p>
            <w:pPr>
              <w:spacing w:before="40" w:after="40" w:line="240" w:lineRule="auto"/>
              <w:ind w:left="0" w:firstLine="0"/>
              <w:jc w:val="left"/>
            </w:pPr>
            <w:r>
              <w:rPr>
                <w:sz w:val="20"/>
                <w:szCs w:val="20"/>
              </w:rPr>
              <w:t xml:space="preserve">T‑46</w:t>
            </w:r>
          </w:p>
        </w:tc>
        <w:tc>
          <w:tcPr>
            <w:tcW w:w="3807" w:type="dxa"/>
          </w:tcPr>
          <w:p>
            <w:pPr>
              <w:spacing w:before="40" w:after="40" w:line="240" w:lineRule="auto"/>
              <w:ind w:left="0" w:firstLine="0"/>
              <w:jc w:val="left"/>
            </w:pPr>
            <w:r>
              <w:rPr>
                <w:sz w:val="20"/>
                <w:szCs w:val="20"/>
              </w:rPr>
              <w:t xml:space="preserve">Inventario de dependencias y registro de accesos</w:t>
            </w:r>
          </w:p>
        </w:tc>
        <w:tc>
          <w:tcPr>
            <w:tcW w:w="1177" w:type="dxa"/>
          </w:tcPr>
          <w:p>
            <w:pPr>
              <w:spacing w:before="40" w:after="40" w:line="240" w:lineRule="auto"/>
              <w:ind w:left="0" w:firstLine="0"/>
              <w:jc w:val="left"/>
            </w:pPr>
            <w:r>
              <w:rPr>
                <w:sz w:val="20"/>
                <w:szCs w:val="20"/>
              </w:rPr>
              <w:t xml:space="preserve">TC‑03</w:t>
            </w:r>
          </w:p>
        </w:tc>
      </w:tr>
      <w:tr>
        <w:trPr>
          <w:cantSplit/>
        </w:trPr>
        <w:tc>
          <w:tcPr>
            <w:tcW w:w="1564" w:type="dxa"/>
          </w:tcPr>
          <w:p>
            <w:pPr>
              <w:spacing w:before="40" w:after="40" w:line="240" w:lineRule="auto"/>
              <w:ind w:left="0" w:firstLine="0"/>
              <w:jc w:val="left"/>
            </w:pPr>
            <w:r>
              <w:rPr>
                <w:b/>
                <w:sz w:val="20"/>
                <w:szCs w:val="20"/>
              </w:rPr>
              <w:t xml:space="preserve">2157fa6</w:t>
            </w:r>
          </w:p>
        </w:tc>
        <w:tc>
          <w:tcPr>
            <w:tcW w:w="1333" w:type="dxa"/>
          </w:tcPr>
          <w:p>
            <w:pPr>
              <w:spacing w:before="40" w:after="40" w:line="240" w:lineRule="auto"/>
              <w:ind w:left="0" w:firstLine="0"/>
              <w:jc w:val="left"/>
            </w:pPr>
            <w:r>
              <w:rPr>
                <w:sz w:val="20"/>
                <w:szCs w:val="20"/>
              </w:rPr>
              <w:t xml:space="preserve">T‑29 … T‑31</w:t>
            </w:r>
          </w:p>
        </w:tc>
        <w:tc>
          <w:tcPr>
            <w:tcW w:w="3807" w:type="dxa"/>
          </w:tcPr>
          <w:p>
            <w:pPr>
              <w:spacing w:before="40" w:after="40" w:line="240" w:lineRule="auto"/>
              <w:ind w:left="0" w:firstLine="0"/>
              <w:jc w:val="left"/>
            </w:pPr>
            <w:r>
              <w:rPr>
                <w:sz w:val="20"/>
                <w:szCs w:val="20"/>
              </w:rPr>
              <w:t xml:space="preserve">Persistir los parámetros del buque y proponer tomas de reefer</w:t>
            </w:r>
          </w:p>
        </w:tc>
        <w:tc>
          <w:tcPr>
            <w:tcW w:w="1177" w:type="dxa"/>
          </w:tcPr>
          <w:p>
            <w:pPr>
              <w:spacing w:before="40" w:after="40" w:line="240" w:lineRule="auto"/>
              <w:ind w:left="0" w:firstLine="0"/>
              <w:jc w:val="left"/>
            </w:pPr>
            <w:r>
              <w:rPr>
                <w:sz w:val="20"/>
                <w:szCs w:val="20"/>
              </w:rPr>
              <w:t xml:space="preserve">RF‑036</w:t>
            </w:r>
          </w:p>
        </w:tc>
      </w:tr>
      <w:tr>
        <w:trPr>
          <w:cantSplit/>
        </w:trPr>
        <w:tc>
          <w:tcPr>
            <w:tcW w:w="1564" w:type="dxa"/>
          </w:tcPr>
          <w:p>
            <w:pPr>
              <w:spacing w:before="40" w:after="40" w:line="240" w:lineRule="auto"/>
              <w:ind w:left="0" w:firstLine="0"/>
              <w:jc w:val="left"/>
            </w:pPr>
            <w:r>
              <w:rPr>
                <w:b/>
                <w:sz w:val="20"/>
                <w:szCs w:val="20"/>
              </w:rPr>
              <w:t xml:space="preserve">b28e7d2</w:t>
            </w:r>
          </w:p>
        </w:tc>
        <w:tc>
          <w:tcPr>
            <w:tcW w:w="1333" w:type="dxa"/>
          </w:tcPr>
          <w:p>
            <w:pPr>
              <w:spacing w:before="40" w:after="40" w:line="240" w:lineRule="auto"/>
              <w:ind w:left="0" w:firstLine="0"/>
              <w:jc w:val="left"/>
            </w:pPr>
            <w:r>
              <w:rPr>
                <w:sz w:val="20"/>
                <w:szCs w:val="20"/>
              </w:rPr>
              <w:t xml:space="preserve">T‑32 … T‑34</w:t>
            </w:r>
          </w:p>
        </w:tc>
        <w:tc>
          <w:tcPr>
            <w:tcW w:w="3807" w:type="dxa"/>
          </w:tcPr>
          <w:p>
            <w:pPr>
              <w:spacing w:before="40" w:after="40" w:line="240" w:lineRule="auto"/>
              <w:ind w:left="0" w:firstLine="0"/>
              <w:jc w:val="left"/>
            </w:pPr>
            <w:r>
              <w:rPr>
                <w:sz w:val="20"/>
                <w:szCs w:val="20"/>
              </w:rPr>
              <w:t xml:space="preserve">Clonar plantillas y editar perfiles persistentes</w:t>
            </w:r>
          </w:p>
        </w:tc>
        <w:tc>
          <w:tcPr>
            <w:tcW w:w="1177" w:type="dxa"/>
          </w:tcPr>
          <w:p>
            <w:pPr>
              <w:spacing w:before="40" w:after="40" w:line="240" w:lineRule="auto"/>
              <w:ind w:left="0" w:firstLine="0"/>
              <w:jc w:val="left"/>
            </w:pPr>
            <w:r>
              <w:rPr>
                <w:sz w:val="20"/>
                <w:szCs w:val="20"/>
              </w:rPr>
              <w:t xml:space="preserve">RF‑036</w:t>
            </w:r>
          </w:p>
        </w:tc>
      </w:tr>
      <w:tr>
        <w:trPr>
          <w:cantSplit/>
        </w:trPr>
        <w:tc>
          <w:tcPr>
            <w:tcW w:w="1564" w:type="dxa"/>
          </w:tcPr>
          <w:p>
            <w:pPr>
              <w:spacing w:before="40" w:after="40" w:line="240" w:lineRule="auto"/>
              <w:ind w:left="0" w:firstLine="0"/>
              <w:jc w:val="left"/>
            </w:pPr>
            <w:r>
              <w:rPr>
                <w:b/>
                <w:sz w:val="20"/>
                <w:szCs w:val="20"/>
              </w:rPr>
              <w:t xml:space="preserve">5c024eb</w:t>
            </w:r>
          </w:p>
        </w:tc>
        <w:tc>
          <w:tcPr>
            <w:tcW w:w="1333" w:type="dxa"/>
          </w:tcPr>
          <w:p>
            <w:pPr>
              <w:spacing w:before="40" w:after="40" w:line="240" w:lineRule="auto"/>
              <w:ind w:left="0" w:firstLine="0"/>
              <w:jc w:val="left"/>
            </w:pPr>
            <w:r>
              <w:rPr>
                <w:sz w:val="20"/>
                <w:szCs w:val="20"/>
              </w:rPr>
              <w:t xml:space="preserve">T‑43</w:t>
            </w:r>
          </w:p>
        </w:tc>
        <w:tc>
          <w:tcPr>
            <w:tcW w:w="3807" w:type="dxa"/>
          </w:tcPr>
          <w:p>
            <w:pPr>
              <w:spacing w:before="40" w:after="40" w:line="240" w:lineRule="auto"/>
              <w:ind w:left="0" w:firstLine="0"/>
              <w:jc w:val="left"/>
            </w:pPr>
            <w:r>
              <w:rPr>
                <w:sz w:val="20"/>
                <w:szCs w:val="20"/>
              </w:rPr>
              <w:t xml:space="preserve">Análisis estático en cero y seis dependencias sin uso retiradas</w:t>
            </w:r>
          </w:p>
        </w:tc>
        <w:tc>
          <w:tcPr>
            <w:tcW w:w="1177" w:type="dxa"/>
          </w:tcPr>
          <w:p>
            <w:pPr>
              <w:spacing w:before="40" w:after="40" w:line="240" w:lineRule="auto"/>
              <w:ind w:left="0" w:firstLine="0"/>
              <w:jc w:val="left"/>
            </w:pPr>
            <w:r>
              <w:rPr>
                <w:sz w:val="20"/>
                <w:szCs w:val="20"/>
              </w:rPr>
              <w:t xml:space="preserve">TC‑01</w:t>
            </w:r>
          </w:p>
        </w:tc>
      </w:tr>
      <w:tr>
        <w:trPr>
          <w:cantSplit/>
        </w:trPr>
        <w:tc>
          <w:tcPr>
            <w:tcW w:w="1564" w:type="dxa"/>
          </w:tcPr>
          <w:p>
            <w:pPr>
              <w:spacing w:before="40" w:after="40" w:line="240" w:lineRule="auto"/>
              <w:ind w:left="0" w:firstLine="0"/>
              <w:jc w:val="left"/>
            </w:pPr>
            <w:r>
              <w:rPr>
                <w:b/>
                <w:sz w:val="20"/>
                <w:szCs w:val="20"/>
              </w:rPr>
              <w:t xml:space="preserve">411ee7c</w:t>
            </w:r>
          </w:p>
        </w:tc>
        <w:tc>
          <w:tcPr>
            <w:tcW w:w="1333" w:type="dxa"/>
          </w:tcPr>
          <w:p>
            <w:pPr>
              <w:spacing w:before="40" w:after="40" w:line="240" w:lineRule="auto"/>
              <w:ind w:left="0" w:firstLine="0"/>
              <w:jc w:val="left"/>
            </w:pPr>
            <w:r>
              <w:rPr>
                <w:sz w:val="20"/>
                <w:szCs w:val="20"/>
              </w:rPr>
              <w:t xml:space="preserve">T‑37</w:t>
            </w:r>
          </w:p>
        </w:tc>
        <w:tc>
          <w:tcPr>
            <w:tcW w:w="3807" w:type="dxa"/>
          </w:tcPr>
          <w:p>
            <w:pPr>
              <w:spacing w:before="40" w:after="40" w:line="240" w:lineRule="auto"/>
              <w:ind w:left="0" w:firstLine="0"/>
              <w:jc w:val="left"/>
            </w:pPr>
            <w:r>
              <w:rPr>
                <w:sz w:val="20"/>
                <w:szCs w:val="20"/>
              </w:rPr>
              <w:t xml:space="preserve">Conservar cinco viajes y reabrirlos sin conexión</w:t>
            </w:r>
          </w:p>
        </w:tc>
        <w:tc>
          <w:tcPr>
            <w:tcW w:w="1177" w:type="dxa"/>
          </w:tcPr>
          <w:p>
            <w:pPr>
              <w:spacing w:before="40" w:after="40" w:line="240" w:lineRule="auto"/>
              <w:ind w:left="0" w:firstLine="0"/>
              <w:jc w:val="left"/>
            </w:pPr>
            <w:r>
              <w:rPr>
                <w:sz w:val="20"/>
                <w:szCs w:val="20"/>
              </w:rPr>
              <w:t xml:space="preserve">RF‑031+</w:t>
            </w:r>
          </w:p>
        </w:tc>
      </w:tr>
      <w:tr>
        <w:trPr>
          <w:cantSplit/>
        </w:trPr>
        <w:tc>
          <w:tcPr>
            <w:tcW w:w="1564" w:type="dxa"/>
          </w:tcPr>
          <w:p>
            <w:pPr>
              <w:spacing w:before="40" w:after="40" w:line="240" w:lineRule="auto"/>
              <w:ind w:left="0" w:firstLine="0"/>
              <w:jc w:val="left"/>
            </w:pPr>
            <w:r>
              <w:rPr>
                <w:b/>
                <w:sz w:val="20"/>
                <w:szCs w:val="20"/>
              </w:rPr>
              <w:t xml:space="preserve">50d4793</w:t>
            </w:r>
          </w:p>
        </w:tc>
        <w:tc>
          <w:tcPr>
            <w:tcW w:w="1333" w:type="dxa"/>
          </w:tcPr>
          <w:p>
            <w:pPr>
              <w:spacing w:before="40" w:after="40" w:line="240" w:lineRule="auto"/>
              <w:ind w:left="0" w:firstLine="0"/>
              <w:jc w:val="left"/>
            </w:pPr>
            <w:r>
              <w:rPr>
                <w:sz w:val="20"/>
                <w:szCs w:val="20"/>
              </w:rPr>
              <w:t xml:space="preserve">T‑38</w:t>
            </w:r>
          </w:p>
        </w:tc>
        <w:tc>
          <w:tcPr>
            <w:tcW w:w="3807" w:type="dxa"/>
          </w:tcPr>
          <w:p>
            <w:pPr>
              <w:spacing w:before="40" w:after="40" w:line="240" w:lineRule="auto"/>
              <w:ind w:left="0" w:firstLine="0"/>
              <w:jc w:val="left"/>
            </w:pPr>
            <w:r>
              <w:rPr>
                <w:sz w:val="20"/>
                <w:szCs w:val="20"/>
              </w:rPr>
              <w:t xml:space="preserve">Validar el peso por pila contra el perfil</w:t>
            </w:r>
          </w:p>
        </w:tc>
        <w:tc>
          <w:tcPr>
            <w:tcW w:w="1177" w:type="dxa"/>
          </w:tcPr>
          <w:p>
            <w:pPr>
              <w:spacing w:before="40" w:after="40" w:line="240" w:lineRule="auto"/>
              <w:ind w:left="0" w:firstLine="0"/>
              <w:jc w:val="left"/>
            </w:pPr>
            <w:r>
              <w:rPr>
                <w:sz w:val="20"/>
                <w:szCs w:val="20"/>
              </w:rPr>
              <w:t xml:space="preserve">RF‑027</w:t>
            </w:r>
          </w:p>
        </w:tc>
      </w:tr>
      <w:tr>
        <w:trPr>
          <w:cantSplit/>
        </w:trPr>
        <w:tc>
          <w:tcPr>
            <w:tcW w:w="1564" w:type="dxa"/>
          </w:tcPr>
          <w:p>
            <w:pPr>
              <w:spacing w:before="40" w:after="40" w:line="240" w:lineRule="auto"/>
              <w:ind w:left="0" w:firstLine="0"/>
              <w:jc w:val="left"/>
            </w:pPr>
            <w:r>
              <w:rPr>
                <w:b/>
                <w:sz w:val="20"/>
                <w:szCs w:val="20"/>
              </w:rPr>
              <w:t xml:space="preserve">ea6daad</w:t>
            </w:r>
          </w:p>
        </w:tc>
        <w:tc>
          <w:tcPr>
            <w:tcW w:w="1333" w:type="dxa"/>
          </w:tcPr>
          <w:p>
            <w:pPr>
              <w:spacing w:before="40" w:after="40" w:line="240" w:lineRule="auto"/>
              <w:ind w:left="0" w:firstLine="0"/>
              <w:jc w:val="left"/>
            </w:pPr>
            <w:r>
              <w:rPr>
                <w:sz w:val="20"/>
                <w:szCs w:val="20"/>
              </w:rPr>
              <w:t xml:space="preserve">T‑41</w:t>
            </w:r>
          </w:p>
        </w:tc>
        <w:tc>
          <w:tcPr>
            <w:tcW w:w="3807" w:type="dxa"/>
          </w:tcPr>
          <w:p>
            <w:pPr>
              <w:spacing w:before="40" w:after="40" w:line="240" w:lineRule="auto"/>
              <w:ind w:left="0" w:firstLine="0"/>
              <w:jc w:val="left"/>
            </w:pPr>
            <w:r>
              <w:rPr>
                <w:sz w:val="20"/>
                <w:szCs w:val="20"/>
              </w:rPr>
              <w:t xml:space="preserve">Segregación por número ONU con 49 CFR y tres estados</w:t>
            </w:r>
          </w:p>
        </w:tc>
        <w:tc>
          <w:tcPr>
            <w:tcW w:w="1177" w:type="dxa"/>
          </w:tcPr>
          <w:p>
            <w:pPr>
              <w:spacing w:before="40" w:after="40" w:line="240" w:lineRule="auto"/>
              <w:ind w:left="0" w:firstLine="0"/>
              <w:jc w:val="left"/>
            </w:pPr>
            <w:r>
              <w:rPr>
                <w:sz w:val="20"/>
                <w:szCs w:val="20"/>
              </w:rPr>
              <w:t xml:space="preserve">RF‑027</w:t>
            </w:r>
          </w:p>
        </w:tc>
      </w:tr>
      <w:tr>
        <w:trPr>
          <w:cantSplit/>
        </w:trPr>
        <w:tc>
          <w:tcPr>
            <w:tcW w:w="1564" w:type="dxa"/>
          </w:tcPr>
          <w:p>
            <w:pPr>
              <w:spacing w:before="40" w:after="40" w:line="240" w:lineRule="auto"/>
              <w:ind w:left="0" w:firstLine="0"/>
              <w:jc w:val="left"/>
            </w:pPr>
            <w:r>
              <w:rPr>
                <w:b/>
                <w:sz w:val="20"/>
                <w:szCs w:val="20"/>
              </w:rPr>
              <w:t xml:space="preserve">d045e55</w:t>
            </w:r>
          </w:p>
        </w:tc>
        <w:tc>
          <w:tcPr>
            <w:tcW w:w="1333" w:type="dxa"/>
          </w:tcPr>
          <w:p>
            <w:pPr>
              <w:spacing w:before="40" w:after="40" w:line="240" w:lineRule="auto"/>
              <w:ind w:left="0" w:firstLine="0"/>
              <w:jc w:val="left"/>
            </w:pPr>
            <w:r>
              <w:rPr>
                <w:sz w:val="20"/>
                <w:szCs w:val="20"/>
              </w:rPr>
              <w:t xml:space="preserve">T‑39</w:t>
            </w:r>
          </w:p>
        </w:tc>
        <w:tc>
          <w:tcPr>
            <w:tcW w:w="3807" w:type="dxa"/>
          </w:tcPr>
          <w:p>
            <w:pPr>
              <w:spacing w:before="40" w:after="40" w:line="240" w:lineRule="auto"/>
              <w:ind w:left="0" w:firstLine="0"/>
              <w:jc w:val="left"/>
            </w:pPr>
            <w:r>
              <w:rPr>
                <w:sz w:val="20"/>
                <w:szCs w:val="20"/>
              </w:rPr>
              <w:t xml:space="preserve">Validar tomas de refrigerados según su origen</w:t>
            </w:r>
          </w:p>
        </w:tc>
        <w:tc>
          <w:tcPr>
            <w:tcW w:w="1177" w:type="dxa"/>
          </w:tcPr>
          <w:p>
            <w:pPr>
              <w:spacing w:before="40" w:after="40" w:line="240" w:lineRule="auto"/>
              <w:ind w:left="0" w:firstLine="0"/>
              <w:jc w:val="left"/>
            </w:pPr>
            <w:r>
              <w:rPr>
                <w:sz w:val="20"/>
                <w:szCs w:val="20"/>
              </w:rPr>
              <w:t xml:space="preserve">RF‑027</w:t>
            </w:r>
          </w:p>
        </w:tc>
      </w:tr>
      <w:tr>
        <w:trPr>
          <w:cantSplit/>
        </w:trPr>
        <w:tc>
          <w:tcPr>
            <w:tcW w:w="1564" w:type="dxa"/>
          </w:tcPr>
          <w:p>
            <w:pPr>
              <w:spacing w:before="40" w:after="40" w:line="240" w:lineRule="auto"/>
              <w:ind w:left="0" w:firstLine="0"/>
              <w:jc w:val="left"/>
            </w:pPr>
            <w:r>
              <w:rPr>
                <w:b/>
                <w:sz w:val="20"/>
                <w:szCs w:val="20"/>
              </w:rPr>
              <w:t xml:space="preserve">39bc24b</w:t>
            </w:r>
          </w:p>
        </w:tc>
        <w:tc>
          <w:tcPr>
            <w:tcW w:w="1333" w:type="dxa"/>
          </w:tcPr>
          <w:p>
            <w:pPr>
              <w:spacing w:before="40" w:after="40" w:line="240" w:lineRule="auto"/>
              <w:ind w:left="0" w:firstLine="0"/>
              <w:jc w:val="left"/>
            </w:pPr>
            <w:r>
              <w:rPr>
                <w:sz w:val="20"/>
                <w:szCs w:val="20"/>
              </w:rPr>
              <w:t xml:space="preserve">T‑40</w:t>
            </w:r>
          </w:p>
        </w:tc>
        <w:tc>
          <w:tcPr>
            <w:tcW w:w="3807" w:type="dxa"/>
          </w:tcPr>
          <w:p>
            <w:pPr>
              <w:spacing w:before="40" w:after="40" w:line="240" w:lineRule="auto"/>
              <w:ind w:left="0" w:firstLine="0"/>
              <w:jc w:val="left"/>
            </w:pPr>
            <w:r>
              <w:rPr>
                <w:sz w:val="20"/>
                <w:szCs w:val="20"/>
              </w:rPr>
              <w:t xml:space="preserve">Detectar 20 pies sobre huellas de 40</w:t>
            </w:r>
          </w:p>
        </w:tc>
        <w:tc>
          <w:tcPr>
            <w:tcW w:w="1177" w:type="dxa"/>
          </w:tcPr>
          <w:p>
            <w:pPr>
              <w:spacing w:before="40" w:after="40" w:line="240" w:lineRule="auto"/>
              <w:ind w:left="0" w:firstLine="0"/>
              <w:jc w:val="left"/>
            </w:pPr>
            <w:r>
              <w:rPr>
                <w:sz w:val="20"/>
                <w:szCs w:val="20"/>
              </w:rPr>
              <w:t xml:space="preserve">RF‑027</w:t>
            </w:r>
          </w:p>
        </w:tc>
      </w:tr>
      <w:tr>
        <w:trPr>
          <w:cantSplit/>
        </w:trPr>
        <w:tc>
          <w:tcPr>
            <w:tcW w:w="1564" w:type="dxa"/>
          </w:tcPr>
          <w:p>
            <w:pPr>
              <w:spacing w:before="40" w:after="40" w:line="240" w:lineRule="auto"/>
              <w:ind w:left="0" w:firstLine="0"/>
              <w:jc w:val="left"/>
            </w:pPr>
            <w:r>
              <w:rPr>
                <w:b/>
                <w:sz w:val="20"/>
                <w:szCs w:val="20"/>
              </w:rPr>
              <w:t xml:space="preserve">3318da4</w:t>
            </w:r>
          </w:p>
        </w:tc>
        <w:tc>
          <w:tcPr>
            <w:tcW w:w="1333" w:type="dxa"/>
          </w:tcPr>
          <w:p>
            <w:pPr>
              <w:spacing w:before="40" w:after="40" w:line="240" w:lineRule="auto"/>
              <w:ind w:left="0" w:firstLine="0"/>
              <w:jc w:val="left"/>
            </w:pPr>
            <w:r>
              <w:rPr>
                <w:sz w:val="20"/>
                <w:szCs w:val="20"/>
              </w:rPr>
              <w:t xml:space="preserve">T‑42</w:t>
            </w:r>
          </w:p>
        </w:tc>
        <w:tc>
          <w:tcPr>
            <w:tcW w:w="3807" w:type="dxa"/>
          </w:tcPr>
          <w:p>
            <w:pPr>
              <w:spacing w:before="40" w:after="40" w:line="240" w:lineRule="auto"/>
              <w:ind w:left="0" w:firstLine="0"/>
              <w:jc w:val="left"/>
            </w:pPr>
            <w:r>
              <w:rPr>
                <w:sz w:val="20"/>
                <w:szCs w:val="20"/>
              </w:rPr>
              <w:t xml:space="preserve">Alertas por severidad con salto a su posición; aceptada en 1487048</w:t>
            </w:r>
          </w:p>
        </w:tc>
        <w:tc>
          <w:tcPr>
            <w:tcW w:w="1177" w:type="dxa"/>
          </w:tcPr>
          <w:p>
            <w:pPr>
              <w:spacing w:before="40" w:after="40" w:line="240" w:lineRule="auto"/>
              <w:ind w:left="0" w:firstLine="0"/>
              <w:jc w:val="left"/>
            </w:pPr>
            <w:r>
              <w:rPr>
                <w:sz w:val="20"/>
                <w:szCs w:val="20"/>
              </w:rPr>
              <w:t xml:space="preserve">RF‑027</w:t>
            </w:r>
          </w:p>
        </w:tc>
      </w:tr>
      <w:tr>
        <w:trPr>
          <w:cantSplit/>
        </w:trPr>
        <w:tc>
          <w:tcPr>
            <w:tcW w:w="1564" w:type="dxa"/>
          </w:tcPr>
          <w:p>
            <w:pPr>
              <w:spacing w:before="40" w:after="40" w:line="240" w:lineRule="auto"/>
              <w:ind w:left="0" w:firstLine="0"/>
              <w:jc w:val="left"/>
            </w:pPr>
            <w:r>
              <w:rPr>
                <w:b/>
                <w:sz w:val="20"/>
                <w:szCs w:val="20"/>
              </w:rPr>
              <w:t xml:space="preserve">ba7353a</w:t>
            </w:r>
          </w:p>
        </w:tc>
        <w:tc>
          <w:tcPr>
            <w:tcW w:w="1333" w:type="dxa"/>
          </w:tcPr>
          <w:p>
            <w:pPr>
              <w:spacing w:before="40" w:after="40" w:line="240" w:lineRule="auto"/>
              <w:ind w:left="0" w:firstLine="0"/>
              <w:jc w:val="left"/>
            </w:pPr>
            <w:r>
              <w:rPr>
                <w:sz w:val="20"/>
                <w:szCs w:val="20"/>
              </w:rPr>
              <w:t xml:space="preserve">T‑47</w:t>
            </w:r>
          </w:p>
        </w:tc>
        <w:tc>
          <w:tcPr>
            <w:tcW w:w="3807" w:type="dxa"/>
          </w:tcPr>
          <w:p>
            <w:pPr>
              <w:spacing w:before="40" w:after="40" w:line="240" w:lineRule="auto"/>
              <w:ind w:left="0" w:firstLine="0"/>
              <w:jc w:val="left"/>
            </w:pPr>
            <w:r>
              <w:rPr>
                <w:sz w:val="20"/>
                <w:szCs w:val="20"/>
              </w:rPr>
              <w:t xml:space="preserve">Firebase de producción y opciones fuera del código</w:t>
            </w:r>
          </w:p>
        </w:tc>
        <w:tc>
          <w:tcPr>
            <w:tcW w:w="1177" w:type="dxa"/>
          </w:tcPr>
          <w:p>
            <w:pPr>
              <w:spacing w:before="40" w:after="40" w:line="240" w:lineRule="auto"/>
              <w:ind w:left="0" w:firstLine="0"/>
              <w:jc w:val="left"/>
            </w:pPr>
            <w:r>
              <w:rPr>
                <w:sz w:val="20"/>
                <w:szCs w:val="20"/>
              </w:rPr>
              <w:t xml:space="preserve">TC‑04</w:t>
            </w:r>
          </w:p>
        </w:tc>
      </w:tr>
      <w:tr>
        <w:trPr>
          <w:cantSplit/>
        </w:trPr>
        <w:tc>
          <w:tcPr>
            <w:tcW w:w="1564" w:type="dxa"/>
          </w:tcPr>
          <w:p>
            <w:pPr>
              <w:spacing w:before="40" w:after="40" w:line="240" w:lineRule="auto"/>
              <w:ind w:left="0" w:firstLine="0"/>
              <w:jc w:val="left"/>
            </w:pPr>
            <w:r>
              <w:rPr>
                <w:b/>
                <w:sz w:val="20"/>
                <w:szCs w:val="20"/>
              </w:rPr>
              <w:t xml:space="preserve">b93027f</w:t>
            </w:r>
          </w:p>
        </w:tc>
        <w:tc>
          <w:tcPr>
            <w:tcW w:w="1333" w:type="dxa"/>
          </w:tcPr>
          <w:p>
            <w:pPr>
              <w:spacing w:before="40" w:after="40" w:line="240" w:lineRule="auto"/>
              <w:ind w:left="0" w:firstLine="0"/>
              <w:jc w:val="left"/>
            </w:pPr>
            <w:r>
              <w:rPr>
                <w:sz w:val="20"/>
                <w:szCs w:val="20"/>
              </w:rPr>
              <w:t xml:space="preserve">T‑49</w:t>
            </w:r>
          </w:p>
        </w:tc>
        <w:tc>
          <w:tcPr>
            <w:tcW w:w="3807" w:type="dxa"/>
          </w:tcPr>
          <w:p>
            <w:pPr>
              <w:spacing w:before="40" w:after="40" w:line="240" w:lineRule="auto"/>
              <w:ind w:left="0" w:firstLine="0"/>
              <w:jc w:val="left"/>
            </w:pPr>
            <w:r>
              <w:rPr>
                <w:sz w:val="20"/>
                <w:szCs w:val="20"/>
              </w:rPr>
              <w:t xml:space="preserve">Firma con la clave de subida (primera parte)</w:t>
            </w:r>
          </w:p>
        </w:tc>
        <w:tc>
          <w:tcPr>
            <w:tcW w:w="1177" w:type="dxa"/>
          </w:tcPr>
          <w:p>
            <w:pPr>
              <w:spacing w:before="40" w:after="40" w:line="240" w:lineRule="auto"/>
              <w:ind w:left="0" w:firstLine="0"/>
              <w:jc w:val="left"/>
            </w:pPr>
            <w:r>
              <w:rPr>
                <w:sz w:val="20"/>
                <w:szCs w:val="20"/>
              </w:rPr>
              <w:t xml:space="preserve">TC‑04</w:t>
            </w:r>
          </w:p>
        </w:tc>
      </w:tr>
      <w:tr>
        <w:trPr>
          <w:cantSplit/>
        </w:trPr>
        <w:tc>
          <w:tcPr>
            <w:tcW w:w="1564" w:type="dxa"/>
          </w:tcPr>
          <w:p>
            <w:pPr>
              <w:spacing w:before="40" w:after="40" w:line="240" w:lineRule="auto"/>
              <w:ind w:left="0" w:firstLine="0"/>
              <w:jc w:val="left"/>
            </w:pPr>
            <w:r>
              <w:rPr>
                <w:b/>
                <w:sz w:val="20"/>
                <w:szCs w:val="20"/>
              </w:rPr>
              <w:t xml:space="preserve">080d589</w:t>
            </w:r>
          </w:p>
        </w:tc>
        <w:tc>
          <w:tcPr>
            <w:tcW w:w="1333" w:type="dxa"/>
          </w:tcPr>
          <w:p>
            <w:pPr>
              <w:spacing w:before="40" w:after="40" w:line="240" w:lineRule="auto"/>
              <w:ind w:left="0" w:firstLine="0"/>
              <w:jc w:val="left"/>
            </w:pPr>
            <w:r>
              <w:rPr>
                <w:sz w:val="20"/>
                <w:szCs w:val="20"/>
              </w:rPr>
              <w:t xml:space="preserve">T‑48</w:t>
            </w:r>
          </w:p>
        </w:tc>
        <w:tc>
          <w:tcPr>
            <w:tcW w:w="3807" w:type="dxa"/>
          </w:tcPr>
          <w:p>
            <w:pPr>
              <w:spacing w:before="40" w:after="40" w:line="240" w:lineRule="auto"/>
              <w:ind w:left="0" w:firstLine="0"/>
              <w:jc w:val="left"/>
            </w:pPr>
            <w:r>
              <w:rPr>
                <w:sz w:val="20"/>
                <w:szCs w:val="20"/>
              </w:rPr>
              <w:t xml:space="preserve">Hosting y verificación de la Web publicada</w:t>
            </w:r>
          </w:p>
        </w:tc>
        <w:tc>
          <w:tcPr>
            <w:tcW w:w="1177" w:type="dxa"/>
          </w:tcPr>
          <w:p>
            <w:pPr>
              <w:spacing w:before="40" w:after="40" w:line="240" w:lineRule="auto"/>
              <w:ind w:left="0" w:firstLine="0"/>
              <w:jc w:val="left"/>
            </w:pPr>
            <w:r>
              <w:rPr>
                <w:sz w:val="20"/>
                <w:szCs w:val="20"/>
              </w:rPr>
              <w:t xml:space="preserve">TC‑04</w:t>
            </w:r>
          </w:p>
        </w:tc>
      </w:tr>
      <w:tr>
        <w:trPr>
          <w:cantSplit/>
        </w:trPr>
        <w:tc>
          <w:tcPr>
            <w:tcW w:w="1564" w:type="dxa"/>
          </w:tcPr>
          <w:p>
            <w:pPr>
              <w:keepNext/>
              <w:spacing w:before="40" w:after="40" w:line="240" w:lineRule="auto"/>
              <w:ind w:left="0" w:firstLine="0"/>
              <w:jc w:val="left"/>
            </w:pPr>
            <w:r>
              <w:rPr>
                <w:b/>
                <w:sz w:val="20"/>
                <w:szCs w:val="20"/>
              </w:rPr>
              <w:t xml:space="preserve">d805443</w:t>
            </w:r>
          </w:p>
        </w:tc>
        <w:tc>
          <w:tcPr>
            <w:tcW w:w="1333" w:type="dxa"/>
          </w:tcPr>
          <w:p>
            <w:pPr>
              <w:keepNext/>
              <w:spacing w:before="40" w:after="40" w:line="240" w:lineRule="auto"/>
              <w:ind w:left="0" w:firstLine="0"/>
              <w:jc w:val="left"/>
            </w:pPr>
            <w:r>
              <w:rPr>
                <w:sz w:val="20"/>
                <w:szCs w:val="20"/>
              </w:rPr>
              <w:t xml:space="preserve">T‑44</w:t>
            </w:r>
          </w:p>
        </w:tc>
        <w:tc>
          <w:tcPr>
            <w:tcW w:w="3807" w:type="dxa"/>
          </w:tcPr>
          <w:p>
            <w:pPr>
              <w:keepNext/>
              <w:spacing w:before="40" w:after="40" w:line="240" w:lineRule="auto"/>
              <w:ind w:left="0" w:firstLine="0"/>
              <w:jc w:val="left"/>
            </w:pPr>
            <w:r>
              <w:rPr>
                <w:sz w:val="20"/>
                <w:szCs w:val="20"/>
              </w:rPr>
              <w:t xml:space="preserve">Medición de los ocho RNF sobre los binarios finales; la candidata, en c966fae</w:t>
            </w:r>
          </w:p>
        </w:tc>
        <w:tc>
          <w:tcPr>
            <w:tcW w:w="1177" w:type="dxa"/>
          </w:tcPr>
          <w:p>
            <w:pPr>
              <w:keepNext/>
              <w:spacing w:before="40" w:after="40" w:line="240" w:lineRule="auto"/>
              <w:ind w:left="0" w:firstLine="0"/>
              <w:jc w:val="left"/>
            </w:pPr>
            <w:r>
              <w:rPr>
                <w:sz w:val="20"/>
                <w:szCs w:val="20"/>
              </w:rPr>
              <w:t xml:space="preserve">TC‑01</w:t>
            </w:r>
          </w:p>
        </w:tc>
      </w:tr>
    </w:tbl>
    <w:p>
      <w:pPr>
        <w:spacing w:before="80" w:after="880"/>
        <w:ind w:left="850" w:firstLine="0"/>
        <w:jc w:val="left"/>
      </w:pPr>
      <w:r>
        <w:rPr>
          <w:b/>
        </w:rPr>
        <w:t xml:space="preserve">Fuente: </w:t>
      </w:r>
      <w:r>
        <w:t xml:space="preserve">Historial del repositorio del proyecto, verificado el 3 de octubre de 2026.</w:t>
      </w:r>
    </w:p>
    <w:p>
      <w:pPr>
        <w:pStyle w:val="Heading2"/>
        <w:spacing w:before="0" w:after="760"/>
      </w:pPr>
      <w:r>
        <w:t xml:space="preserve">Calidad del incremento</w:t>
      </w:r>
    </w:p>
    <w:p>
      <w:pPr>
        <w:pStyle w:val="Heading3"/>
        <w:spacing w:before="0" w:after="760"/>
      </w:pPr>
      <w:r>
        <w:t xml:space="preserve">Análisis estático, dependencias y pruebas</w:t>
      </w:r>
    </w:p>
    <w:p>
      <w:pPr>
        <w:spacing w:after="880"/>
        <w:ind w:left="1276" w:firstLine="357"/>
        <w:jc w:val="both"/>
      </w:pPr>
      <w:r>
        <w:t xml:space="preserve">La tarea T‑43 llevó el análisis estático de 49 incidencias heredadas a cero sin silenciar ninguna: el cambio no añade una sola directiva de supresión. En la misma tarea se retiraron seis dependencias declaradas que el código no usaba, y el archivo de versiones resueltas pasó de 117 a 96 paquetes sin que cambiara la versión de ninguno de los restantes. La única dependencia añadida en el sprint es el motor de almacenamiento local, elegido en T‑35 después de medirlo con un archivo real; la medición no imponía esa opción, y la elección se declaró como juicio de ingeniería.</w:t>
      </w:r>
    </w:p>
    <w:p>
      <w:pPr>
        <w:spacing w:after="880"/>
        <w:ind w:left="1276" w:firstLine="357"/>
        <w:jc w:val="both"/>
      </w:pPr>
      <w:r>
        <w:t xml:space="preserve">La suite automática pasó de 138 pruebas al abrir el sprint a 282 en los binarios finales, sin pruebas retiradas ni deshabilitadas. La Tabla 84 aplica la Definición de Terminado al incremento.</w:t>
      </w:r>
    </w:p>
    <w:p>
      <w:pPr>
        <w:keepNext/>
        <w:spacing w:after="0"/>
        <w:ind w:left="1276" w:firstLine="0"/>
        <w:jc w:val="left"/>
      </w:pPr>
      <w:r>
        <w:rPr>
          <w:b/>
        </w:rPr>
        <w:t>Tabla 84.</w:t>
      </w:r>
    </w:p>
    <w:p>
      <w:pPr>
        <w:keepNext/>
        <w:spacing w:after="0" w:line="480" w:lineRule="auto"/>
        <w:ind w:left="1276" w:firstLine="0"/>
        <w:jc w:val="left"/>
      </w:pPr>
      <w:r>
        <w:rPr>
          <w:i/>
        </w:rPr>
        <w:t xml:space="preserve">Verificación del incremento contra la Definición de Terminado</w:t>
      </w:r>
    </w:p>
    <w:tbl>
      <w:tblPr>
        <w:tblStyle w:val="TableGrid"/>
        <w:tblW w:w="7455" w:type="dxa"/>
        <w:tblInd w:w="1384" w:type="dxa"/>
        <w:tblLayout w:type="fixed"/>
        <w:tblLook w:val="04A0" w:firstRow="1" w:lastRow="0" w:firstColumn="1" w:lastColumn="0" w:noHBand="0" w:noVBand="1"/>
      </w:tblPr>
      <w:tblGrid>
        <w:gridCol w:w="2687"/>
        <w:gridCol w:w="1009"/>
        <w:gridCol w:w="3759"/>
      </w:tblGrid>
      <w:tr>
        <w:trPr>
          <w:cantSplit/>
          <w:tblHeader/>
        </w:trPr>
        <w:tc>
          <w:tcPr>
            <w:tcW w:w="2687" w:type="dxa"/>
          </w:tcPr>
          <w:p>
            <w:pPr>
              <w:keepNext/>
              <w:spacing w:before="40" w:after="40" w:line="240" w:lineRule="auto"/>
              <w:ind w:left="0" w:firstLine="0"/>
              <w:jc w:val="left"/>
            </w:pPr>
            <w:r>
              <w:rPr>
                <w:b/>
                <w:sz w:val="20"/>
                <w:szCs w:val="20"/>
              </w:rPr>
              <w:t xml:space="preserve">Condición</w:t>
            </w:r>
          </w:p>
        </w:tc>
        <w:tc>
          <w:tcPr>
            <w:tcW w:w="1009" w:type="dxa"/>
          </w:tcPr>
          <w:p>
            <w:pPr>
              <w:keepNext/>
              <w:spacing w:before="40" w:after="40" w:line="240" w:lineRule="auto"/>
              <w:ind w:left="0" w:firstLine="0"/>
              <w:jc w:val="left"/>
            </w:pPr>
            <w:r>
              <w:rPr>
                <w:b/>
                <w:sz w:val="20"/>
                <w:szCs w:val="20"/>
              </w:rPr>
              <w:t xml:space="preserve">Cumple</w:t>
            </w:r>
          </w:p>
        </w:tc>
        <w:tc>
          <w:tcPr>
            <w:tcW w:w="3759" w:type="dxa"/>
          </w:tcPr>
          <w:p>
            <w:pPr>
              <w:keepNext/>
              <w:spacing w:before="40" w:after="40" w:line="240" w:lineRule="auto"/>
              <w:ind w:left="0" w:firstLine="0"/>
              <w:jc w:val="left"/>
            </w:pPr>
            <w:r>
              <w:rPr>
                <w:b/>
                <w:sz w:val="20"/>
                <w:szCs w:val="20"/>
              </w:rPr>
              <w:t xml:space="preserve">Evidencia</w:t>
            </w:r>
          </w:p>
        </w:tc>
      </w:tr>
      <w:tr>
        <w:trPr>
          <w:cantSplit/>
        </w:trPr>
        <w:tc>
          <w:tcPr>
            <w:tcW w:w="2687" w:type="dxa"/>
          </w:tcPr>
          <w:p>
            <w:pPr>
              <w:spacing w:before="40" w:after="40" w:line="240" w:lineRule="auto"/>
              <w:ind w:left="0" w:firstLine="0"/>
              <w:jc w:val="left"/>
            </w:pPr>
            <w:r>
              <w:rPr>
                <w:b/>
                <w:sz w:val="20"/>
                <w:szCs w:val="20"/>
              </w:rPr>
              <w:t xml:space="preserve">Criterios de aceptación en los tres clientes</w:t>
            </w:r>
          </w:p>
        </w:tc>
        <w:tc>
          <w:tcPr>
            <w:tcW w:w="1009" w:type="dxa"/>
          </w:tcPr>
          <w:p>
            <w:pPr>
              <w:spacing w:before="40" w:after="40" w:line="240" w:lineRule="auto"/>
              <w:ind w:left="0" w:firstLine="0"/>
              <w:jc w:val="center"/>
            </w:pPr>
            <w:r>
              <w:rPr>
                <w:sz w:val="20"/>
                <w:szCs w:val="20"/>
              </w:rPr>
              <w:t xml:space="preserve">Sí</w:t>
            </w:r>
          </w:p>
        </w:tc>
        <w:tc>
          <w:tcPr>
            <w:tcW w:w="3759" w:type="dxa"/>
          </w:tcPr>
          <w:p>
            <w:pPr>
              <w:spacing w:before="40" w:after="40" w:line="240" w:lineRule="auto"/>
              <w:ind w:left="0" w:firstLine="0"/>
              <w:jc w:val="left"/>
            </w:pPr>
            <w:r>
              <w:rPr>
                <w:sz w:val="20"/>
                <w:szCs w:val="20"/>
              </w:rPr>
              <w:t xml:space="preserve">Cada tarea de interfaz se ejecutó en Chrome, en Windows y en el teléfono Honor X5d, a mano o con la automatización que declara su informe.</w:t>
            </w:r>
          </w:p>
        </w:tc>
      </w:tr>
      <w:tr>
        <w:trPr>
          <w:cantSplit/>
        </w:trPr>
        <w:tc>
          <w:tcPr>
            <w:tcW w:w="2687" w:type="dxa"/>
          </w:tcPr>
          <w:p>
            <w:pPr>
              <w:spacing w:before="40" w:after="40" w:line="240" w:lineRule="auto"/>
              <w:ind w:left="0" w:firstLine="0"/>
              <w:jc w:val="left"/>
            </w:pPr>
            <w:r>
              <w:rPr>
                <w:b/>
                <w:sz w:val="20"/>
                <w:szCs w:val="20"/>
              </w:rPr>
              <w:t xml:space="preserve">Separación de capas: el dominio no importa Flutter ni el paquete de almacenamiento</w:t>
            </w:r>
          </w:p>
        </w:tc>
        <w:tc>
          <w:tcPr>
            <w:tcW w:w="1009" w:type="dxa"/>
          </w:tcPr>
          <w:p>
            <w:pPr>
              <w:spacing w:before="40" w:after="40" w:line="240" w:lineRule="auto"/>
              <w:ind w:left="0" w:firstLine="0"/>
              <w:jc w:val="center"/>
            </w:pPr>
            <w:r>
              <w:rPr>
                <w:sz w:val="20"/>
                <w:szCs w:val="20"/>
              </w:rPr>
              <w:t xml:space="preserve">Sí</w:t>
            </w:r>
          </w:p>
        </w:tc>
        <w:tc>
          <w:tcPr>
            <w:tcW w:w="3759" w:type="dxa"/>
          </w:tcPr>
          <w:p>
            <w:pPr>
              <w:spacing w:before="40" w:after="40" w:line="240" w:lineRule="auto"/>
              <w:ind w:left="0" w:firstLine="0"/>
              <w:jc w:val="left"/>
            </w:pPr>
            <w:r>
              <w:rPr>
                <w:sz w:val="20"/>
                <w:szCs w:val="20"/>
              </w:rPr>
              <w:t xml:space="preserve">Las validaciones son servicios de dominio en Dart puro; el almacén queda detrás de un repositorio de la capa de datos.</w:t>
            </w:r>
          </w:p>
        </w:tc>
      </w:tr>
      <w:tr>
        <w:trPr>
          <w:cantSplit/>
        </w:trPr>
        <w:tc>
          <w:tcPr>
            <w:tcW w:w="2687" w:type="dxa"/>
          </w:tcPr>
          <w:p>
            <w:pPr>
              <w:spacing w:before="40" w:after="40" w:line="240" w:lineRule="auto"/>
              <w:ind w:left="0" w:firstLine="0"/>
              <w:jc w:val="left"/>
            </w:pPr>
            <w:r>
              <w:rPr>
                <w:b/>
                <w:sz w:val="20"/>
                <w:szCs w:val="20"/>
              </w:rPr>
              <w:t xml:space="preserve">La suite de pruebas permanece en verde</w:t>
            </w:r>
          </w:p>
        </w:tc>
        <w:tc>
          <w:tcPr>
            <w:tcW w:w="1009" w:type="dxa"/>
          </w:tcPr>
          <w:p>
            <w:pPr>
              <w:spacing w:before="40" w:after="40" w:line="240" w:lineRule="auto"/>
              <w:ind w:left="0" w:firstLine="0"/>
              <w:jc w:val="center"/>
            </w:pPr>
            <w:r>
              <w:rPr>
                <w:sz w:val="20"/>
                <w:szCs w:val="20"/>
              </w:rPr>
              <w:t xml:space="preserve">Sí</w:t>
            </w:r>
          </w:p>
        </w:tc>
        <w:tc>
          <w:tcPr>
            <w:tcW w:w="3759" w:type="dxa"/>
          </w:tcPr>
          <w:p>
            <w:pPr>
              <w:spacing w:before="40" w:after="40" w:line="240" w:lineRule="auto"/>
              <w:ind w:left="0" w:firstLine="0"/>
              <w:jc w:val="left"/>
            </w:pPr>
            <w:r>
              <w:rPr>
                <w:sz w:val="20"/>
                <w:szCs w:val="20"/>
              </w:rPr>
              <w:t xml:space="preserve">De 138 a 282 pruebas, sin retiros ni omisiones.</w:t>
            </w:r>
          </w:p>
        </w:tc>
      </w:tr>
      <w:tr>
        <w:trPr>
          <w:cantSplit/>
        </w:trPr>
        <w:tc>
          <w:tcPr>
            <w:tcW w:w="2687" w:type="dxa"/>
          </w:tcPr>
          <w:p>
            <w:pPr>
              <w:spacing w:before="40" w:after="40" w:line="240" w:lineRule="auto"/>
              <w:ind w:left="0" w:firstLine="0"/>
              <w:jc w:val="left"/>
            </w:pPr>
            <w:r>
              <w:rPr>
                <w:b/>
                <w:sz w:val="20"/>
                <w:szCs w:val="20"/>
              </w:rPr>
              <w:t xml:space="preserve">Análisis estático sin advertencias</w:t>
            </w:r>
          </w:p>
        </w:tc>
        <w:tc>
          <w:tcPr>
            <w:tcW w:w="1009" w:type="dxa"/>
          </w:tcPr>
          <w:p>
            <w:pPr>
              <w:spacing w:before="40" w:after="40" w:line="240" w:lineRule="auto"/>
              <w:ind w:left="0" w:firstLine="0"/>
              <w:jc w:val="center"/>
            </w:pPr>
            <w:r>
              <w:rPr>
                <w:sz w:val="20"/>
                <w:szCs w:val="20"/>
              </w:rPr>
              <w:t xml:space="preserve">Sí</w:t>
            </w:r>
          </w:p>
        </w:tc>
        <w:tc>
          <w:tcPr>
            <w:tcW w:w="3759" w:type="dxa"/>
          </w:tcPr>
          <w:p>
            <w:pPr>
              <w:spacing w:before="40" w:after="40" w:line="240" w:lineRule="auto"/>
              <w:ind w:left="0" w:firstLine="0"/>
              <w:jc w:val="left"/>
            </w:pPr>
            <w:r>
              <w:rPr>
                <w:sz w:val="20"/>
                <w:szCs w:val="20"/>
              </w:rPr>
              <w:t xml:space="preserve">Cero incidencias desde T‑43, sin directivas de supresión.</w:t>
            </w:r>
          </w:p>
        </w:tc>
      </w:tr>
      <w:tr>
        <w:trPr>
          <w:cantSplit/>
        </w:trPr>
        <w:tc>
          <w:tcPr>
            <w:tcW w:w="2687" w:type="dxa"/>
          </w:tcPr>
          <w:p>
            <w:pPr>
              <w:spacing w:before="40" w:after="40" w:line="240" w:lineRule="auto"/>
              <w:ind w:left="0" w:firstLine="0"/>
              <w:jc w:val="left"/>
            </w:pPr>
            <w:r>
              <w:rPr>
                <w:b/>
                <w:sz w:val="20"/>
                <w:szCs w:val="20"/>
              </w:rPr>
              <w:t xml:space="preserve">Verificada contra un archivo real del corpus</w:t>
            </w:r>
          </w:p>
        </w:tc>
        <w:tc>
          <w:tcPr>
            <w:tcW w:w="1009" w:type="dxa"/>
          </w:tcPr>
          <w:p>
            <w:pPr>
              <w:spacing w:before="40" w:after="40" w:line="240" w:lineRule="auto"/>
              <w:ind w:left="0" w:firstLine="0"/>
              <w:jc w:val="center"/>
            </w:pPr>
            <w:r>
              <w:rPr>
                <w:sz w:val="20"/>
                <w:szCs w:val="20"/>
              </w:rPr>
              <w:t xml:space="preserve">Sí</w:t>
            </w:r>
          </w:p>
        </w:tc>
        <w:tc>
          <w:tcPr>
            <w:tcW w:w="3759" w:type="dxa"/>
          </w:tcPr>
          <w:p>
            <w:pPr>
              <w:spacing w:before="40" w:after="40" w:line="240" w:lineRule="auto"/>
              <w:ind w:left="0" w:firstLine="0"/>
              <w:jc w:val="left"/>
            </w:pPr>
            <w:r>
              <w:rPr>
                <w:sz w:val="20"/>
                <w:szCs w:val="20"/>
              </w:rPr>
              <w:t xml:space="preserve">CORPUS_A01 y CORPUS_A03 en los tres clientes; los siete archivos del corpus cargan en Android.</w:t>
            </w:r>
          </w:p>
        </w:tc>
      </w:tr>
      <w:tr>
        <w:trPr>
          <w:cantSplit/>
        </w:trPr>
        <w:tc>
          <w:tcPr>
            <w:tcW w:w="2687" w:type="dxa"/>
          </w:tcPr>
          <w:p>
            <w:pPr>
              <w:spacing w:before="40" w:after="40" w:line="240" w:lineRule="auto"/>
              <w:ind w:left="0" w:firstLine="0"/>
              <w:jc w:val="left"/>
            </w:pPr>
            <w:r>
              <w:rPr>
                <w:b/>
                <w:sz w:val="20"/>
                <w:szCs w:val="20"/>
              </w:rPr>
              <w:t xml:space="preserve">Funciona sin conexión cuando la historia lo exige</w:t>
            </w:r>
          </w:p>
        </w:tc>
        <w:tc>
          <w:tcPr>
            <w:tcW w:w="1009" w:type="dxa"/>
          </w:tcPr>
          <w:p>
            <w:pPr>
              <w:spacing w:before="40" w:after="40" w:line="240" w:lineRule="auto"/>
              <w:ind w:left="0" w:firstLine="0"/>
              <w:jc w:val="center"/>
            </w:pPr>
            <w:r>
              <w:rPr>
                <w:sz w:val="20"/>
                <w:szCs w:val="20"/>
              </w:rPr>
              <w:t xml:space="preserve">Parcial</w:t>
            </w:r>
          </w:p>
        </w:tc>
        <w:tc>
          <w:tcPr>
            <w:tcW w:w="3759" w:type="dxa"/>
          </w:tcPr>
          <w:p>
            <w:pPr>
              <w:spacing w:before="40" w:after="40" w:line="240" w:lineRule="auto"/>
              <w:ind w:left="0" w:firstLine="0"/>
              <w:jc w:val="left"/>
            </w:pPr>
            <w:r>
              <w:rPr>
                <w:sz w:val="20"/>
                <w:szCs w:val="20"/>
              </w:rPr>
              <w:t xml:space="preserve">Windows y Android arrancan y reabren viajes sin red; la Web necesita conexión para arrancar (apartado III.F).</w:t>
            </w:r>
          </w:p>
        </w:tc>
      </w:tr>
      <w:tr>
        <w:trPr>
          <w:cantSplit/>
        </w:trPr>
        <w:tc>
          <w:tcPr>
            <w:tcW w:w="2687" w:type="dxa"/>
          </w:tcPr>
          <w:p>
            <w:pPr>
              <w:spacing w:before="40" w:after="40" w:line="240" w:lineRule="auto"/>
              <w:ind w:left="0" w:firstLine="0"/>
              <w:jc w:val="left"/>
            </w:pPr>
            <w:r>
              <w:rPr>
                <w:b/>
                <w:sz w:val="20"/>
                <w:szCs w:val="20"/>
              </w:rPr>
              <w:t xml:space="preserve">Ninguna prueba borrada ni omitida</w:t>
            </w:r>
          </w:p>
        </w:tc>
        <w:tc>
          <w:tcPr>
            <w:tcW w:w="1009" w:type="dxa"/>
          </w:tcPr>
          <w:p>
            <w:pPr>
              <w:spacing w:before="40" w:after="40" w:line="240" w:lineRule="auto"/>
              <w:ind w:left="0" w:firstLine="0"/>
              <w:jc w:val="center"/>
            </w:pPr>
            <w:r>
              <w:rPr>
                <w:sz w:val="20"/>
                <w:szCs w:val="20"/>
              </w:rPr>
              <w:t xml:space="preserve">Sí</w:t>
            </w:r>
          </w:p>
        </w:tc>
        <w:tc>
          <w:tcPr>
            <w:tcW w:w="3759" w:type="dxa"/>
          </w:tcPr>
          <w:p>
            <w:pPr>
              <w:spacing w:before="40" w:after="40" w:line="240" w:lineRule="auto"/>
              <w:ind w:left="0" w:firstLine="0"/>
              <w:jc w:val="left"/>
            </w:pPr>
            <w:r>
              <w:rPr>
                <w:sz w:val="20"/>
                <w:szCs w:val="20"/>
              </w:rPr>
              <w:t xml:space="preserve">Ninguna se retiró ni se omitió; la prueba de viajes recientes se reescribió en T‑61 y su informe lo declara.</w:t>
            </w:r>
          </w:p>
        </w:tc>
      </w:tr>
      <w:tr>
        <w:trPr>
          <w:cantSplit/>
        </w:trPr>
        <w:tc>
          <w:tcPr>
            <w:tcW w:w="2687" w:type="dxa"/>
          </w:tcPr>
          <w:p>
            <w:pPr>
              <w:keepNext/>
              <w:spacing w:before="40" w:after="40" w:line="240" w:lineRule="auto"/>
              <w:ind w:left="0" w:firstLine="0"/>
              <w:jc w:val="left"/>
            </w:pPr>
            <w:r>
              <w:rPr>
                <w:b/>
                <w:sz w:val="20"/>
                <w:szCs w:val="20"/>
              </w:rPr>
              <w:t xml:space="preserve">Bloque de confirmación entregado al autor</w:t>
            </w:r>
          </w:p>
        </w:tc>
        <w:tc>
          <w:tcPr>
            <w:tcW w:w="1009" w:type="dxa"/>
          </w:tcPr>
          <w:p>
            <w:pPr>
              <w:keepNext/>
              <w:spacing w:before="40" w:after="40" w:line="240" w:lineRule="auto"/>
              <w:ind w:left="0" w:firstLine="0"/>
              <w:jc w:val="center"/>
            </w:pPr>
            <w:r>
              <w:rPr>
                <w:sz w:val="20"/>
                <w:szCs w:val="20"/>
              </w:rPr>
              <w:t xml:space="preserve">Sí</w:t>
            </w:r>
          </w:p>
        </w:tc>
        <w:tc>
          <w:tcPr>
            <w:tcW w:w="3759" w:type="dxa"/>
          </w:tcPr>
          <w:p>
            <w:pPr>
              <w:keepNext/>
              <w:spacing w:before="40" w:after="40" w:line="240" w:lineRule="auto"/>
              <w:ind w:left="0" w:firstLine="0"/>
              <w:jc w:val="left"/>
            </w:pPr>
            <w:r>
              <w:rPr>
                <w:sz w:val="20"/>
                <w:szCs w:val="20"/>
              </w:rPr>
              <w:t xml:space="preserve">Todas las confirmaciones las ejecutó el autor.</w:t>
            </w:r>
          </w:p>
        </w:tc>
      </w:tr>
    </w:tbl>
    <w:p>
      <w:pPr>
        <w:spacing w:before="80" w:after="880"/>
        <w:ind w:left="1276" w:firstLine="0"/>
        <w:jc w:val="left"/>
      </w:pPr>
      <w:r>
        <w:rPr>
          <w:b/>
        </w:rPr>
        <w:t xml:space="preserve">Fuente: </w:t>
      </w:r>
      <w:r>
        <w:t xml:space="preserve">Elaboración propia, con base en la Definición de Terminado del Sprint 2 y los informes de cada tarea.</w:t>
      </w:r>
    </w:p>
    <w:p>
      <w:pPr>
        <w:pStyle w:val="Heading3"/>
        <w:spacing w:before="0" w:after="760"/>
      </w:pPr>
      <w:r>
        <w:t xml:space="preserve">Medición de los requerimientos no funcionales</w:t>
      </w:r>
    </w:p>
    <w:p>
      <w:pPr>
        <w:spacing w:after="880"/>
        <w:ind w:left="1276" w:firstLine="357"/>
        <w:jc w:val="both"/>
      </w:pPr>
      <w:r>
        <w:t xml:space="preserve">Ninguno de los ocho requerimientos no funcionales queda aprobado tal como está escrito. Tres no se cumplen y cinco no se pueden medir con su redacción actual, porque les falta una definición operativa —qué métrica, en qué condición, sobre qué denominador— o una prueba fuera del alcance disponible, como un archivo de 10 000 contenedores. La Tabla 85 resume las dos mediciones.</w:t>
      </w:r>
    </w:p>
    <w:p>
      <w:pPr>
        <w:keepNext/>
        <w:spacing w:after="0"/>
        <w:ind w:left="1276" w:firstLine="0"/>
        <w:jc w:val="left"/>
      </w:pPr>
      <w:r>
        <w:rPr>
          <w:b/>
        </w:rPr>
        <w:t>Tabla 85.</w:t>
      </w:r>
    </w:p>
    <w:p>
      <w:pPr>
        <w:keepNext/>
        <w:spacing w:after="0" w:line="480" w:lineRule="auto"/>
        <w:ind w:left="1276" w:firstLine="0"/>
        <w:jc w:val="left"/>
      </w:pPr>
      <w:r>
        <w:rPr>
          <w:i/>
        </w:rPr>
        <w:t xml:space="preserve">Medición de los requerimientos no funcionales sobre la versión candidata y sobre los binarios finales</w:t>
      </w:r>
    </w:p>
    <w:tbl>
      <w:tblPr>
        <w:tblStyle w:val="TableGrid"/>
        <w:tblW w:w="7455" w:type="dxa"/>
        <w:tblInd w:w="1384" w:type="dxa"/>
        <w:tblLayout w:type="fixed"/>
        <w:tblLook w:val="04A0" w:firstRow="1" w:lastRow="0" w:firstColumn="1" w:lastColumn="0" w:noHBand="0" w:noVBand="1"/>
      </w:tblPr>
      <w:tblGrid>
        <w:gridCol w:w="1675"/>
        <w:gridCol w:w="2014"/>
        <w:gridCol w:w="2589"/>
        <w:gridCol w:w="1177"/>
      </w:tblGrid>
      <w:tr>
        <w:trPr>
          <w:cantSplit/>
          <w:tblHeader/>
        </w:trPr>
        <w:tc>
          <w:tcPr>
            <w:tcW w:w="1675" w:type="dxa"/>
          </w:tcPr>
          <w:p>
            <w:pPr>
              <w:keepNext/>
              <w:spacing w:before="40" w:after="40" w:line="240" w:lineRule="auto"/>
              <w:ind w:left="0" w:firstLine="0"/>
              <w:jc w:val="left"/>
            </w:pPr>
            <w:r>
              <w:rPr>
                <w:b/>
                <w:sz w:val="20"/>
                <w:szCs w:val="20"/>
              </w:rPr>
              <w:t xml:space="preserve">RNF</w:t>
            </w:r>
          </w:p>
        </w:tc>
        <w:tc>
          <w:tcPr>
            <w:tcW w:w="2014" w:type="dxa"/>
          </w:tcPr>
          <w:p>
            <w:pPr>
              <w:keepNext/>
              <w:spacing w:before="40" w:after="40" w:line="240" w:lineRule="auto"/>
              <w:ind w:left="0" w:firstLine="0"/>
              <w:jc w:val="left"/>
            </w:pPr>
            <w:r>
              <w:rPr>
                <w:b/>
                <w:sz w:val="20"/>
                <w:szCs w:val="20"/>
              </w:rPr>
              <w:t xml:space="preserve">Versión candidata (1607263)</w:t>
            </w:r>
          </w:p>
        </w:tc>
        <w:tc>
          <w:tcPr>
            <w:tcW w:w="2589" w:type="dxa"/>
          </w:tcPr>
          <w:p>
            <w:pPr>
              <w:keepNext/>
              <w:spacing w:before="40" w:after="40" w:line="240" w:lineRule="auto"/>
              <w:ind w:left="0" w:firstLine="0"/>
              <w:jc w:val="left"/>
            </w:pPr>
            <w:r>
              <w:rPr>
                <w:b/>
                <w:sz w:val="20"/>
                <w:szCs w:val="20"/>
              </w:rPr>
              <w:t xml:space="preserve">Binarios finales (3ac98f6)</w:t>
            </w:r>
          </w:p>
        </w:tc>
        <w:tc>
          <w:tcPr>
            <w:tcW w:w="1177" w:type="dxa"/>
          </w:tcPr>
          <w:p>
            <w:pPr>
              <w:keepNext/>
              <w:spacing w:before="40" w:after="40" w:line="240" w:lineRule="auto"/>
              <w:ind w:left="0" w:firstLine="0"/>
              <w:jc w:val="left"/>
            </w:pPr>
            <w:r>
              <w:rPr>
                <w:b/>
                <w:sz w:val="20"/>
                <w:szCs w:val="20"/>
              </w:rPr>
              <w:t xml:space="preserve">Dictamen</w:t>
            </w:r>
          </w:p>
        </w:tc>
      </w:tr>
      <w:tr>
        <w:trPr>
          <w:cantSplit/>
        </w:trPr>
        <w:tc>
          <w:tcPr>
            <w:tcW w:w="1675" w:type="dxa"/>
          </w:tcPr>
          <w:p>
            <w:pPr>
              <w:spacing w:before="40" w:after="40" w:line="240" w:lineRule="auto"/>
              <w:ind w:left="0" w:firstLine="0"/>
              <w:jc w:val="left"/>
            </w:pPr>
            <w:r>
              <w:rPr>
                <w:b/>
                <w:sz w:val="20"/>
                <w:szCs w:val="20"/>
              </w:rPr>
              <w:t xml:space="preserve">001 Rendimiento</w:t>
            </w:r>
          </w:p>
        </w:tc>
        <w:tc>
          <w:tcPr>
            <w:tcW w:w="2014" w:type="dxa"/>
          </w:tcPr>
          <w:p>
            <w:pPr>
              <w:spacing w:before="40" w:after="40" w:line="240" w:lineRule="auto"/>
              <w:ind w:left="0" w:firstLine="0"/>
              <w:jc w:val="left"/>
            </w:pPr>
            <w:r>
              <w:rPr>
                <w:sz w:val="20"/>
                <w:szCs w:val="20"/>
              </w:rPr>
              <w:t xml:space="preserve">RAM en Windows: 314.8 MB, sin registrar el tamaño de la ventana</w:t>
            </w:r>
          </w:p>
        </w:tc>
        <w:tc>
          <w:tcPr>
            <w:tcW w:w="2589" w:type="dxa"/>
          </w:tcPr>
          <w:p>
            <w:pPr>
              <w:spacing w:before="40" w:after="40" w:line="240" w:lineRule="auto"/>
              <w:ind w:left="0" w:firstLine="0"/>
              <w:jc w:val="left"/>
            </w:pPr>
            <w:r>
              <w:rPr>
                <w:sz w:val="20"/>
                <w:szCs w:val="20"/>
              </w:rPr>
              <w:t xml:space="preserve">Windows: 416.7–422.0 MB maximizada y 199.4–209.0 MB a 1280×720. Android: RSS 228 268 kB y PSS 179 790 kB</w:t>
            </w:r>
          </w:p>
        </w:tc>
        <w:tc>
          <w:tcPr>
            <w:tcW w:w="1177" w:type="dxa"/>
          </w:tcPr>
          <w:p>
            <w:pPr>
              <w:spacing w:before="40" w:after="40" w:line="240" w:lineRule="auto"/>
              <w:ind w:left="0" w:firstLine="0"/>
              <w:jc w:val="left"/>
            </w:pPr>
            <w:r>
              <w:rPr>
                <w:sz w:val="20"/>
                <w:szCs w:val="20"/>
              </w:rPr>
              <w:t xml:space="preserve">No cumple</w:t>
            </w:r>
          </w:p>
        </w:tc>
      </w:tr>
      <w:tr>
        <w:trPr>
          <w:cantSplit/>
        </w:trPr>
        <w:tc>
          <w:tcPr>
            <w:tcW w:w="1675" w:type="dxa"/>
          </w:tcPr>
          <w:p>
            <w:pPr>
              <w:spacing w:before="40" w:after="40" w:line="240" w:lineRule="auto"/>
              <w:ind w:left="0" w:firstLine="0"/>
              <w:jc w:val="left"/>
            </w:pPr>
            <w:r>
              <w:rPr>
                <w:b/>
                <w:sz w:val="20"/>
                <w:szCs w:val="20"/>
              </w:rPr>
              <w:t xml:space="preserve">002 Usabilidad</w:t>
            </w:r>
          </w:p>
        </w:tc>
        <w:tc>
          <w:tcPr>
            <w:tcW w:w="2014" w:type="dxa"/>
          </w:tcPr>
          <w:p>
            <w:pPr>
              <w:spacing w:before="40" w:after="40" w:line="240" w:lineRule="auto"/>
              <w:ind w:left="0" w:firstLine="0"/>
              <w:jc w:val="left"/>
            </w:pPr>
            <w:r>
              <w:rPr>
                <w:sz w:val="20"/>
                <w:szCs w:val="20"/>
              </w:rPr>
              <w:t xml:space="preserve">Seis pasos en la primera carga; un mensaje en inglés</w:t>
            </w:r>
          </w:p>
        </w:tc>
        <w:tc>
          <w:tcPr>
            <w:tcW w:w="2589" w:type="dxa"/>
          </w:tcPr>
          <w:p>
            <w:pPr>
              <w:spacing w:before="40" w:after="40" w:line="240" w:lineRule="auto"/>
              <w:ind w:left="0" w:firstLine="0"/>
              <w:jc w:val="left"/>
            </w:pPr>
            <w:r>
              <w:rPr>
                <w:sz w:val="20"/>
                <w:szCs w:val="20"/>
              </w:rPr>
              <w:t xml:space="preserve">Cinco o seis pasos sin perfil y tres con perfil; ningún mensaje en inglés</w:t>
            </w:r>
          </w:p>
        </w:tc>
        <w:tc>
          <w:tcPr>
            <w:tcW w:w="1177" w:type="dxa"/>
          </w:tcPr>
          <w:p>
            <w:pPr>
              <w:spacing w:before="40" w:after="40" w:line="240" w:lineRule="auto"/>
              <w:ind w:left="0" w:firstLine="0"/>
              <w:jc w:val="left"/>
            </w:pPr>
            <w:r>
              <w:rPr>
                <w:sz w:val="20"/>
                <w:szCs w:val="20"/>
              </w:rPr>
              <w:t xml:space="preserve">No cumple</w:t>
            </w:r>
          </w:p>
        </w:tc>
      </w:tr>
      <w:tr>
        <w:trPr>
          <w:cantSplit/>
        </w:trPr>
        <w:tc>
          <w:tcPr>
            <w:tcW w:w="1675" w:type="dxa"/>
          </w:tcPr>
          <w:p>
            <w:pPr>
              <w:spacing w:before="40" w:after="40" w:line="240" w:lineRule="auto"/>
              <w:ind w:left="0" w:firstLine="0"/>
              <w:jc w:val="left"/>
            </w:pPr>
            <w:r>
              <w:rPr>
                <w:b/>
                <w:sz w:val="20"/>
                <w:szCs w:val="20"/>
              </w:rPr>
              <w:t xml:space="preserve">003 Portabilidad</w:t>
            </w:r>
          </w:p>
        </w:tc>
        <w:tc>
          <w:tcPr>
            <w:tcW w:w="2014" w:type="dxa"/>
          </w:tcPr>
          <w:p>
            <w:pPr>
              <w:spacing w:before="40" w:after="40" w:line="240" w:lineRule="auto"/>
              <w:ind w:left="0" w:firstLine="0"/>
              <w:jc w:val="left"/>
            </w:pPr>
            <w:r>
              <w:rPr>
                <w:sz w:val="20"/>
                <w:szCs w:val="20"/>
              </w:rPr>
              <w:t xml:space="preserve">Tres clientes y siete archivos; a 360 px de ancho el título se trunca</w:t>
            </w:r>
          </w:p>
        </w:tc>
        <w:tc>
          <w:tcPr>
            <w:tcW w:w="2589" w:type="dxa"/>
          </w:tcPr>
          <w:p>
            <w:pPr>
              <w:spacing w:before="40" w:after="40" w:line="240" w:lineRule="auto"/>
              <w:ind w:left="0" w:firstLine="0"/>
              <w:jc w:val="left"/>
            </w:pPr>
            <w:r>
              <w:rPr>
                <w:sz w:val="20"/>
                <w:szCs w:val="20"/>
              </w:rPr>
              <w:t xml:space="preserve">Igual, y además la pastilla de vacíos queda cortada</w:t>
            </w:r>
          </w:p>
        </w:tc>
        <w:tc>
          <w:tcPr>
            <w:tcW w:w="1177" w:type="dxa"/>
          </w:tcPr>
          <w:p>
            <w:pPr>
              <w:spacing w:before="40" w:after="40" w:line="240" w:lineRule="auto"/>
              <w:ind w:left="0" w:firstLine="0"/>
              <w:jc w:val="left"/>
            </w:pPr>
            <w:r>
              <w:rPr>
                <w:sz w:val="20"/>
                <w:szCs w:val="20"/>
              </w:rPr>
              <w:t xml:space="preserve">No medible</w:t>
            </w:r>
          </w:p>
        </w:tc>
      </w:tr>
      <w:tr>
        <w:trPr>
          <w:cantSplit/>
        </w:trPr>
        <w:tc>
          <w:tcPr>
            <w:tcW w:w="1675" w:type="dxa"/>
          </w:tcPr>
          <w:p>
            <w:pPr>
              <w:spacing w:before="40" w:after="40" w:line="240" w:lineRule="auto"/>
              <w:ind w:left="0" w:firstLine="0"/>
              <w:jc w:val="left"/>
            </w:pPr>
            <w:r>
              <w:rPr>
                <w:b/>
                <w:sz w:val="20"/>
                <w:szCs w:val="20"/>
              </w:rPr>
              <w:t xml:space="preserve">004 Seguridad de los datos</w:t>
            </w:r>
          </w:p>
        </w:tc>
        <w:tc>
          <w:tcPr>
            <w:tcW w:w="2014" w:type="dxa"/>
          </w:tcPr>
          <w:p>
            <w:pPr>
              <w:spacing w:before="40" w:after="40" w:line="240" w:lineRule="auto"/>
              <w:ind w:left="0" w:firstLine="0"/>
              <w:jc w:val="left"/>
            </w:pPr>
            <w:r>
              <w:rPr>
                <w:sz w:val="20"/>
                <w:szCs w:val="20"/>
              </w:rPr>
              <w:t xml:space="preserve">Sin medición propia</w:t>
            </w:r>
          </w:p>
        </w:tc>
        <w:tc>
          <w:tcPr>
            <w:tcW w:w="2589" w:type="dxa"/>
          </w:tcPr>
          <w:p>
            <w:pPr>
              <w:spacing w:before="40" w:after="40" w:line="240" w:lineRule="auto"/>
              <w:ind w:left="0" w:firstLine="0"/>
              <w:jc w:val="left"/>
            </w:pPr>
            <w:r>
              <w:rPr>
                <w:sz w:val="20"/>
                <w:szCs w:val="20"/>
              </w:rPr>
              <w:t xml:space="preserve">Ninguna petición a Firestore en la Web y ninguna conexión en Android en lo probado</w:t>
            </w:r>
          </w:p>
        </w:tc>
        <w:tc>
          <w:tcPr>
            <w:tcW w:w="1177" w:type="dxa"/>
          </w:tcPr>
          <w:p>
            <w:pPr>
              <w:spacing w:before="40" w:after="40" w:line="240" w:lineRule="auto"/>
              <w:ind w:left="0" w:firstLine="0"/>
              <w:jc w:val="left"/>
            </w:pPr>
            <w:r>
              <w:rPr>
                <w:sz w:val="20"/>
                <w:szCs w:val="20"/>
              </w:rPr>
              <w:t xml:space="preserve">No medible</w:t>
            </w:r>
          </w:p>
        </w:tc>
      </w:tr>
      <w:tr>
        <w:trPr>
          <w:cantSplit/>
        </w:trPr>
        <w:tc>
          <w:tcPr>
            <w:tcW w:w="1675" w:type="dxa"/>
          </w:tcPr>
          <w:p>
            <w:pPr>
              <w:spacing w:before="40" w:after="40" w:line="240" w:lineRule="auto"/>
              <w:ind w:left="0" w:firstLine="0"/>
              <w:jc w:val="left"/>
            </w:pPr>
            <w:r>
              <w:rPr>
                <w:b/>
                <w:sz w:val="20"/>
                <w:szCs w:val="20"/>
              </w:rPr>
              <w:t xml:space="preserve">005 Mantenibilidad</w:t>
            </w:r>
          </w:p>
        </w:tc>
        <w:tc>
          <w:tcPr>
            <w:tcW w:w="2014" w:type="dxa"/>
          </w:tcPr>
          <w:p>
            <w:pPr>
              <w:spacing w:before="40" w:after="40" w:line="240" w:lineRule="auto"/>
              <w:ind w:left="0" w:firstLine="0"/>
              <w:jc w:val="left"/>
            </w:pPr>
            <w:r>
              <w:rPr>
                <w:sz w:val="20"/>
                <w:szCs w:val="20"/>
              </w:rPr>
              <w:t xml:space="preserve">Cero incidencias; 260 pruebas, citadas</w:t>
            </w:r>
          </w:p>
        </w:tc>
        <w:tc>
          <w:tcPr>
            <w:tcW w:w="2589" w:type="dxa"/>
          </w:tcPr>
          <w:p>
            <w:pPr>
              <w:spacing w:before="40" w:after="40" w:line="240" w:lineRule="auto"/>
              <w:ind w:left="0" w:firstLine="0"/>
              <w:jc w:val="left"/>
            </w:pPr>
            <w:r>
              <w:rPr>
                <w:sz w:val="20"/>
                <w:szCs w:val="20"/>
              </w:rPr>
              <w:t xml:space="preserve">Cero incidencias; 282 pruebas, ejecutadas</w:t>
            </w:r>
          </w:p>
        </w:tc>
        <w:tc>
          <w:tcPr>
            <w:tcW w:w="1177" w:type="dxa"/>
          </w:tcPr>
          <w:p>
            <w:pPr>
              <w:spacing w:before="40" w:after="40" w:line="240" w:lineRule="auto"/>
              <w:ind w:left="0" w:firstLine="0"/>
              <w:jc w:val="left"/>
            </w:pPr>
            <w:r>
              <w:rPr>
                <w:sz w:val="20"/>
                <w:szCs w:val="20"/>
              </w:rPr>
              <w:t xml:space="preserve">No medible</w:t>
            </w:r>
          </w:p>
        </w:tc>
      </w:tr>
      <w:tr>
        <w:trPr>
          <w:cantSplit/>
        </w:trPr>
        <w:tc>
          <w:tcPr>
            <w:tcW w:w="1675" w:type="dxa"/>
          </w:tcPr>
          <w:p>
            <w:pPr>
              <w:spacing w:before="40" w:after="40" w:line="240" w:lineRule="auto"/>
              <w:ind w:left="0" w:firstLine="0"/>
              <w:jc w:val="left"/>
            </w:pPr>
            <w:r>
              <w:rPr>
                <w:b/>
                <w:sz w:val="20"/>
                <w:szCs w:val="20"/>
              </w:rPr>
              <w:t xml:space="preserve">006 Tolerancia a fallos</w:t>
            </w:r>
          </w:p>
        </w:tc>
        <w:tc>
          <w:tcPr>
            <w:tcW w:w="2014" w:type="dxa"/>
          </w:tcPr>
          <w:p>
            <w:pPr>
              <w:spacing w:before="40" w:after="40" w:line="240" w:lineRule="auto"/>
              <w:ind w:left="0" w:firstLine="0"/>
              <w:jc w:val="left"/>
            </w:pPr>
            <w:r>
              <w:rPr>
                <w:sz w:val="20"/>
                <w:szCs w:val="20"/>
              </w:rPr>
              <w:t xml:space="preserve">Mensaje de error sin acción sugerida</w:t>
            </w:r>
          </w:p>
        </w:tc>
        <w:tc>
          <w:tcPr>
            <w:tcW w:w="2589" w:type="dxa"/>
          </w:tcPr>
          <w:p>
            <w:pPr>
              <w:spacing w:before="40" w:after="40" w:line="240" w:lineRule="auto"/>
              <w:ind w:left="0" w:firstLine="0"/>
              <w:jc w:val="left"/>
            </w:pPr>
            <w:r>
              <w:rPr>
                <w:sz w:val="20"/>
                <w:szCs w:val="20"/>
              </w:rPr>
              <w:t xml:space="preserve">Causa y acción; recuperación sin reiniciar</w:t>
            </w:r>
          </w:p>
        </w:tc>
        <w:tc>
          <w:tcPr>
            <w:tcW w:w="1177" w:type="dxa"/>
          </w:tcPr>
          <w:p>
            <w:pPr>
              <w:spacing w:before="40" w:after="40" w:line="240" w:lineRule="auto"/>
              <w:ind w:left="0" w:firstLine="0"/>
              <w:jc w:val="left"/>
            </w:pPr>
            <w:r>
              <w:rPr>
                <w:sz w:val="20"/>
                <w:szCs w:val="20"/>
              </w:rPr>
              <w:t xml:space="preserve">No medible</w:t>
            </w:r>
          </w:p>
        </w:tc>
      </w:tr>
      <w:tr>
        <w:trPr>
          <w:cantSplit/>
        </w:trPr>
        <w:tc>
          <w:tcPr>
            <w:tcW w:w="1675" w:type="dxa"/>
          </w:tcPr>
          <w:p>
            <w:pPr>
              <w:spacing w:before="40" w:after="40" w:line="240" w:lineRule="auto"/>
              <w:ind w:left="0" w:firstLine="0"/>
              <w:jc w:val="left"/>
            </w:pPr>
            <w:r>
              <w:rPr>
                <w:b/>
                <w:sz w:val="20"/>
                <w:szCs w:val="20"/>
              </w:rPr>
              <w:t xml:space="preserve">007 Escalabilidad</w:t>
            </w:r>
          </w:p>
        </w:tc>
        <w:tc>
          <w:tcPr>
            <w:tcW w:w="2014" w:type="dxa"/>
          </w:tcPr>
          <w:p>
            <w:pPr>
              <w:spacing w:before="40" w:after="40" w:line="240" w:lineRule="auto"/>
              <w:ind w:left="0" w:firstLine="0"/>
              <w:jc w:val="left"/>
            </w:pPr>
            <w:r>
              <w:rPr>
                <w:sz w:val="20"/>
                <w:szCs w:val="20"/>
              </w:rPr>
              <w:t xml:space="preserve">Siete archivos de 369 a 979 contenedores</w:t>
            </w:r>
          </w:p>
        </w:tc>
        <w:tc>
          <w:tcPr>
            <w:tcW w:w="2589" w:type="dxa"/>
          </w:tcPr>
          <w:p>
            <w:pPr>
              <w:spacing w:before="40" w:after="40" w:line="240" w:lineRule="auto"/>
              <w:ind w:left="0" w:firstLine="0"/>
              <w:jc w:val="left"/>
            </w:pPr>
            <w:r>
              <w:rPr>
                <w:sz w:val="20"/>
                <w:szCs w:val="20"/>
              </w:rPr>
              <w:t xml:space="preserve">Igual</w:t>
            </w:r>
          </w:p>
        </w:tc>
        <w:tc>
          <w:tcPr>
            <w:tcW w:w="1177" w:type="dxa"/>
          </w:tcPr>
          <w:p>
            <w:pPr>
              <w:spacing w:before="40" w:after="40" w:line="240" w:lineRule="auto"/>
              <w:ind w:left="0" w:firstLine="0"/>
              <w:jc w:val="left"/>
            </w:pPr>
            <w:r>
              <w:rPr>
                <w:sz w:val="20"/>
                <w:szCs w:val="20"/>
              </w:rPr>
              <w:t xml:space="preserve">No medible</w:t>
            </w:r>
          </w:p>
        </w:tc>
      </w:tr>
      <w:tr>
        <w:trPr>
          <w:cantSplit/>
        </w:trPr>
        <w:tc>
          <w:tcPr>
            <w:tcW w:w="1675" w:type="dxa"/>
          </w:tcPr>
          <w:p>
            <w:pPr>
              <w:keepNext/>
              <w:spacing w:before="40" w:after="40" w:line="240" w:lineRule="auto"/>
              <w:ind w:left="0" w:firstLine="0"/>
              <w:jc w:val="left"/>
            </w:pPr>
            <w:r>
              <w:rPr>
                <w:b/>
                <w:sz w:val="20"/>
                <w:szCs w:val="20"/>
              </w:rPr>
              <w:t xml:space="preserve">008 Estándares</w:t>
            </w:r>
          </w:p>
        </w:tc>
        <w:tc>
          <w:tcPr>
            <w:tcW w:w="2014" w:type="dxa"/>
          </w:tcPr>
          <w:p>
            <w:pPr>
              <w:keepNext/>
              <w:spacing w:before="40" w:after="40" w:line="240" w:lineRule="auto"/>
              <w:ind w:left="0" w:firstLine="0"/>
              <w:jc w:val="left"/>
            </w:pPr>
            <w:r>
              <w:rPr>
                <w:sz w:val="20"/>
                <w:szCs w:val="20"/>
              </w:rPr>
              <w:t xml:space="preserve">49 CFR Parte 176, sin equivalencia con el Código IMDG</w:t>
            </w:r>
          </w:p>
        </w:tc>
        <w:tc>
          <w:tcPr>
            <w:tcW w:w="2589" w:type="dxa"/>
          </w:tcPr>
          <w:p>
            <w:pPr>
              <w:keepNext/>
              <w:spacing w:before="40" w:after="40" w:line="240" w:lineRule="auto"/>
              <w:ind w:left="0" w:firstLine="0"/>
              <w:jc w:val="left"/>
            </w:pPr>
            <w:r>
              <w:rPr>
                <w:sz w:val="20"/>
                <w:szCs w:val="20"/>
              </w:rPr>
              <w:t xml:space="preserve">Igual</w:t>
            </w:r>
          </w:p>
        </w:tc>
        <w:tc>
          <w:tcPr>
            <w:tcW w:w="1177" w:type="dxa"/>
          </w:tcPr>
          <w:p>
            <w:pPr>
              <w:keepNext/>
              <w:spacing w:before="40" w:after="40" w:line="240" w:lineRule="auto"/>
              <w:ind w:left="0" w:firstLine="0"/>
              <w:jc w:val="left"/>
            </w:pPr>
            <w:r>
              <w:rPr>
                <w:sz w:val="20"/>
                <w:szCs w:val="20"/>
              </w:rPr>
              <w:t xml:space="preserve">No cumple</w:t>
            </w:r>
          </w:p>
        </w:tc>
      </w:tr>
    </w:tbl>
    <w:p>
      <w:pPr>
        <w:spacing w:before="80" w:after="880"/>
        <w:ind w:left="1276" w:firstLine="0"/>
        <w:jc w:val="left"/>
      </w:pPr>
      <w:r>
        <w:rPr>
          <w:b/>
        </w:rPr>
        <w:t xml:space="preserve">Fuente: </w:t>
      </w:r>
      <w:r>
        <w:t xml:space="preserve">Elaboración propia, con base en las dos mediciones de T‑44 sobre las confirmaciones 1607263 y 3ac98f6.</w:t>
      </w:r>
    </w:p>
    <w:p>
      <w:pPr>
        <w:spacing w:after="880"/>
        <w:ind w:left="1276" w:firstLine="357"/>
        <w:jc w:val="both"/>
      </w:pPr>
      <w:r>
        <w:t xml:space="preserve">El único dictamen que cambia entre las dos mediciones es el de RNF‑006. La corrección de los mensajes de error (T‑57) hizo que el caso medido traiga causa y acción sugerida, pero un solo tipo de archivo corrupto no demuestra el «100 %» que exige el requerimiento, de modo que pasa de no cumplir a no ser medible.</w:t>
      </w:r>
    </w:p>
    <w:p>
      <w:pPr>
        <w:spacing w:after="880"/>
        <w:ind w:left="1276" w:firstLine="357"/>
        <w:jc w:val="both"/>
      </w:pPr>
      <w:r>
        <w:t xml:space="preserve">La segunda medición aportó dos datos que la primera no registraba. La memoria de Windows depende sobre todo del tamaño de la ventana: maximizada, la cifra duplica la de una ventana de 1280×720, y la primera medición no anotó en cuál se tomó. RNF‑004, por su parte, tiene por primera vez evidencia propia de que el producto no transmite datos del usuario en las operaciones probadas (apartado III.E).</w:t>
      </w:r>
    </w:p>
    <w:p>
      <w:pPr>
        <w:spacing w:after="880"/>
        <w:ind w:left="1276" w:firstLine="357"/>
        <w:jc w:val="both"/>
      </w:pPr>
      <w:r>
        <w:t xml:space="preserve">La propuesta de criterios operativos (T‑63) conserva todos los umbrales del ERS y deja 22 decisiones para el autor, cada una con sus opciones y su fuente. Ninguna de sus recomendaciones convierte un «no cumple» en «cumple»; en RNF‑002 recomienda la lectura literal del ERS aunque la opción contraria lo haría cumplir. Aplicarla exige unas 57 horas de medición nueva, sin contar una prueba con usuarios ni el Código IMDG: más que la capacidad completa de un sprint. Qué requerimientos se miden y cuáles quedan como limitación es, por tanto, una decisión de la planificación siguiente.</w:t>
      </w:r>
    </w:p>
    <w:p>
      <w:pPr>
        <w:pStyle w:val="Heading2"/>
        <w:spacing w:before="0" w:after="760"/>
      </w:pPr>
      <w:r>
        <w:t xml:space="preserve">Seguridad: estado de los hallazgos</w:t>
      </w:r>
    </w:p>
    <w:p>
      <w:pPr>
        <w:spacing w:after="880"/>
        <w:ind w:left="850" w:firstLine="357"/>
        <w:jc w:val="both"/>
      </w:pPr>
      <w:r>
        <w:t xml:space="preserve">Los siete hallazgos de la línea base tienen al cierre del sprint el estado que muestra la Tabla 86. Ninguno queda sin tratamiento; dos se cierran con un riesgo residual o una limitación declarados en lugar de una corrección completa.</w:t>
      </w:r>
    </w:p>
    <w:p>
      <w:pPr>
        <w:keepNext/>
        <w:spacing w:after="0"/>
        <w:ind w:left="850" w:firstLine="0"/>
        <w:jc w:val="left"/>
      </w:pPr>
      <w:r>
        <w:rPr>
          <w:b/>
        </w:rPr>
        <w:t>Tabla 86.</w:t>
      </w:r>
    </w:p>
    <w:p>
      <w:pPr>
        <w:keepNext/>
        <w:spacing w:after="0" w:line="480" w:lineRule="auto"/>
        <w:ind w:left="850" w:firstLine="0"/>
        <w:jc w:val="left"/>
      </w:pPr>
      <w:r>
        <w:rPr>
          <w:i/>
        </w:rPr>
        <w:t xml:space="preserve">Estado de los hallazgos de seguridad de la línea base al cierre del Sprint 2</w:t>
      </w:r>
    </w:p>
    <w:tbl>
      <w:tblPr>
        <w:tblStyle w:val="TableGrid"/>
        <w:tblW w:w="7881" w:type="dxa"/>
        <w:tblInd w:w="958" w:type="dxa"/>
        <w:tblLayout w:type="fixed"/>
        <w:tblLook w:val="04A0" w:firstRow="1" w:lastRow="0" w:firstColumn="1" w:lastColumn="0" w:noHBand="0" w:noVBand="1"/>
      </w:tblPr>
      <w:tblGrid>
        <w:gridCol w:w="715"/>
        <w:gridCol w:w="1892"/>
        <w:gridCol w:w="853"/>
        <w:gridCol w:w="3211"/>
        <w:gridCol w:w="1210"/>
      </w:tblGrid>
      <w:tr>
        <w:trPr>
          <w:cantSplit/>
          <w:tblHeader/>
        </w:trPr>
        <w:tc>
          <w:tcPr>
            <w:tcW w:w="715" w:type="dxa"/>
          </w:tcPr>
          <w:p>
            <w:pPr>
              <w:keepNext/>
              <w:spacing w:before="40" w:after="40" w:line="240" w:lineRule="auto"/>
              <w:ind w:left="0" w:firstLine="0"/>
              <w:jc w:val="left"/>
            </w:pPr>
            <w:r>
              <w:rPr>
                <w:b/>
                <w:sz w:val="20"/>
                <w:szCs w:val="20"/>
              </w:rPr>
              <w:t xml:space="preserve">#</w:t>
            </w:r>
          </w:p>
        </w:tc>
        <w:tc>
          <w:tcPr>
            <w:tcW w:w="1892" w:type="dxa"/>
          </w:tcPr>
          <w:p>
            <w:pPr>
              <w:keepNext/>
              <w:spacing w:before="40" w:after="40" w:line="240" w:lineRule="auto"/>
              <w:ind w:left="0" w:firstLine="0"/>
              <w:jc w:val="left"/>
            </w:pPr>
            <w:r>
              <w:rPr>
                <w:b/>
                <w:sz w:val="20"/>
                <w:szCs w:val="20"/>
              </w:rPr>
              <w:t xml:space="preserve">Hallazgo</w:t>
            </w:r>
          </w:p>
        </w:tc>
        <w:tc>
          <w:tcPr>
            <w:tcW w:w="853" w:type="dxa"/>
          </w:tcPr>
          <w:p>
            <w:pPr>
              <w:keepNext/>
              <w:spacing w:before="40" w:after="40" w:line="240" w:lineRule="auto"/>
              <w:ind w:left="0" w:firstLine="0"/>
              <w:jc w:val="left"/>
            </w:pPr>
            <w:r>
              <w:rPr>
                <w:b/>
                <w:sz w:val="20"/>
                <w:szCs w:val="20"/>
              </w:rPr>
              <w:t xml:space="preserve">Sev.</w:t>
            </w:r>
          </w:p>
        </w:tc>
        <w:tc>
          <w:tcPr>
            <w:tcW w:w="3211" w:type="dxa"/>
          </w:tcPr>
          <w:p>
            <w:pPr>
              <w:keepNext/>
              <w:spacing w:before="40" w:after="40" w:line="240" w:lineRule="auto"/>
              <w:ind w:left="0" w:firstLine="0"/>
              <w:jc w:val="left"/>
            </w:pPr>
            <w:r>
              <w:rPr>
                <w:b/>
                <w:sz w:val="20"/>
                <w:szCs w:val="20"/>
              </w:rPr>
              <w:t xml:space="preserve">Estado al cierre del Sprint 2</w:t>
            </w:r>
          </w:p>
        </w:tc>
        <w:tc>
          <w:tcPr>
            <w:tcW w:w="1210" w:type="dxa"/>
          </w:tcPr>
          <w:p>
            <w:pPr>
              <w:keepNext/>
              <w:spacing w:before="40" w:after="40" w:line="240" w:lineRule="auto"/>
              <w:ind w:left="0" w:firstLine="0"/>
              <w:jc w:val="left"/>
            </w:pPr>
            <w:r>
              <w:rPr>
                <w:b/>
                <w:sz w:val="20"/>
                <w:szCs w:val="20"/>
              </w:rPr>
              <w:t xml:space="preserve">Evidencia</w:t>
            </w:r>
          </w:p>
        </w:tc>
      </w:tr>
      <w:tr>
        <w:trPr>
          <w:cantSplit/>
        </w:trPr>
        <w:tc>
          <w:tcPr>
            <w:tcW w:w="715" w:type="dxa"/>
          </w:tcPr>
          <w:p>
            <w:pPr>
              <w:spacing w:before="40" w:after="40" w:line="240" w:lineRule="auto"/>
              <w:ind w:left="0" w:firstLine="0"/>
              <w:jc w:val="left"/>
            </w:pPr>
            <w:r>
              <w:rPr>
                <w:b/>
                <w:sz w:val="20"/>
                <w:szCs w:val="20"/>
              </w:rPr>
              <w:t xml:space="preserve">H‑01</w:t>
            </w:r>
          </w:p>
        </w:tc>
        <w:tc>
          <w:tcPr>
            <w:tcW w:w="1892" w:type="dxa"/>
          </w:tcPr>
          <w:p>
            <w:pPr>
              <w:spacing w:before="40" w:after="40" w:line="240" w:lineRule="auto"/>
              <w:ind w:left="0" w:firstLine="0"/>
              <w:jc w:val="left"/>
            </w:pPr>
            <w:r>
              <w:rPr>
                <w:sz w:val="20"/>
                <w:szCs w:val="20"/>
              </w:rPr>
              <w:t xml:space="preserve">Reglas de autorización fuera del control de versiones</w:t>
            </w:r>
          </w:p>
        </w:tc>
        <w:tc>
          <w:tcPr>
            <w:tcW w:w="853" w:type="dxa"/>
          </w:tcPr>
          <w:p>
            <w:pPr>
              <w:spacing w:before="40" w:after="40" w:line="240" w:lineRule="auto"/>
              <w:ind w:left="0" w:firstLine="0"/>
              <w:jc w:val="left"/>
            </w:pPr>
            <w:r>
              <w:rPr>
                <w:sz w:val="20"/>
                <w:szCs w:val="20"/>
              </w:rPr>
              <w:t xml:space="preserve">Crítica</w:t>
            </w:r>
          </w:p>
        </w:tc>
        <w:tc>
          <w:tcPr>
            <w:tcW w:w="3211" w:type="dxa"/>
          </w:tcPr>
          <w:p>
            <w:pPr>
              <w:spacing w:before="40" w:after="40" w:line="240" w:lineRule="auto"/>
              <w:ind w:left="0" w:firstLine="0"/>
              <w:jc w:val="left"/>
            </w:pPr>
            <w:r>
              <w:rPr>
                <w:sz w:val="20"/>
                <w:szCs w:val="20"/>
              </w:rPr>
              <w:t xml:space="preserve">Resuelto en el Sprint 1 y conservado: las reglas del repositorio son idénticas a las publicadas.</w:t>
            </w:r>
          </w:p>
        </w:tc>
        <w:tc>
          <w:tcPr>
            <w:tcW w:w="1210" w:type="dxa"/>
          </w:tcPr>
          <w:p>
            <w:pPr>
              <w:spacing w:before="40" w:after="40" w:line="240" w:lineRule="auto"/>
              <w:ind w:left="0" w:firstLine="0"/>
              <w:jc w:val="left"/>
            </w:pPr>
            <w:r>
              <w:rPr>
                <w:sz w:val="20"/>
                <w:szCs w:val="20"/>
              </w:rPr>
              <w:t xml:space="preserve">8f0d39d</w:t>
            </w:r>
          </w:p>
        </w:tc>
      </w:tr>
      <w:tr>
        <w:trPr>
          <w:cantSplit/>
        </w:trPr>
        <w:tc>
          <w:tcPr>
            <w:tcW w:w="715" w:type="dxa"/>
          </w:tcPr>
          <w:p>
            <w:pPr>
              <w:spacing w:before="40" w:after="40" w:line="240" w:lineRule="auto"/>
              <w:ind w:left="0" w:firstLine="0"/>
              <w:jc w:val="left"/>
            </w:pPr>
            <w:r>
              <w:rPr>
                <w:b/>
                <w:sz w:val="20"/>
                <w:szCs w:val="20"/>
              </w:rPr>
              <w:t xml:space="preserve">H‑02</w:t>
            </w:r>
          </w:p>
        </w:tc>
        <w:tc>
          <w:tcPr>
            <w:tcW w:w="1892" w:type="dxa"/>
          </w:tcPr>
          <w:p>
            <w:pPr>
              <w:spacing w:before="40" w:after="40" w:line="240" w:lineRule="auto"/>
              <w:ind w:left="0" w:firstLine="0"/>
              <w:jc w:val="left"/>
            </w:pPr>
            <w:r>
              <w:rPr>
                <w:sz w:val="20"/>
                <w:szCs w:val="20"/>
              </w:rPr>
              <w:t xml:space="preserve">Creación y actualización anónimas</w:t>
            </w:r>
          </w:p>
        </w:tc>
        <w:tc>
          <w:tcPr>
            <w:tcW w:w="853" w:type="dxa"/>
          </w:tcPr>
          <w:p>
            <w:pPr>
              <w:spacing w:before="40" w:after="40" w:line="240" w:lineRule="auto"/>
              <w:ind w:left="0" w:firstLine="0"/>
              <w:jc w:val="left"/>
            </w:pPr>
            <w:r>
              <w:rPr>
                <w:sz w:val="20"/>
                <w:szCs w:val="20"/>
              </w:rPr>
              <w:t xml:space="preserve">Alta</w:t>
            </w:r>
          </w:p>
        </w:tc>
        <w:tc>
          <w:tcPr>
            <w:tcW w:w="3211" w:type="dxa"/>
          </w:tcPr>
          <w:p>
            <w:pPr>
              <w:spacing w:before="40" w:after="40" w:line="240" w:lineRule="auto"/>
              <w:ind w:left="0" w:firstLine="0"/>
              <w:jc w:val="left"/>
            </w:pPr>
            <w:r>
              <w:rPr>
                <w:sz w:val="20"/>
                <w:szCs w:val="20"/>
              </w:rPr>
              <w:t xml:space="preserve">Reacotado: el producto no usa Firestore; las reglas solo admiten mediciones nacidas abiertas y un cierre único. Riesgo residual declarado.</w:t>
            </w:r>
          </w:p>
        </w:tc>
        <w:tc>
          <w:tcPr>
            <w:tcW w:w="1210" w:type="dxa"/>
          </w:tcPr>
          <w:p>
            <w:pPr>
              <w:spacing w:before="40" w:after="40" w:line="240" w:lineRule="auto"/>
              <w:ind w:left="0" w:firstLine="0"/>
              <w:jc w:val="left"/>
            </w:pPr>
            <w:r>
              <w:rPr>
                <w:sz w:val="20"/>
                <w:szCs w:val="20"/>
              </w:rPr>
              <w:t xml:space="preserve">8f0d39d</w:t>
            </w:r>
          </w:p>
        </w:tc>
      </w:tr>
      <w:tr>
        <w:trPr>
          <w:cantSplit/>
        </w:trPr>
        <w:tc>
          <w:tcPr>
            <w:tcW w:w="715" w:type="dxa"/>
          </w:tcPr>
          <w:p>
            <w:pPr>
              <w:spacing w:before="40" w:after="40" w:line="240" w:lineRule="auto"/>
              <w:ind w:left="0" w:firstLine="0"/>
              <w:jc w:val="left"/>
            </w:pPr>
            <w:r>
              <w:rPr>
                <w:b/>
                <w:sz w:val="20"/>
                <w:szCs w:val="20"/>
              </w:rPr>
              <w:t xml:space="preserve">H‑03</w:t>
            </w:r>
          </w:p>
        </w:tc>
        <w:tc>
          <w:tcPr>
            <w:tcW w:w="1892" w:type="dxa"/>
          </w:tcPr>
          <w:p>
            <w:pPr>
              <w:spacing w:before="40" w:after="40" w:line="240" w:lineRule="auto"/>
              <w:ind w:left="0" w:firstLine="0"/>
              <w:jc w:val="left"/>
            </w:pPr>
            <w:r>
              <w:rPr>
                <w:sz w:val="20"/>
                <w:szCs w:val="20"/>
              </w:rPr>
              <w:t xml:space="preserve">Reglas de prueba expiradas</w:t>
            </w:r>
          </w:p>
        </w:tc>
        <w:tc>
          <w:tcPr>
            <w:tcW w:w="853" w:type="dxa"/>
          </w:tcPr>
          <w:p>
            <w:pPr>
              <w:spacing w:before="40" w:after="40" w:line="240" w:lineRule="auto"/>
              <w:ind w:left="0" w:firstLine="0"/>
              <w:jc w:val="left"/>
            </w:pPr>
            <w:r>
              <w:rPr>
                <w:sz w:val="20"/>
                <w:szCs w:val="20"/>
              </w:rPr>
              <w:t xml:space="preserve">Crítica</w:t>
            </w:r>
          </w:p>
        </w:tc>
        <w:tc>
          <w:tcPr>
            <w:tcW w:w="3211" w:type="dxa"/>
          </w:tcPr>
          <w:p>
            <w:pPr>
              <w:spacing w:before="40" w:after="40" w:line="240" w:lineRule="auto"/>
              <w:ind w:left="0" w:firstLine="0"/>
              <w:jc w:val="left"/>
            </w:pPr>
            <w:r>
              <w:rPr>
                <w:sz w:val="20"/>
                <w:szCs w:val="20"/>
              </w:rPr>
              <w:t xml:space="preserve">Resuelto en el Sprint 1. El proyecto de producción se creó sin base de datos.</w:t>
            </w:r>
          </w:p>
        </w:tc>
        <w:tc>
          <w:tcPr>
            <w:tcW w:w="1210" w:type="dxa"/>
          </w:tcPr>
          <w:p>
            <w:pPr>
              <w:spacing w:before="40" w:after="40" w:line="240" w:lineRule="auto"/>
              <w:ind w:left="0" w:firstLine="0"/>
              <w:jc w:val="left"/>
            </w:pPr>
            <w:r>
              <w:rPr>
                <w:sz w:val="20"/>
                <w:szCs w:val="20"/>
              </w:rPr>
              <w:t xml:space="preserve">ba7353a</w:t>
            </w:r>
          </w:p>
        </w:tc>
      </w:tr>
      <w:tr>
        <w:trPr>
          <w:cantSplit/>
        </w:trPr>
        <w:tc>
          <w:tcPr>
            <w:tcW w:w="715" w:type="dxa"/>
          </w:tcPr>
          <w:p>
            <w:pPr>
              <w:spacing w:before="40" w:after="40" w:line="240" w:lineRule="auto"/>
              <w:ind w:left="0" w:firstLine="0"/>
              <w:jc w:val="left"/>
            </w:pPr>
            <w:r>
              <w:rPr>
                <w:b/>
                <w:sz w:val="20"/>
                <w:szCs w:val="20"/>
              </w:rPr>
              <w:t xml:space="preserve">H‑04</w:t>
            </w:r>
          </w:p>
        </w:tc>
        <w:tc>
          <w:tcPr>
            <w:tcW w:w="1892" w:type="dxa"/>
          </w:tcPr>
          <w:p>
            <w:pPr>
              <w:spacing w:before="40" w:after="40" w:line="240" w:lineRule="auto"/>
              <w:ind w:left="0" w:firstLine="0"/>
              <w:jc w:val="left"/>
            </w:pPr>
            <w:r>
              <w:rPr>
                <w:sz w:val="20"/>
                <w:szCs w:val="20"/>
              </w:rPr>
              <w:t xml:space="preserve">Credenciales en el código fuente</w:t>
            </w:r>
          </w:p>
        </w:tc>
        <w:tc>
          <w:tcPr>
            <w:tcW w:w="853" w:type="dxa"/>
          </w:tcPr>
          <w:p>
            <w:pPr>
              <w:spacing w:before="40" w:after="40" w:line="240" w:lineRule="auto"/>
              <w:ind w:left="0" w:firstLine="0"/>
              <w:jc w:val="left"/>
            </w:pPr>
            <w:r>
              <w:rPr>
                <w:sz w:val="20"/>
                <w:szCs w:val="20"/>
              </w:rPr>
              <w:t xml:space="preserve">Media</w:t>
            </w:r>
          </w:p>
        </w:tc>
        <w:tc>
          <w:tcPr>
            <w:tcW w:w="3211" w:type="dxa"/>
          </w:tcPr>
          <w:p>
            <w:pPr>
              <w:spacing w:before="40" w:after="40" w:line="240" w:lineRule="auto"/>
              <w:ind w:left="0" w:firstLine="0"/>
              <w:jc w:val="left"/>
            </w:pPr>
            <w:r>
              <w:rPr>
                <w:sz w:val="20"/>
                <w:szCs w:val="20"/>
              </w:rPr>
              <w:t xml:space="preserve">Cerrado en el código: las opciones se leen al compilar de un archivo fuera del repositorio. Las del proyecto temporal siguen en el historial.</w:t>
            </w:r>
          </w:p>
        </w:tc>
        <w:tc>
          <w:tcPr>
            <w:tcW w:w="1210" w:type="dxa"/>
          </w:tcPr>
          <w:p>
            <w:pPr>
              <w:spacing w:before="40" w:after="40" w:line="240" w:lineRule="auto"/>
              <w:ind w:left="0" w:firstLine="0"/>
              <w:jc w:val="left"/>
            </w:pPr>
            <w:r>
              <w:rPr>
                <w:sz w:val="20"/>
                <w:szCs w:val="20"/>
              </w:rPr>
              <w:t xml:space="preserve">ba7353a</w:t>
            </w:r>
          </w:p>
        </w:tc>
      </w:tr>
      <w:tr>
        <w:trPr>
          <w:cantSplit/>
        </w:trPr>
        <w:tc>
          <w:tcPr>
            <w:tcW w:w="715" w:type="dxa"/>
          </w:tcPr>
          <w:p>
            <w:pPr>
              <w:spacing w:before="40" w:after="40" w:line="240" w:lineRule="auto"/>
              <w:ind w:left="0" w:firstLine="0"/>
              <w:jc w:val="left"/>
            </w:pPr>
            <w:r>
              <w:rPr>
                <w:b/>
                <w:sz w:val="20"/>
                <w:szCs w:val="20"/>
              </w:rPr>
              <w:t xml:space="preserve">H‑05</w:t>
            </w:r>
          </w:p>
        </w:tc>
        <w:tc>
          <w:tcPr>
            <w:tcW w:w="1892" w:type="dxa"/>
          </w:tcPr>
          <w:p>
            <w:pPr>
              <w:spacing w:before="40" w:after="40" w:line="240" w:lineRule="auto"/>
              <w:ind w:left="0" w:firstLine="0"/>
              <w:jc w:val="left"/>
            </w:pPr>
            <w:r>
              <w:rPr>
                <w:sz w:val="20"/>
                <w:szCs w:val="20"/>
              </w:rPr>
              <w:t xml:space="preserve">Texto crudo de excepciones en la interfaz</w:t>
            </w:r>
          </w:p>
        </w:tc>
        <w:tc>
          <w:tcPr>
            <w:tcW w:w="853" w:type="dxa"/>
          </w:tcPr>
          <w:p>
            <w:pPr>
              <w:spacing w:before="40" w:after="40" w:line="240" w:lineRule="auto"/>
              <w:ind w:left="0" w:firstLine="0"/>
              <w:jc w:val="left"/>
            </w:pPr>
            <w:r>
              <w:rPr>
                <w:sz w:val="20"/>
                <w:szCs w:val="20"/>
              </w:rPr>
              <w:t xml:space="preserve">Baja</w:t>
            </w:r>
          </w:p>
        </w:tc>
        <w:tc>
          <w:tcPr>
            <w:tcW w:w="3211" w:type="dxa"/>
          </w:tcPr>
          <w:p>
            <w:pPr>
              <w:spacing w:before="40" w:after="40" w:line="240" w:lineRule="auto"/>
              <w:ind w:left="0" w:firstLine="0"/>
              <w:jc w:val="left"/>
            </w:pPr>
            <w:r>
              <w:rPr>
                <w:sz w:val="20"/>
                <w:szCs w:val="20"/>
              </w:rPr>
              <w:t xml:space="preserve">Atendido: mensajes en español con causa y acción; ningún mensaje en inglés en el caso medido.</w:t>
            </w:r>
          </w:p>
        </w:tc>
        <w:tc>
          <w:tcPr>
            <w:tcW w:w="1210" w:type="dxa"/>
          </w:tcPr>
          <w:p>
            <w:pPr>
              <w:spacing w:before="40" w:after="40" w:line="240" w:lineRule="auto"/>
              <w:ind w:left="0" w:firstLine="0"/>
              <w:jc w:val="left"/>
            </w:pPr>
            <w:r>
              <w:rPr>
                <w:sz w:val="20"/>
                <w:szCs w:val="20"/>
              </w:rPr>
              <w:t xml:space="preserve">7a034ee</w:t>
            </w:r>
          </w:p>
        </w:tc>
      </w:tr>
      <w:tr>
        <w:trPr>
          <w:cantSplit/>
        </w:trPr>
        <w:tc>
          <w:tcPr>
            <w:tcW w:w="715" w:type="dxa"/>
          </w:tcPr>
          <w:p>
            <w:pPr>
              <w:spacing w:before="40" w:after="40" w:line="240" w:lineRule="auto"/>
              <w:ind w:left="0" w:firstLine="0"/>
              <w:jc w:val="left"/>
            </w:pPr>
            <w:r>
              <w:rPr>
                <w:b/>
                <w:sz w:val="20"/>
                <w:szCs w:val="20"/>
              </w:rPr>
              <w:t xml:space="preserve">H‑06</w:t>
            </w:r>
          </w:p>
        </w:tc>
        <w:tc>
          <w:tcPr>
            <w:tcW w:w="1892" w:type="dxa"/>
          </w:tcPr>
          <w:p>
            <w:pPr>
              <w:spacing w:before="40" w:after="40" w:line="240" w:lineRule="auto"/>
              <w:ind w:left="0" w:firstLine="0"/>
              <w:jc w:val="left"/>
            </w:pPr>
            <w:r>
              <w:rPr>
                <w:sz w:val="20"/>
                <w:szCs w:val="20"/>
              </w:rPr>
              <w:t xml:space="preserve">Sin registro de eventos ni alertas</w:t>
            </w:r>
          </w:p>
        </w:tc>
        <w:tc>
          <w:tcPr>
            <w:tcW w:w="853" w:type="dxa"/>
          </w:tcPr>
          <w:p>
            <w:pPr>
              <w:spacing w:before="40" w:after="40" w:line="240" w:lineRule="auto"/>
              <w:ind w:left="0" w:firstLine="0"/>
              <w:jc w:val="left"/>
            </w:pPr>
            <w:r>
              <w:rPr>
                <w:sz w:val="20"/>
                <w:szCs w:val="20"/>
              </w:rPr>
              <w:t xml:space="preserve">Baja</w:t>
            </w:r>
          </w:p>
        </w:tc>
        <w:tc>
          <w:tcPr>
            <w:tcW w:w="3211" w:type="dxa"/>
          </w:tcPr>
          <w:p>
            <w:pPr>
              <w:spacing w:before="40" w:after="40" w:line="240" w:lineRule="auto"/>
              <w:ind w:left="0" w:firstLine="0"/>
              <w:jc w:val="left"/>
            </w:pPr>
            <w:r>
              <w:rPr>
                <w:sz w:val="20"/>
                <w:szCs w:val="20"/>
              </w:rPr>
              <w:t xml:space="preserve">Registro verificado. Alertas automáticas no disponibles sin facturación: limitación declarada, con revisión manual.</w:t>
            </w:r>
          </w:p>
        </w:tc>
        <w:tc>
          <w:tcPr>
            <w:tcW w:w="1210" w:type="dxa"/>
          </w:tcPr>
          <w:p>
            <w:pPr>
              <w:spacing w:before="40" w:after="40" w:line="240" w:lineRule="auto"/>
              <w:ind w:left="0" w:firstLine="0"/>
              <w:jc w:val="left"/>
            </w:pPr>
            <w:r>
              <w:rPr>
                <w:sz w:val="20"/>
                <w:szCs w:val="20"/>
              </w:rPr>
              <w:t xml:space="preserve">fba3fa7</w:t>
            </w:r>
          </w:p>
        </w:tc>
      </w:tr>
      <w:tr>
        <w:trPr>
          <w:cantSplit/>
        </w:trPr>
        <w:tc>
          <w:tcPr>
            <w:tcW w:w="715" w:type="dxa"/>
          </w:tcPr>
          <w:p>
            <w:pPr>
              <w:keepNext/>
              <w:spacing w:before="40" w:after="40" w:line="240" w:lineRule="auto"/>
              <w:ind w:left="0" w:firstLine="0"/>
              <w:jc w:val="left"/>
            </w:pPr>
            <w:r>
              <w:rPr>
                <w:b/>
                <w:sz w:val="20"/>
                <w:szCs w:val="20"/>
              </w:rPr>
              <w:t xml:space="preserve">H‑07</w:t>
            </w:r>
          </w:p>
        </w:tc>
        <w:tc>
          <w:tcPr>
            <w:tcW w:w="1892" w:type="dxa"/>
          </w:tcPr>
          <w:p>
            <w:pPr>
              <w:keepNext/>
              <w:spacing w:before="40" w:after="40" w:line="240" w:lineRule="auto"/>
              <w:ind w:left="0" w:firstLine="0"/>
              <w:jc w:val="left"/>
            </w:pPr>
            <w:r>
              <w:rPr>
                <w:sz w:val="20"/>
                <w:szCs w:val="20"/>
              </w:rPr>
              <w:t xml:space="preserve">Sin análisis de dependencias</w:t>
            </w:r>
          </w:p>
        </w:tc>
        <w:tc>
          <w:tcPr>
            <w:tcW w:w="853" w:type="dxa"/>
          </w:tcPr>
          <w:p>
            <w:pPr>
              <w:keepNext/>
              <w:spacing w:before="40" w:after="40" w:line="240" w:lineRule="auto"/>
              <w:ind w:left="0" w:firstLine="0"/>
              <w:jc w:val="left"/>
            </w:pPr>
            <w:r>
              <w:rPr>
                <w:sz w:val="20"/>
                <w:szCs w:val="20"/>
              </w:rPr>
              <w:t xml:space="preserve">Baja</w:t>
            </w:r>
          </w:p>
        </w:tc>
        <w:tc>
          <w:tcPr>
            <w:tcW w:w="3211" w:type="dxa"/>
          </w:tcPr>
          <w:p>
            <w:pPr>
              <w:keepNext/>
              <w:spacing w:before="40" w:after="40" w:line="240" w:lineRule="auto"/>
              <w:ind w:left="0" w:firstLine="0"/>
              <w:jc w:val="left"/>
            </w:pPr>
            <w:r>
              <w:rPr>
                <w:sz w:val="20"/>
                <w:szCs w:val="20"/>
              </w:rPr>
              <w:t xml:space="preserve">Cerrado: cero vulnerabilidades conocidas en los 113 paquetes de pub.dev inventariados antes de T‑43, con control positivo.</w:t>
            </w:r>
          </w:p>
        </w:tc>
        <w:tc>
          <w:tcPr>
            <w:tcW w:w="1210" w:type="dxa"/>
          </w:tcPr>
          <w:p>
            <w:pPr>
              <w:keepNext/>
              <w:spacing w:before="40" w:after="40" w:line="240" w:lineRule="auto"/>
              <w:ind w:left="0" w:firstLine="0"/>
              <w:jc w:val="left"/>
            </w:pPr>
            <w:r>
              <w:rPr>
                <w:sz w:val="20"/>
                <w:szCs w:val="20"/>
              </w:rPr>
              <w:t xml:space="preserve">591f99a</w:t>
            </w:r>
          </w:p>
        </w:tc>
      </w:tr>
    </w:tbl>
    <w:p>
      <w:pPr>
        <w:spacing w:before="80" w:after="880"/>
        <w:ind w:left="850" w:firstLine="0"/>
        <w:jc w:val="left"/>
      </w:pPr>
      <w:r>
        <w:rPr>
          <w:b/>
        </w:rPr>
        <w:t xml:space="preserve">Fuente: </w:t>
      </w:r>
      <w:r>
        <w:t xml:space="preserve">Elaboración propia, con base en la línea base del Sprint 1 (Martínez Aldana, 2026c) y en OWASP Foundation (2024, 2025).</w:t>
      </w:r>
    </w:p>
    <w:p>
      <w:pPr>
        <w:pStyle w:val="Heading3"/>
        <w:spacing w:before="0" w:after="760"/>
      </w:pPr>
      <w:r>
        <w:t xml:space="preserve">Verificación de las reglas de acceso publicadas</w:t>
      </w:r>
    </w:p>
    <w:p>
      <w:pPr>
        <w:spacing w:after="880"/>
        <w:ind w:left="1276" w:firstLine="357"/>
        <w:jc w:val="both"/>
      </w:pPr>
      <w:r>
        <w:t xml:space="preserve">Las reglas de acceso se publicaron el 25 de septiembre en su variante sin autenticación, después de comprobar en el código que el producto no lee ni escribe en Firestore: el único acceso pertenece a la instrumentación de la hipótesis H5. La autenticación habría protegido una base que el producto no usa, a costa de una dependencia adicional y de rodear archivos de instrumentación que no se pueden modificar.</w:t>
      </w:r>
    </w:p>
    <w:p>
      <w:pPr>
        <w:spacing w:after="880"/>
        <w:ind w:left="1276" w:firstLine="357"/>
        <w:jc w:val="both"/>
      </w:pPr>
      <w:r>
        <w:t xml:space="preserve">La verificación ejecutó las reglas en lugar de leerlas. El simulador de reglas aprobó los seis casos previstos, incluido el rechazo de una medición creada ya cerrada; la serie de latencia cerró sus cuatro eventos y la reconciliación sus seis casos. La colección de mediciones quedó en 103 documentos, sin ninguno abierto, y su cuenta cuadra con el registro: 66 históricos, 3 de verificación de agosto, 30 de la serie de medición y 4 de esta verificación.</w:t>
      </w:r>
    </w:p>
    <w:p>
      <w:pPr>
        <w:spacing w:after="880"/>
        <w:ind w:left="1276" w:firstLine="357"/>
        <w:jc w:val="both"/>
      </w:pPr>
      <w:r>
        <w:t xml:space="preserve">La verificación registró además cuatro denegaciones de permiso, que son evidencia a favor. El receptor de la instrumentación intenta cerrar dos veces cada medición, y la regla rechaza el segundo cierre: es la garantía de que una medición se cierra una sola vez, observada en uso real y con su causa conocida.</w:t>
      </w:r>
    </w:p>
    <w:p>
      <w:pPr>
        <w:spacing w:after="880"/>
        <w:ind w:left="1276" w:firstLine="357"/>
        <w:jc w:val="both"/>
      </w:pPr>
      <w:r>
        <w:t xml:space="preserve">El riesgo residual se declara. Con la clave pública del proyecto temporal, un tercero podría crear una medición abierta y bien formada e introducir ruido en una corrida futura. Se mitiga acotando cada corrida en el tiempo y contando sus documentos uno por uno, no porque sea imposible.</w:t>
      </w:r>
    </w:p>
    <w:p>
      <w:pPr>
        <w:pStyle w:val="Heading3"/>
        <w:spacing w:before="0" w:after="760"/>
      </w:pPr>
      <w:r>
        <w:t xml:space="preserve">Registro de accesos y alertas</w:t>
      </w:r>
    </w:p>
    <w:p>
      <w:pPr>
        <w:spacing w:after="880"/>
        <w:ind w:left="1276" w:firstLine="357"/>
        <w:jc w:val="both"/>
      </w:pPr>
      <w:r>
        <w:t xml:space="preserve">Cloud Audit Logs registra los accesos anónimos a Firestore con su método y su dirección de origen. Se verificó con lecturas de prueba el 1 de octubre, y la consulta guardada muestra también consultas de conteo y escuchas; las escrituras anónimas no se probaron por separado. La mitad de alertas no pudo cumplirse: la política de alertas basada en registros se configuró y no se disparó en ningún intento, y la alternativa por métricas basadas en registros exige una cuenta de facturación, según indica la propia consola. La guía de solución de problemas de Google Cloud (s.f.) no menciona la facturación entre las causas, por lo que la explicación de la primera falla queda como la más probable, no como confirmada.</w:t>
      </w:r>
    </w:p>
    <w:p>
      <w:pPr>
        <w:spacing w:after="880"/>
        <w:ind w:left="1276" w:firstLine="357"/>
        <w:jc w:val="both"/>
      </w:pPr>
      <w:r>
        <w:t xml:space="preserve">El control quedó como limitación declarada y se reemplazó por una consulta guardada en el explorador de registros con un procedimiento de revisión manual: antes y después de cada sesión de medición y una vez por semana mientras exista el proyecto temporal. La primera revisión encontró 12 accesos en siete días, todos atribuibles a sesiones conocidas.</w:t>
      </w:r>
    </w:p>
    <w:p>
      <w:pPr>
        <w:pStyle w:val="Heading3"/>
        <w:spacing w:before="0" w:after="760"/>
      </w:pPr>
      <w:r>
        <w:t xml:space="preserve">Observación del tráfico de red del producto</w:t>
      </w:r>
    </w:p>
    <w:p>
      <w:pPr>
        <w:spacing w:after="880"/>
        <w:ind w:left="1276" w:firstLine="357"/>
        <w:jc w:val="both"/>
      </w:pPr>
      <w:r>
        <w:t xml:space="preserve">Que el producto no transmite datos del usuario se comprobó observando su tráfico, no leyendo su código. La Tabla 87 resume lo observado en los dos clientes donde se midió.</w:t>
      </w:r>
    </w:p>
    <w:p>
      <w:pPr>
        <w:keepNext/>
        <w:spacing w:after="0"/>
        <w:ind w:left="1276" w:firstLine="0"/>
        <w:jc w:val="left"/>
      </w:pPr>
      <w:r>
        <w:rPr>
          <w:b/>
        </w:rPr>
        <w:t>Tabla 87.</w:t>
      </w:r>
    </w:p>
    <w:p>
      <w:pPr>
        <w:keepNext/>
        <w:spacing w:after="0" w:line="480" w:lineRule="auto"/>
        <w:ind w:left="1276" w:firstLine="0"/>
        <w:jc w:val="left"/>
      </w:pPr>
      <w:r>
        <w:rPr>
          <w:i/>
        </w:rPr>
        <w:t xml:space="preserve">Tráfico de red observado en el producto final</w:t>
      </w:r>
    </w:p>
    <w:tbl>
      <w:tblPr>
        <w:tblStyle w:val="TableGrid"/>
        <w:tblW w:w="7455" w:type="dxa"/>
        <w:tblInd w:w="1384" w:type="dxa"/>
        <w:tblLayout w:type="fixed"/>
        <w:tblLook w:val="04A0" w:firstRow="1" w:lastRow="0" w:firstColumn="1" w:lastColumn="0" w:noHBand="0" w:noVBand="1"/>
      </w:tblPr>
      <w:tblGrid>
        <w:gridCol w:w="1487"/>
        <w:gridCol w:w="2826"/>
        <w:gridCol w:w="3142"/>
      </w:tblGrid>
      <w:tr>
        <w:trPr>
          <w:cantSplit/>
          <w:tblHeader/>
        </w:trPr>
        <w:tc>
          <w:tcPr>
            <w:tcW w:w="1487" w:type="dxa"/>
          </w:tcPr>
          <w:p>
            <w:pPr>
              <w:keepNext/>
              <w:spacing w:before="40" w:after="40" w:line="240" w:lineRule="auto"/>
              <w:ind w:left="0" w:firstLine="0"/>
              <w:jc w:val="left"/>
            </w:pPr>
            <w:r>
              <w:rPr>
                <w:b/>
                <w:sz w:val="20"/>
                <w:szCs w:val="20"/>
              </w:rPr>
              <w:t xml:space="preserve">Aspecto</w:t>
            </w:r>
          </w:p>
        </w:tc>
        <w:tc>
          <w:tcPr>
            <w:tcW w:w="2826" w:type="dxa"/>
          </w:tcPr>
          <w:p>
            <w:pPr>
              <w:keepNext/>
              <w:spacing w:before="40" w:after="40" w:line="240" w:lineRule="auto"/>
              <w:ind w:left="0" w:firstLine="0"/>
              <w:jc w:val="left"/>
            </w:pPr>
            <w:r>
              <w:rPr>
                <w:b/>
                <w:sz w:val="20"/>
                <w:szCs w:val="20"/>
              </w:rPr>
              <w:t xml:space="preserve">Web publicada, en Chrome</w:t>
            </w:r>
          </w:p>
        </w:tc>
        <w:tc>
          <w:tcPr>
            <w:tcW w:w="3142" w:type="dxa"/>
          </w:tcPr>
          <w:p>
            <w:pPr>
              <w:keepNext/>
              <w:spacing w:before="40" w:after="40" w:line="240" w:lineRule="auto"/>
              <w:ind w:left="0" w:firstLine="0"/>
              <w:jc w:val="left"/>
            </w:pPr>
            <w:r>
              <w:rPr>
                <w:b/>
                <w:sz w:val="20"/>
                <w:szCs w:val="20"/>
              </w:rPr>
              <w:t xml:space="preserve">Android: Honor X5d con el APK final</w:t>
            </w:r>
          </w:p>
        </w:tc>
      </w:tr>
      <w:tr>
        <w:trPr>
          <w:cantSplit/>
        </w:trPr>
        <w:tc>
          <w:tcPr>
            <w:tcW w:w="1487" w:type="dxa"/>
          </w:tcPr>
          <w:p>
            <w:pPr>
              <w:spacing w:before="40" w:after="40" w:line="240" w:lineRule="auto"/>
              <w:ind w:left="0" w:firstLine="0"/>
              <w:jc w:val="left"/>
            </w:pPr>
            <w:r>
              <w:rPr>
                <w:b/>
                <w:sz w:val="20"/>
                <w:szCs w:val="20"/>
              </w:rPr>
              <w:t xml:space="preserve">Instrumento</w:t>
            </w:r>
          </w:p>
        </w:tc>
        <w:tc>
          <w:tcPr>
            <w:tcW w:w="2826" w:type="dxa"/>
          </w:tcPr>
          <w:p>
            <w:pPr>
              <w:spacing w:before="40" w:after="40" w:line="240" w:lineRule="auto"/>
              <w:ind w:left="0" w:firstLine="0"/>
              <w:jc w:val="left"/>
            </w:pPr>
            <w:r>
              <w:rPr>
                <w:sz w:val="20"/>
                <w:szCs w:val="20"/>
              </w:rPr>
              <w:t xml:space="preserve">Registro de red del navegador y entradas de recursos de la página</w:t>
            </w:r>
          </w:p>
        </w:tc>
        <w:tc>
          <w:tcPr>
            <w:tcW w:w="3142" w:type="dxa"/>
          </w:tcPr>
          <w:p>
            <w:pPr>
              <w:spacing w:before="40" w:after="40" w:line="240" w:lineRule="auto"/>
              <w:ind w:left="0" w:firstLine="0"/>
              <w:jc w:val="left"/>
            </w:pPr>
            <w:r>
              <w:rPr>
                <w:sz w:val="20"/>
                <w:szCs w:val="20"/>
              </w:rPr>
              <w:t xml:space="preserve">Sonda de conexiones, sondeo de sockets TCP y UDP, contadores del sistema por aplicación y su historial</w:t>
            </w:r>
          </w:p>
        </w:tc>
      </w:tr>
      <w:tr>
        <w:trPr>
          <w:cantSplit/>
        </w:trPr>
        <w:tc>
          <w:tcPr>
            <w:tcW w:w="1487" w:type="dxa"/>
          </w:tcPr>
          <w:p>
            <w:pPr>
              <w:spacing w:before="40" w:after="40" w:line="240" w:lineRule="auto"/>
              <w:ind w:left="0" w:firstLine="0"/>
              <w:jc w:val="left"/>
            </w:pPr>
            <w:r>
              <w:rPr>
                <w:b/>
                <w:sz w:val="20"/>
                <w:szCs w:val="20"/>
              </w:rPr>
              <w:t xml:space="preserve">Operaciones</w:t>
            </w:r>
          </w:p>
        </w:tc>
        <w:tc>
          <w:tcPr>
            <w:tcW w:w="2826" w:type="dxa"/>
          </w:tcPr>
          <w:p>
            <w:pPr>
              <w:spacing w:before="40" w:after="40" w:line="240" w:lineRule="auto"/>
              <w:ind w:left="0" w:firstLine="0"/>
              <w:jc w:val="left"/>
            </w:pPr>
            <w:r>
              <w:rPr>
                <w:sz w:val="20"/>
                <w:szCs w:val="20"/>
              </w:rPr>
              <w:t xml:space="preserve">Arranque, carga de dos archivos, plano, estadísticas y búsqueda</w:t>
            </w:r>
          </w:p>
        </w:tc>
        <w:tc>
          <w:tcPr>
            <w:tcW w:w="3142" w:type="dxa"/>
          </w:tcPr>
          <w:p>
            <w:pPr>
              <w:spacing w:before="40" w:after="40" w:line="240" w:lineRule="auto"/>
              <w:ind w:left="0" w:firstLine="0"/>
              <w:jc w:val="left"/>
            </w:pPr>
            <w:r>
              <w:rPr>
                <w:sz w:val="20"/>
                <w:szCs w:val="20"/>
              </w:rPr>
              <w:t xml:space="preserve">Arranque en frío y siete operaciones, de abrir desde Recientes a cinco minutos en segundo plano</w:t>
            </w:r>
          </w:p>
        </w:tc>
      </w:tr>
      <w:tr>
        <w:trPr>
          <w:cantSplit/>
        </w:trPr>
        <w:tc>
          <w:tcPr>
            <w:tcW w:w="1487" w:type="dxa"/>
          </w:tcPr>
          <w:p>
            <w:pPr>
              <w:spacing w:before="40" w:after="40" w:line="240" w:lineRule="auto"/>
              <w:ind w:left="0" w:firstLine="0"/>
              <w:jc w:val="left"/>
            </w:pPr>
            <w:r>
              <w:rPr>
                <w:b/>
                <w:sz w:val="20"/>
                <w:szCs w:val="20"/>
              </w:rPr>
              <w:t xml:space="preserve">Resultado</w:t>
            </w:r>
          </w:p>
        </w:tc>
        <w:tc>
          <w:tcPr>
            <w:tcW w:w="2826" w:type="dxa"/>
          </w:tcPr>
          <w:p>
            <w:pPr>
              <w:spacing w:before="40" w:after="40" w:line="240" w:lineRule="auto"/>
              <w:ind w:left="0" w:firstLine="0"/>
              <w:jc w:val="left"/>
            </w:pPr>
            <w:r>
              <w:rPr>
                <w:sz w:val="20"/>
                <w:szCs w:val="20"/>
              </w:rPr>
              <w:t xml:space="preserve">Al arrancar, 13 descargas de la propia app, del motor de Flutter, del SDK de Firebase y de fuentes. Durante las operaciones, ninguna petición; ninguna a Firestore.</w:t>
            </w:r>
          </w:p>
        </w:tc>
        <w:tc>
          <w:tcPr>
            <w:tcW w:w="3142" w:type="dxa"/>
          </w:tcPr>
          <w:p>
            <w:pPr>
              <w:spacing w:before="40" w:after="40" w:line="240" w:lineRule="auto"/>
              <w:ind w:left="0" w:firstLine="0"/>
              <w:jc w:val="left"/>
            </w:pPr>
            <w:r>
              <w:rPr>
                <w:sz w:val="20"/>
                <w:szCs w:val="20"/>
              </w:rPr>
              <w:t xml:space="preserve">Cero conexiones, cero sockets y cero bytes de la aplicación. Los controles positivos sí detectan tráfico.</w:t>
            </w:r>
          </w:p>
        </w:tc>
      </w:tr>
      <w:tr>
        <w:trPr>
          <w:cantSplit/>
        </w:trPr>
        <w:tc>
          <w:tcPr>
            <w:tcW w:w="1487" w:type="dxa"/>
          </w:tcPr>
          <w:p>
            <w:pPr>
              <w:keepNext/>
              <w:spacing w:before="40" w:after="40" w:line="240" w:lineRule="auto"/>
              <w:ind w:left="0" w:firstLine="0"/>
              <w:jc w:val="left"/>
            </w:pPr>
            <w:r>
              <w:rPr>
                <w:b/>
                <w:sz w:val="20"/>
                <w:szCs w:val="20"/>
              </w:rPr>
              <w:t xml:space="preserve">Límite</w:t>
            </w:r>
          </w:p>
        </w:tc>
        <w:tc>
          <w:tcPr>
            <w:tcW w:w="2826" w:type="dxa"/>
          </w:tcPr>
          <w:p>
            <w:pPr>
              <w:keepNext/>
              <w:spacing w:before="40" w:after="40" w:line="240" w:lineRule="auto"/>
              <w:ind w:left="0" w:firstLine="0"/>
              <w:jc w:val="left"/>
            </w:pPr>
            <w:r>
              <w:rPr>
                <w:sz w:val="20"/>
                <w:szCs w:val="20"/>
              </w:rPr>
              <w:t xml:space="preserve">No ve las peticiones internas del </w:t>
            </w:r>
            <w:r>
              <w:rPr>
                <w:i/>
                <w:sz w:val="20"/>
                <w:szCs w:val="20"/>
              </w:rPr>
              <w:t xml:space="preserve">service worker</w:t>
            </w:r>
          </w:p>
        </w:tc>
        <w:tc>
          <w:tcPr>
            <w:tcW w:w="3142" w:type="dxa"/>
          </w:tcPr>
          <w:p>
            <w:pPr>
              <w:keepNext/>
              <w:spacing w:before="40" w:after="40" w:line="240" w:lineRule="auto"/>
              <w:ind w:left="0" w:firstLine="0"/>
              <w:jc w:val="left"/>
            </w:pPr>
            <w:r>
              <w:rPr>
                <w:sz w:val="20"/>
                <w:szCs w:val="20"/>
              </w:rPr>
              <w:t xml:space="preserve">En segundo plano el sistema bloquea la red; se añadió un tramo en primer plano, también en cero</w:t>
            </w:r>
          </w:p>
        </w:tc>
      </w:tr>
    </w:tbl>
    <w:p>
      <w:pPr>
        <w:spacing w:before="80" w:after="880"/>
        <w:ind w:left="1276" w:firstLine="0"/>
        <w:jc w:val="left"/>
      </w:pPr>
      <w:r>
        <w:rPr>
          <w:b/>
        </w:rPr>
        <w:t xml:space="preserve">Fuente: </w:t>
      </w:r>
      <w:r>
        <w:t xml:space="preserve">Elaboración propia, con base en las mediciones de T‑44 y de T‑65.</w:t>
      </w:r>
    </w:p>
    <w:p>
      <w:pPr>
        <w:spacing w:after="880"/>
        <w:ind w:left="1276" w:firstLine="357"/>
        <w:jc w:val="both"/>
      </w:pPr>
      <w:r>
        <w:t xml:space="preserve">El hallazgo de método de la columna de Android merece registrarse. Con la aplicación en segundo plano, Android le bloquea la red, de modo que un cero en ese tramo no prueba que la aplicación no intentaría transmitir. El programador lo detectó al revisar el estado del sistema y lo resolvió midiendo cinco minutos más con la aplicación en primer plano y la red permitida.</w:t>
      </w:r>
    </w:p>
    <w:p>
      <w:pPr>
        <w:pStyle w:val="Heading3"/>
        <w:spacing w:before="0" w:after="760"/>
      </w:pPr>
      <w:r>
        <w:t xml:space="preserve">Hallazgos nuevos del sprint</w:t>
      </w:r>
    </w:p>
    <w:p>
      <w:pPr>
        <w:spacing w:after="880"/>
        <w:ind w:left="1276" w:firstLine="357"/>
        <w:jc w:val="both"/>
      </w:pPr>
      <w:r>
        <w:t xml:space="preserve">El sprint produjo tres hallazgos de seguridad que no estaban en la línea base.</w:t>
      </w:r>
    </w:p>
    <w:p>
      <w:pPr>
        <w:numPr>
          <w:ilvl w:val="0"/>
          <w:numId w:val="50"/>
        </w:numPr>
        <w:spacing w:after="880"/>
        <w:ind w:left="1985" w:hanging="709"/>
        <w:jc w:val="both"/>
      </w:pPr>
      <w:r>
        <w:t xml:space="preserve">Un archivo de configuración con la contraseña de la clave de firma se guardó con una extensión .txt que el sistema operativo ocultaba. Con ese nombre la compilación no lo leía y el control de versiones no lo excluía. Se renombró sin leer su contenido, y la regla de exclusión pasó a cubrir cualquier variante del nombre.</w:t>
      </w:r>
    </w:p>
    <w:p>
      <w:pPr>
        <w:numPr>
          <w:ilvl w:val="0"/>
          <w:numId w:val="50"/>
        </w:numPr>
        <w:spacing w:after="880"/>
        <w:ind w:left="1985" w:hanging="709"/>
        <w:jc w:val="both"/>
      </w:pPr>
      <w:r>
        <w:t xml:space="preserve">Las opciones de Firebase del proyecto temporal permanecen en el historial público del repositorio; retirarlas del código no las borra de ahí. No son secretas: la documentación de Firebase establece que las claves restringidas a sus servicios pueden incluirse en el código, y lo que protege los datos son las reglas (Firebase, s.f.).</w:t>
      </w:r>
    </w:p>
    <w:p>
      <w:pPr>
        <w:numPr>
          <w:ilvl w:val="0"/>
          <w:numId w:val="50"/>
        </w:numPr>
        <w:spacing w:after="880"/>
        <w:ind w:left="1985" w:hanging="709"/>
        <w:jc w:val="both"/>
      </w:pPr>
      <w:r>
        <w:t xml:space="preserve">El manifiesto de Android deja activo el respaldo automático del sistema. Para la sección de seguridad de los datos de Google Play queda como decisión del autor si se desactiva o se declara.</w:t>
      </w:r>
    </w:p>
    <w:p>
      <w:pPr>
        <w:pStyle w:val="Heading2"/>
        <w:spacing w:before="0" w:after="760"/>
      </w:pPr>
      <w:r>
        <w:t xml:space="preserve">Despliegue</w:t>
      </w:r>
    </w:p>
    <w:p>
      <w:pPr>
        <w:spacing w:after="880"/>
        <w:ind w:left="850" w:firstLine="357"/>
        <w:jc w:val="both"/>
      </w:pPr>
      <w:r>
        <w:t xml:space="preserve">La Tabla 88 resume el estado de TC‑04 y de la instrumentación que el despliegue debía preservar.</w:t>
      </w:r>
    </w:p>
    <w:p>
      <w:pPr>
        <w:keepNext/>
        <w:spacing w:after="0"/>
        <w:ind w:left="850" w:firstLine="0"/>
        <w:jc w:val="left"/>
      </w:pPr>
      <w:r>
        <w:rPr>
          <w:b/>
        </w:rPr>
        <w:t>Tabla 88.</w:t>
      </w:r>
    </w:p>
    <w:p>
      <w:pPr>
        <w:keepNext/>
        <w:spacing w:after="0" w:line="480" w:lineRule="auto"/>
        <w:ind w:left="850" w:firstLine="0"/>
        <w:jc w:val="left"/>
      </w:pPr>
      <w:r>
        <w:rPr>
          <w:i/>
        </w:rPr>
        <w:t xml:space="preserve">Estado del despliegue al cierre del Sprint 2</w:t>
      </w:r>
    </w:p>
    <w:tbl>
      <w:tblPr>
        <w:tblStyle w:val="TableGrid"/>
        <w:tblW w:w="7881" w:type="dxa"/>
        <w:tblInd w:w="958" w:type="dxa"/>
        <w:tblLayout w:type="fixed"/>
        <w:tblLook w:val="04A0" w:firstRow="1" w:lastRow="0" w:firstColumn="1" w:lastColumn="0" w:noHBand="0" w:noVBand="1"/>
      </w:tblPr>
      <w:tblGrid>
        <w:gridCol w:w="1831"/>
        <w:gridCol w:w="4617"/>
        <w:gridCol w:w="1433"/>
      </w:tblGrid>
      <w:tr>
        <w:trPr>
          <w:cantSplit/>
          <w:tblHeader/>
        </w:trPr>
        <w:tc>
          <w:tcPr>
            <w:tcW w:w="1831" w:type="dxa"/>
          </w:tcPr>
          <w:p>
            <w:pPr>
              <w:keepNext/>
              <w:spacing w:before="40" w:after="40" w:line="240" w:lineRule="auto"/>
              <w:ind w:left="0" w:firstLine="0"/>
              <w:jc w:val="left"/>
            </w:pPr>
            <w:r>
              <w:rPr>
                <w:b/>
                <w:sz w:val="20"/>
                <w:szCs w:val="20"/>
              </w:rPr>
              <w:t xml:space="preserve">Componente</w:t>
            </w:r>
          </w:p>
        </w:tc>
        <w:tc>
          <w:tcPr>
            <w:tcW w:w="4617" w:type="dxa"/>
          </w:tcPr>
          <w:p>
            <w:pPr>
              <w:keepNext/>
              <w:spacing w:before="40" w:after="40" w:line="240" w:lineRule="auto"/>
              <w:ind w:left="0" w:firstLine="0"/>
              <w:jc w:val="left"/>
            </w:pPr>
            <w:r>
              <w:rPr>
                <w:b/>
                <w:sz w:val="20"/>
                <w:szCs w:val="20"/>
              </w:rPr>
              <w:t xml:space="preserve">Estado</w:t>
            </w:r>
          </w:p>
        </w:tc>
        <w:tc>
          <w:tcPr>
            <w:tcW w:w="1433" w:type="dxa"/>
          </w:tcPr>
          <w:p>
            <w:pPr>
              <w:keepNext/>
              <w:spacing w:before="40" w:after="40" w:line="240" w:lineRule="auto"/>
              <w:ind w:left="0" w:firstLine="0"/>
              <w:jc w:val="left"/>
            </w:pPr>
            <w:r>
              <w:rPr>
                <w:b/>
                <w:sz w:val="20"/>
                <w:szCs w:val="20"/>
              </w:rPr>
              <w:t xml:space="preserve">Evidencia</w:t>
            </w:r>
          </w:p>
        </w:tc>
      </w:tr>
      <w:tr>
        <w:trPr>
          <w:cantSplit/>
        </w:trPr>
        <w:tc>
          <w:tcPr>
            <w:tcW w:w="1831" w:type="dxa"/>
          </w:tcPr>
          <w:p>
            <w:pPr>
              <w:spacing w:before="40" w:after="40" w:line="240" w:lineRule="auto"/>
              <w:ind w:left="0" w:firstLine="0"/>
              <w:jc w:val="left"/>
            </w:pPr>
            <w:r>
              <w:rPr>
                <w:b/>
                <w:sz w:val="20"/>
                <w:szCs w:val="20"/>
              </w:rPr>
              <w:t xml:space="preserve">Proyecto de producción</w:t>
            </w:r>
          </w:p>
        </w:tc>
        <w:tc>
          <w:tcPr>
            <w:tcW w:w="4617" w:type="dxa"/>
          </w:tcPr>
          <w:p>
            <w:pPr>
              <w:spacing w:before="40" w:after="40" w:line="240" w:lineRule="auto"/>
              <w:ind w:left="0" w:firstLine="0"/>
              <w:jc w:val="left"/>
            </w:pPr>
            <w:r>
              <w:rPr>
                <w:sz w:val="20"/>
                <w:szCs w:val="20"/>
              </w:rPr>
              <w:t xml:space="preserve">Creado en el plan gratuito, con las apps Web y Android registradas y sin base de datos.</w:t>
            </w:r>
          </w:p>
        </w:tc>
        <w:tc>
          <w:tcPr>
            <w:tcW w:w="1433" w:type="dxa"/>
          </w:tcPr>
          <w:p>
            <w:pPr>
              <w:spacing w:before="40" w:after="40" w:line="240" w:lineRule="auto"/>
              <w:ind w:left="0" w:firstLine="0"/>
              <w:jc w:val="left"/>
            </w:pPr>
            <w:r>
              <w:rPr>
                <w:sz w:val="20"/>
                <w:szCs w:val="20"/>
              </w:rPr>
              <w:t xml:space="preserve">T‑47</w:t>
            </w:r>
          </w:p>
        </w:tc>
      </w:tr>
      <w:tr>
        <w:trPr>
          <w:cantSplit/>
        </w:trPr>
        <w:tc>
          <w:tcPr>
            <w:tcW w:w="1831" w:type="dxa"/>
          </w:tcPr>
          <w:p>
            <w:pPr>
              <w:spacing w:before="40" w:after="40" w:line="240" w:lineRule="auto"/>
              <w:ind w:left="0" w:firstLine="0"/>
              <w:jc w:val="left"/>
            </w:pPr>
            <w:r>
              <w:rPr>
                <w:b/>
                <w:sz w:val="20"/>
                <w:szCs w:val="20"/>
              </w:rPr>
              <w:t xml:space="preserve">Credenciales</w:t>
            </w:r>
          </w:p>
        </w:tc>
        <w:tc>
          <w:tcPr>
            <w:tcW w:w="4617" w:type="dxa"/>
          </w:tcPr>
          <w:p>
            <w:pPr>
              <w:spacing w:before="40" w:after="40" w:line="240" w:lineRule="auto"/>
              <w:ind w:left="0" w:firstLine="0"/>
              <w:jc w:val="left"/>
            </w:pPr>
            <w:r>
              <w:rPr>
                <w:sz w:val="20"/>
                <w:szCs w:val="20"/>
              </w:rPr>
              <w:t xml:space="preserve">Fuera del código: se leen al compilar de un archivo que no está en el repositorio.</w:t>
            </w:r>
          </w:p>
        </w:tc>
        <w:tc>
          <w:tcPr>
            <w:tcW w:w="1433" w:type="dxa"/>
          </w:tcPr>
          <w:p>
            <w:pPr>
              <w:spacing w:before="40" w:after="40" w:line="240" w:lineRule="auto"/>
              <w:ind w:left="0" w:firstLine="0"/>
              <w:jc w:val="left"/>
            </w:pPr>
            <w:r>
              <w:rPr>
                <w:sz w:val="20"/>
                <w:szCs w:val="20"/>
              </w:rPr>
              <w:t xml:space="preserve">T‑47, ba7353a</w:t>
            </w:r>
          </w:p>
        </w:tc>
      </w:tr>
      <w:tr>
        <w:trPr>
          <w:cantSplit/>
        </w:trPr>
        <w:tc>
          <w:tcPr>
            <w:tcW w:w="1831" w:type="dxa"/>
          </w:tcPr>
          <w:p>
            <w:pPr>
              <w:spacing w:before="40" w:after="40" w:line="240" w:lineRule="auto"/>
              <w:ind w:left="0" w:firstLine="0"/>
              <w:jc w:val="left"/>
            </w:pPr>
            <w:r>
              <w:rPr>
                <w:b/>
                <w:sz w:val="20"/>
                <w:szCs w:val="20"/>
              </w:rPr>
              <w:t xml:space="preserve">Identificador</w:t>
            </w:r>
          </w:p>
        </w:tc>
        <w:tc>
          <w:tcPr>
            <w:tcW w:w="4617" w:type="dxa"/>
          </w:tcPr>
          <w:p>
            <w:pPr>
              <w:spacing w:before="40" w:after="40" w:line="240" w:lineRule="auto"/>
              <w:ind w:left="0" w:firstLine="0"/>
              <w:jc w:val="left"/>
            </w:pPr>
            <w:r>
              <w:rPr>
                <w:sz w:val="20"/>
                <w:szCs w:val="20"/>
              </w:rPr>
              <w:t xml:space="preserve">gt.cmartinez.baystream en Android, Windows y Firebase.</w:t>
            </w:r>
          </w:p>
        </w:tc>
        <w:tc>
          <w:tcPr>
            <w:tcW w:w="1433" w:type="dxa"/>
          </w:tcPr>
          <w:p>
            <w:pPr>
              <w:spacing w:before="40" w:after="40" w:line="240" w:lineRule="auto"/>
              <w:ind w:left="0" w:firstLine="0"/>
              <w:jc w:val="left"/>
            </w:pPr>
            <w:r>
              <w:rPr>
                <w:sz w:val="20"/>
                <w:szCs w:val="20"/>
              </w:rPr>
              <w:t xml:space="preserve">T‑47</w:t>
            </w:r>
          </w:p>
        </w:tc>
      </w:tr>
      <w:tr>
        <w:trPr>
          <w:cantSplit/>
        </w:trPr>
        <w:tc>
          <w:tcPr>
            <w:tcW w:w="1831" w:type="dxa"/>
          </w:tcPr>
          <w:p>
            <w:pPr>
              <w:spacing w:before="40" w:after="40" w:line="240" w:lineRule="auto"/>
              <w:ind w:left="0" w:firstLine="0"/>
              <w:jc w:val="left"/>
            </w:pPr>
            <w:r>
              <w:rPr>
                <w:b/>
                <w:sz w:val="20"/>
                <w:szCs w:val="20"/>
              </w:rPr>
              <w:t xml:space="preserve">Cliente Web</w:t>
            </w:r>
          </w:p>
        </w:tc>
        <w:tc>
          <w:tcPr>
            <w:tcW w:w="4617" w:type="dxa"/>
          </w:tcPr>
          <w:p>
            <w:pPr>
              <w:spacing w:before="40" w:after="40" w:line="240" w:lineRule="auto"/>
              <w:ind w:left="0" w:firstLine="0"/>
              <w:jc w:val="left"/>
            </w:pPr>
            <w:r>
              <w:rPr>
                <w:sz w:val="20"/>
                <w:szCs w:val="20"/>
              </w:rPr>
              <w:t xml:space="preserve">Publicado en https://baystream-app.web.app. El archivo publicado es idéntico al medido, y el almacén local sobrevive a la recarga.</w:t>
            </w:r>
          </w:p>
        </w:tc>
        <w:tc>
          <w:tcPr>
            <w:tcW w:w="1433" w:type="dxa"/>
          </w:tcPr>
          <w:p>
            <w:pPr>
              <w:spacing w:before="40" w:after="40" w:line="240" w:lineRule="auto"/>
              <w:ind w:left="0" w:firstLine="0"/>
              <w:jc w:val="left"/>
            </w:pPr>
            <w:r>
              <w:rPr>
                <w:sz w:val="20"/>
                <w:szCs w:val="20"/>
              </w:rPr>
              <w:t xml:space="preserve">T‑48, 080d589</w:t>
            </w:r>
          </w:p>
        </w:tc>
      </w:tr>
      <w:tr>
        <w:trPr>
          <w:cantSplit/>
        </w:trPr>
        <w:tc>
          <w:tcPr>
            <w:tcW w:w="1831" w:type="dxa"/>
          </w:tcPr>
          <w:p>
            <w:pPr>
              <w:spacing w:before="40" w:after="40" w:line="240" w:lineRule="auto"/>
              <w:ind w:left="0" w:firstLine="0"/>
              <w:jc w:val="left"/>
            </w:pPr>
            <w:r>
              <w:rPr>
                <w:b/>
                <w:sz w:val="20"/>
                <w:szCs w:val="20"/>
              </w:rPr>
              <w:t xml:space="preserve">Cliente Android</w:t>
            </w:r>
          </w:p>
        </w:tc>
        <w:tc>
          <w:tcPr>
            <w:tcW w:w="4617" w:type="dxa"/>
          </w:tcPr>
          <w:p>
            <w:pPr>
              <w:spacing w:before="40" w:after="40" w:line="240" w:lineRule="auto"/>
              <w:ind w:left="0" w:firstLine="0"/>
              <w:jc w:val="left"/>
            </w:pPr>
            <w:r>
              <w:rPr>
                <w:sz w:val="20"/>
                <w:szCs w:val="20"/>
              </w:rPr>
              <w:t xml:space="preserve">Paquete .aab firmado con la clave de subida y publicado el 3 de octubre en la prueba interna de Google Play, versión 1 (1.0.0), sin errores ni advertencias en la revisión de la consola. Falta instalarlo en el teléfono desde la tienda.</w:t>
            </w:r>
          </w:p>
        </w:tc>
        <w:tc>
          <w:tcPr>
            <w:tcW w:w="1433" w:type="dxa"/>
          </w:tcPr>
          <w:p>
            <w:pPr>
              <w:spacing w:before="40" w:after="40" w:line="240" w:lineRule="auto"/>
              <w:ind w:left="0" w:firstLine="0"/>
              <w:jc w:val="left"/>
            </w:pPr>
            <w:r>
              <w:rPr>
                <w:sz w:val="20"/>
                <w:szCs w:val="20"/>
              </w:rPr>
              <w:t xml:space="preserve">T‑49, b93027f</w:t>
            </w:r>
          </w:p>
        </w:tc>
      </w:tr>
      <w:tr>
        <w:trPr>
          <w:cantSplit/>
        </w:trPr>
        <w:tc>
          <w:tcPr>
            <w:tcW w:w="1831" w:type="dxa"/>
          </w:tcPr>
          <w:p>
            <w:pPr>
              <w:spacing w:before="40" w:after="40" w:line="240" w:lineRule="auto"/>
              <w:ind w:left="0" w:firstLine="0"/>
              <w:jc w:val="left"/>
            </w:pPr>
            <w:r>
              <w:rPr>
                <w:b/>
                <w:sz w:val="20"/>
                <w:szCs w:val="20"/>
              </w:rPr>
              <w:t xml:space="preserve">Cliente Windows</w:t>
            </w:r>
          </w:p>
        </w:tc>
        <w:tc>
          <w:tcPr>
            <w:tcW w:w="4617" w:type="dxa"/>
          </w:tcPr>
          <w:p>
            <w:pPr>
              <w:spacing w:before="40" w:after="40" w:line="240" w:lineRule="auto"/>
              <w:ind w:left="0" w:firstLine="0"/>
              <w:jc w:val="left"/>
            </w:pPr>
            <w:r>
              <w:rPr>
                <w:sz w:val="20"/>
                <w:szCs w:val="20"/>
              </w:rPr>
              <w:t xml:space="preserve">Binario de lanzamiento compilado y medido; el sprint no comprometía un canal de distribución para Windows.</w:t>
            </w:r>
          </w:p>
        </w:tc>
        <w:tc>
          <w:tcPr>
            <w:tcW w:w="1433" w:type="dxa"/>
          </w:tcPr>
          <w:p>
            <w:pPr>
              <w:spacing w:before="40" w:after="40" w:line="240" w:lineRule="auto"/>
              <w:ind w:left="0" w:firstLine="0"/>
              <w:jc w:val="left"/>
            </w:pPr>
            <w:r>
              <w:rPr>
                <w:sz w:val="20"/>
                <w:szCs w:val="20"/>
              </w:rPr>
              <w:t xml:space="preserve">T‑44</w:t>
            </w:r>
          </w:p>
        </w:tc>
      </w:tr>
      <w:tr>
        <w:trPr>
          <w:cantSplit/>
        </w:trPr>
        <w:tc>
          <w:tcPr>
            <w:tcW w:w="1831" w:type="dxa"/>
          </w:tcPr>
          <w:p>
            <w:pPr>
              <w:keepNext/>
              <w:spacing w:before="40" w:after="40" w:line="240" w:lineRule="auto"/>
              <w:ind w:left="0" w:firstLine="0"/>
              <w:jc w:val="left"/>
            </w:pPr>
            <w:r>
              <w:rPr>
                <w:b/>
                <w:sz w:val="20"/>
                <w:szCs w:val="20"/>
              </w:rPr>
              <w:t xml:space="preserve">Instrumentación de H5</w:t>
            </w:r>
          </w:p>
        </w:tc>
        <w:tc>
          <w:tcPr>
            <w:tcW w:w="4617" w:type="dxa"/>
          </w:tcPr>
          <w:p>
            <w:pPr>
              <w:keepNext/>
              <w:spacing w:before="40" w:after="40" w:line="240" w:lineRule="auto"/>
              <w:ind w:left="0" w:firstLine="0"/>
              <w:jc w:val="left"/>
            </w:pPr>
            <w:r>
              <w:rPr>
                <w:sz w:val="20"/>
                <w:szCs w:val="20"/>
              </w:rPr>
              <w:t xml:space="preserve">Sigue midiendo contra el proyecto temporal desde su propio punto de entrada; la colección conserva sus 103 documentos.</w:t>
            </w:r>
          </w:p>
        </w:tc>
        <w:tc>
          <w:tcPr>
            <w:tcW w:w="1433" w:type="dxa"/>
          </w:tcPr>
          <w:p>
            <w:pPr>
              <w:keepNext/>
              <w:spacing w:before="40" w:after="40" w:line="240" w:lineRule="auto"/>
              <w:ind w:left="0" w:firstLine="0"/>
              <w:jc w:val="left"/>
            </w:pPr>
            <w:r>
              <w:rPr>
                <w:sz w:val="20"/>
                <w:szCs w:val="20"/>
              </w:rPr>
              <w:t xml:space="preserve">T‑62, T‑47</w:t>
            </w:r>
          </w:p>
        </w:tc>
      </w:tr>
    </w:tbl>
    <w:p>
      <w:pPr>
        <w:spacing w:before="80" w:after="880"/>
        <w:ind w:left="850" w:firstLine="0"/>
        <w:jc w:val="left"/>
      </w:pPr>
      <w:r>
        <w:rPr>
          <w:b/>
        </w:rPr>
        <w:t xml:space="preserve">Fuente: </w:t>
      </w:r>
      <w:r>
        <w:t xml:space="preserve">Elaboración propia, con base en los informes de T‑47, T‑48, T‑49 y T‑62.</w:t>
      </w:r>
    </w:p>
    <w:p>
      <w:pPr>
        <w:spacing w:after="880"/>
        <w:ind w:left="850" w:firstLine="357"/>
        <w:jc w:val="both"/>
      </w:pPr>
      <w:r>
        <w:t xml:space="preserve">El criterio original de T‑49, instalar la aplicación desde el canal público, se redefinió el 30 de septiembre. Google exige a las cuentas personales de desarrollador nuevas una prueba cerrada con al menos 12 </w:t>
      </w:r>
      <w:r>
        <w:rPr>
          <w:i/>
        </w:rPr>
        <w:t xml:space="preserve">testers</w:t>
      </w:r>
      <w:r>
        <w:t xml:space="preserve"> durante 14 días continuos antes de solicitar el acceso a producción (Google, s.f.-a), plazo que no cabía antes del 17 de octubre. El criterio vigente es instalar la aplicación en el teléfono desde la prueba interna, que no tiene ese requisito y puede iniciarse antes de completar la configuración de la aplicación (Google, s.f.-b). La versión 1 (1.0.0) se publicó en ese canal el 3 de octubre, un día después de que Google verificara la identidad del autor.</w:t>
      </w:r>
    </w:p>
    <w:p>
      <w:pPr>
        <w:spacing w:after="880"/>
        <w:ind w:left="850" w:firstLine="357"/>
        <w:jc w:val="both"/>
      </w:pPr>
      <w:r>
        <w:t xml:space="preserve">Una limitación del cliente Web quedó declarada por decisión del autor: sin conexión ni caché, la página publicada no arranca, porque descarga el motor de dibujo y la fuente tipográfica de servidores de Google. Windows y Android sí arrancan sin red, y el caso de uso sin señal en el muelle lo cubre Android. Servir esos recursos desde el propio sitio queda para el sprint siguiente.</w:t>
      </w:r>
    </w:p>
    <w:p>
      <w:pPr>
        <w:pStyle w:val="Heading1"/>
        <w:spacing w:before="0" w:after="760"/>
      </w:pPr>
      <w:r>
        <w:t xml:space="preserve">Discusión</w:t>
      </w:r>
    </w:p>
    <w:p>
      <w:pPr>
        <w:spacing w:after="880"/>
        <w:ind w:left="425" w:firstLine="357"/>
        <w:jc w:val="both"/>
      </w:pPr>
      <w:r>
        <w:t xml:space="preserve">La discusión reúne la retrospectiva del sprint —qué conviene conservar, qué no funcionó y qué se cambia— y lo que el incremento implica para las hipótesis de la investigación.</w:t>
      </w:r>
    </w:p>
    <w:p>
      <w:pPr>
        <w:pStyle w:val="Heading2"/>
        <w:spacing w:before="0" w:after="760"/>
      </w:pPr>
      <w:r>
        <w:t xml:space="preserve">Retrospectiva: lo que conviene conservar</w:t>
      </w:r>
    </w:p>
    <w:p>
      <w:pPr>
        <w:numPr>
          <w:ilvl w:val="0"/>
          <w:numId w:val="50"/>
        </w:numPr>
        <w:spacing w:after="880"/>
        <w:ind w:left="1559" w:hanging="709"/>
        <w:jc w:val="both"/>
      </w:pPr>
      <w:r>
        <w:rPr>
          <w:b/>
        </w:rPr>
        <w:t xml:space="preserve">La holgura amplia.</w:t>
      </w:r>
      <w:r>
        <w:t xml:space="preserve"> El 34 % reservado al abrir el sprint absorbió 17 horas de trabajo no planificado, casi todo nacido de verificar contra archivos reales o de revisiones cruzadas, sin desplazar tareas comprometidas.</w:t>
      </w:r>
    </w:p>
    <w:p>
      <w:pPr>
        <w:numPr>
          <w:ilvl w:val="0"/>
          <w:numId w:val="50"/>
        </w:numPr>
        <w:spacing w:after="880"/>
        <w:ind w:left="1559" w:hanging="709"/>
        <w:jc w:val="both"/>
      </w:pPr>
      <w:r>
        <w:rPr>
          <w:b/>
        </w:rPr>
        <w:t xml:space="preserve">La identificación de cada binario por su resumen.</w:t>
      </w:r>
      <w:r>
        <w:t xml:space="preserve"> Permitió afirmar que la Web publicada es la misma que se midió, y detectar cuándo un resumen no probaba nada: el del ejecutable de Windows no cambia al recompilar, porque el código compilado vive en otro archivo.</w:t>
      </w:r>
    </w:p>
    <w:p>
      <w:pPr>
        <w:numPr>
          <w:ilvl w:val="0"/>
          <w:numId w:val="50"/>
        </w:numPr>
        <w:spacing w:after="880"/>
        <w:ind w:left="1559" w:hanging="709"/>
        <w:jc w:val="both"/>
      </w:pPr>
      <w:r>
        <w:rPr>
          <w:b/>
        </w:rPr>
        <w:t xml:space="preserve">Dos programadores en paralelo con reglas escritas.</w:t>
      </w:r>
      <w:r>
        <w:t xml:space="preserve"> Desde el 30 de septiembre trabajaron cada uno con su tarea en curso, un solo comando de Flutter por turno y el autor como árbitro, y el registro no anota ningún conflicto en el árbol de trabajo.</w:t>
      </w:r>
    </w:p>
    <w:p>
      <w:pPr>
        <w:numPr>
          <w:ilvl w:val="0"/>
          <w:numId w:val="50"/>
        </w:numPr>
        <w:spacing w:after="880"/>
        <w:ind w:left="1559" w:hanging="709"/>
        <w:jc w:val="both"/>
      </w:pPr>
      <w:r>
        <w:rPr>
          <w:b/>
        </w:rPr>
        <w:t xml:space="preserve">La doble prueba.</w:t>
      </w:r>
      <w:r>
        <w:t xml:space="preserve"> La Tabla 89 reúne nueve casos seleccionados en que una segunda revisión encontró algo que la primera había dado por bueno; el registro del sprint contiene otros.</w:t>
      </w:r>
    </w:p>
    <w:p>
      <w:pPr>
        <w:keepNext/>
        <w:spacing w:after="0"/>
        <w:ind w:left="850" w:firstLine="0"/>
        <w:jc w:val="left"/>
      </w:pPr>
      <w:r>
        <w:rPr>
          <w:b/>
        </w:rPr>
        <w:t>Tabla 89.</w:t>
      </w:r>
    </w:p>
    <w:p>
      <w:pPr>
        <w:keepNext/>
        <w:spacing w:after="0" w:line="480" w:lineRule="auto"/>
        <w:ind w:left="850" w:firstLine="0"/>
        <w:jc w:val="left"/>
      </w:pPr>
      <w:r>
        <w:rPr>
          <w:i/>
        </w:rPr>
        <w:t xml:space="preserve">Casos seleccionados del Sprint 2 en que la doble prueba encontró un error</w:t>
      </w:r>
    </w:p>
    <w:tbl>
      <w:tblPr>
        <w:tblStyle w:val="TableGrid"/>
        <w:tblW w:w="7881" w:type="dxa"/>
        <w:tblInd w:w="958" w:type="dxa"/>
        <w:tblLayout w:type="fixed"/>
        <w:tblLook w:val="04A0" w:firstRow="1" w:lastRow="0" w:firstColumn="1" w:lastColumn="0" w:noHBand="0" w:noVBand="1"/>
      </w:tblPr>
      <w:tblGrid>
        <w:gridCol w:w="481"/>
        <w:gridCol w:w="902"/>
        <w:gridCol w:w="3068"/>
        <w:gridCol w:w="3430"/>
      </w:tblGrid>
      <w:tr>
        <w:trPr>
          <w:cantSplit/>
          <w:tblHeader/>
        </w:trPr>
        <w:tc>
          <w:tcPr>
            <w:tcW w:w="481" w:type="dxa"/>
          </w:tcPr>
          <w:p>
            <w:pPr>
              <w:keepNext/>
              <w:spacing w:before="40" w:after="40" w:line="240" w:lineRule="auto"/>
              <w:ind w:left="0" w:firstLine="0"/>
              <w:jc w:val="left"/>
            </w:pPr>
            <w:r>
              <w:rPr>
                <w:b/>
                <w:sz w:val="20"/>
                <w:szCs w:val="20"/>
              </w:rPr>
              <w:t xml:space="preserve">#</w:t>
            </w:r>
          </w:p>
        </w:tc>
        <w:tc>
          <w:tcPr>
            <w:tcW w:w="902" w:type="dxa"/>
          </w:tcPr>
          <w:p>
            <w:pPr>
              <w:keepNext/>
              <w:spacing w:before="40" w:after="40" w:line="240" w:lineRule="auto"/>
              <w:ind w:left="0" w:firstLine="0"/>
              <w:jc w:val="left"/>
            </w:pPr>
            <w:r>
              <w:rPr>
                <w:b/>
                <w:sz w:val="20"/>
                <w:szCs w:val="20"/>
              </w:rPr>
              <w:t xml:space="preserve">Tarea</w:t>
            </w:r>
          </w:p>
        </w:tc>
        <w:tc>
          <w:tcPr>
            <w:tcW w:w="3068" w:type="dxa"/>
          </w:tcPr>
          <w:p>
            <w:pPr>
              <w:keepNext/>
              <w:spacing w:before="40" w:after="40" w:line="240" w:lineRule="auto"/>
              <w:ind w:left="0" w:firstLine="0"/>
              <w:jc w:val="left"/>
            </w:pPr>
            <w:r>
              <w:rPr>
                <w:b/>
                <w:sz w:val="20"/>
                <w:szCs w:val="20"/>
              </w:rPr>
              <w:t xml:space="preserve">Lo que se dio por bueno</w:t>
            </w:r>
          </w:p>
        </w:tc>
        <w:tc>
          <w:tcPr>
            <w:tcW w:w="3430" w:type="dxa"/>
          </w:tcPr>
          <w:p>
            <w:pPr>
              <w:keepNext/>
              <w:spacing w:before="40" w:after="40" w:line="240" w:lineRule="auto"/>
              <w:ind w:left="0" w:firstLine="0"/>
              <w:jc w:val="left"/>
            </w:pPr>
            <w:r>
              <w:rPr>
                <w:b/>
                <w:sz w:val="20"/>
                <w:szCs w:val="20"/>
              </w:rPr>
              <w:t xml:space="preserve">Lo que encontró la segunda revisión</w:t>
            </w:r>
          </w:p>
        </w:tc>
      </w:tr>
      <w:tr>
        <w:trPr>
          <w:cantSplit/>
        </w:trPr>
        <w:tc>
          <w:tcPr>
            <w:tcW w:w="481" w:type="dxa"/>
          </w:tcPr>
          <w:p>
            <w:pPr>
              <w:spacing w:before="40" w:after="40" w:line="240" w:lineRule="auto"/>
              <w:ind w:left="0" w:firstLine="0"/>
              <w:jc w:val="left"/>
            </w:pPr>
            <w:r>
              <w:rPr>
                <w:b/>
                <w:sz w:val="20"/>
                <w:szCs w:val="20"/>
              </w:rPr>
              <w:t xml:space="preserve">1</w:t>
            </w:r>
          </w:p>
        </w:tc>
        <w:tc>
          <w:tcPr>
            <w:tcW w:w="902" w:type="dxa"/>
          </w:tcPr>
          <w:p>
            <w:pPr>
              <w:spacing w:before="40" w:after="40" w:line="240" w:lineRule="auto"/>
              <w:ind w:left="0" w:firstLine="0"/>
              <w:jc w:val="left"/>
            </w:pPr>
            <w:r>
              <w:rPr>
                <w:sz w:val="20"/>
                <w:szCs w:val="20"/>
              </w:rPr>
              <w:t xml:space="preserve">T‑50</w:t>
            </w:r>
          </w:p>
        </w:tc>
        <w:tc>
          <w:tcPr>
            <w:tcW w:w="3068" w:type="dxa"/>
          </w:tcPr>
          <w:p>
            <w:pPr>
              <w:spacing w:before="40" w:after="40" w:line="240" w:lineRule="auto"/>
              <w:ind w:left="0" w:firstLine="0"/>
              <w:jc w:val="left"/>
            </w:pPr>
            <w:r>
              <w:rPr>
                <w:sz w:val="20"/>
                <w:szCs w:val="20"/>
              </w:rPr>
              <w:t xml:space="preserve">La detención de Android seguía activa</w:t>
            </w:r>
          </w:p>
        </w:tc>
        <w:tc>
          <w:tcPr>
            <w:tcW w:w="3430" w:type="dxa"/>
          </w:tcPr>
          <w:p>
            <w:pPr>
              <w:spacing w:before="40" w:after="40" w:line="240" w:lineRule="auto"/>
              <w:ind w:left="0" w:firstLine="0"/>
              <w:jc w:val="left"/>
            </w:pPr>
            <w:r>
              <w:rPr>
                <w:sz w:val="20"/>
                <w:szCs w:val="20"/>
              </w:rPr>
              <w:t xml:space="preserve">Era una frase de estado sin reproducción detrás; el fallo era del emulador</w:t>
            </w:r>
          </w:p>
        </w:tc>
      </w:tr>
      <w:tr>
        <w:trPr>
          <w:cantSplit/>
        </w:trPr>
        <w:tc>
          <w:tcPr>
            <w:tcW w:w="481" w:type="dxa"/>
          </w:tcPr>
          <w:p>
            <w:pPr>
              <w:spacing w:before="40" w:after="40" w:line="240" w:lineRule="auto"/>
              <w:ind w:left="0" w:firstLine="0"/>
              <w:jc w:val="left"/>
            </w:pPr>
            <w:r>
              <w:rPr>
                <w:b/>
                <w:sz w:val="20"/>
                <w:szCs w:val="20"/>
              </w:rPr>
              <w:t xml:space="preserve">2</w:t>
            </w:r>
          </w:p>
        </w:tc>
        <w:tc>
          <w:tcPr>
            <w:tcW w:w="902" w:type="dxa"/>
          </w:tcPr>
          <w:p>
            <w:pPr>
              <w:spacing w:before="40" w:after="40" w:line="240" w:lineRule="auto"/>
              <w:ind w:left="0" w:firstLine="0"/>
              <w:jc w:val="left"/>
            </w:pPr>
            <w:r>
              <w:rPr>
                <w:sz w:val="20"/>
                <w:szCs w:val="20"/>
              </w:rPr>
              <w:t xml:space="preserve">T‑45</w:t>
            </w:r>
          </w:p>
        </w:tc>
        <w:tc>
          <w:tcPr>
            <w:tcW w:w="3068" w:type="dxa"/>
          </w:tcPr>
          <w:p>
            <w:pPr>
              <w:spacing w:before="40" w:after="40" w:line="240" w:lineRule="auto"/>
              <w:ind w:left="0" w:firstLine="0"/>
              <w:jc w:val="left"/>
            </w:pPr>
            <w:r>
              <w:rPr>
                <w:sz w:val="20"/>
                <w:szCs w:val="20"/>
              </w:rPr>
              <w:t xml:space="preserve">Las condiciones de la regla impedían falsear una latencia</w:t>
            </w:r>
          </w:p>
        </w:tc>
        <w:tc>
          <w:tcPr>
            <w:tcW w:w="3430" w:type="dxa"/>
          </w:tcPr>
          <w:p>
            <w:pPr>
              <w:spacing w:before="40" w:after="40" w:line="240" w:lineRule="auto"/>
              <w:ind w:left="0" w:firstLine="0"/>
              <w:jc w:val="left"/>
            </w:pPr>
            <w:r>
              <w:rPr>
                <w:sz w:val="20"/>
                <w:szCs w:val="20"/>
              </w:rPr>
              <w:t xml:space="preserve">Una medición podía crearse ya cerrada</w:t>
            </w:r>
          </w:p>
        </w:tc>
      </w:tr>
      <w:tr>
        <w:trPr>
          <w:cantSplit/>
        </w:trPr>
        <w:tc>
          <w:tcPr>
            <w:tcW w:w="481" w:type="dxa"/>
          </w:tcPr>
          <w:p>
            <w:pPr>
              <w:spacing w:before="40" w:after="40" w:line="240" w:lineRule="auto"/>
              <w:ind w:left="0" w:firstLine="0"/>
              <w:jc w:val="left"/>
            </w:pPr>
            <w:r>
              <w:rPr>
                <w:b/>
                <w:sz w:val="20"/>
                <w:szCs w:val="20"/>
              </w:rPr>
              <w:t xml:space="preserve">3</w:t>
            </w:r>
          </w:p>
        </w:tc>
        <w:tc>
          <w:tcPr>
            <w:tcW w:w="902" w:type="dxa"/>
          </w:tcPr>
          <w:p>
            <w:pPr>
              <w:spacing w:before="40" w:after="40" w:line="240" w:lineRule="auto"/>
              <w:ind w:left="0" w:firstLine="0"/>
              <w:jc w:val="left"/>
            </w:pPr>
            <w:r>
              <w:rPr>
                <w:sz w:val="20"/>
                <w:szCs w:val="20"/>
              </w:rPr>
              <w:t xml:space="preserve">T‑55</w:t>
            </w:r>
          </w:p>
        </w:tc>
        <w:tc>
          <w:tcPr>
            <w:tcW w:w="3068" w:type="dxa"/>
          </w:tcPr>
          <w:p>
            <w:pPr>
              <w:spacing w:before="40" w:after="40" w:line="240" w:lineRule="auto"/>
              <w:ind w:left="0" w:firstLine="0"/>
              <w:jc w:val="left"/>
            </w:pPr>
            <w:r>
              <w:rPr>
                <w:sz w:val="20"/>
                <w:szCs w:val="20"/>
              </w:rPr>
              <w:t xml:space="preserve">RF‑027 terminado</w:t>
            </w:r>
          </w:p>
        </w:tc>
        <w:tc>
          <w:tcPr>
            <w:tcW w:w="3430" w:type="dxa"/>
          </w:tcPr>
          <w:p>
            <w:pPr>
              <w:spacing w:before="40" w:after="40" w:line="240" w:lineRule="auto"/>
              <w:ind w:left="0" w:firstLine="0"/>
              <w:jc w:val="left"/>
            </w:pPr>
            <w:r>
              <w:rPr>
                <w:sz w:val="20"/>
                <w:szCs w:val="20"/>
              </w:rPr>
              <w:t xml:space="preserve">Dos defectos latentes del modelo</w:t>
            </w:r>
          </w:p>
        </w:tc>
      </w:tr>
      <w:tr>
        <w:trPr>
          <w:cantSplit/>
        </w:trPr>
        <w:tc>
          <w:tcPr>
            <w:tcW w:w="481" w:type="dxa"/>
          </w:tcPr>
          <w:p>
            <w:pPr>
              <w:spacing w:before="40" w:after="40" w:line="240" w:lineRule="auto"/>
              <w:ind w:left="0" w:firstLine="0"/>
              <w:jc w:val="left"/>
            </w:pPr>
            <w:r>
              <w:rPr>
                <w:b/>
                <w:sz w:val="20"/>
                <w:szCs w:val="20"/>
              </w:rPr>
              <w:t xml:space="preserve">4</w:t>
            </w:r>
          </w:p>
        </w:tc>
        <w:tc>
          <w:tcPr>
            <w:tcW w:w="902" w:type="dxa"/>
          </w:tcPr>
          <w:p>
            <w:pPr>
              <w:spacing w:before="40" w:after="40" w:line="240" w:lineRule="auto"/>
              <w:ind w:left="0" w:firstLine="0"/>
              <w:jc w:val="left"/>
            </w:pPr>
            <w:r>
              <w:rPr>
                <w:sz w:val="20"/>
                <w:szCs w:val="20"/>
              </w:rPr>
              <w:t xml:space="preserve">T‑58</w:t>
            </w:r>
          </w:p>
        </w:tc>
        <w:tc>
          <w:tcPr>
            <w:tcW w:w="3068" w:type="dxa"/>
          </w:tcPr>
          <w:p>
            <w:pPr>
              <w:spacing w:before="40" w:after="40" w:line="240" w:lineRule="auto"/>
              <w:ind w:left="0" w:firstLine="0"/>
              <w:jc w:val="left"/>
            </w:pPr>
            <w:r>
              <w:rPr>
                <w:sz w:val="20"/>
                <w:szCs w:val="20"/>
              </w:rPr>
              <w:t xml:space="preserve">La especificación de la fila 00</w:t>
            </w:r>
          </w:p>
        </w:tc>
        <w:tc>
          <w:tcPr>
            <w:tcW w:w="3430" w:type="dxa"/>
          </w:tcPr>
          <w:p>
            <w:pPr>
              <w:spacing w:before="40" w:after="40" w:line="240" w:lineRule="auto"/>
              <w:ind w:left="0" w:firstLine="0"/>
              <w:jc w:val="left"/>
            </w:pPr>
            <w:r>
              <w:rPr>
                <w:sz w:val="20"/>
                <w:szCs w:val="20"/>
              </w:rPr>
              <w:t xml:space="preserve">Generaba alertas falsas en un perfil histórico</w:t>
            </w:r>
          </w:p>
        </w:tc>
      </w:tr>
      <w:tr>
        <w:trPr>
          <w:cantSplit/>
        </w:trPr>
        <w:tc>
          <w:tcPr>
            <w:tcW w:w="481" w:type="dxa"/>
          </w:tcPr>
          <w:p>
            <w:pPr>
              <w:spacing w:before="40" w:after="40" w:line="240" w:lineRule="auto"/>
              <w:ind w:left="0" w:firstLine="0"/>
              <w:jc w:val="left"/>
            </w:pPr>
            <w:r>
              <w:rPr>
                <w:b/>
                <w:sz w:val="20"/>
                <w:szCs w:val="20"/>
              </w:rPr>
              <w:t xml:space="preserve">5</w:t>
            </w:r>
          </w:p>
        </w:tc>
        <w:tc>
          <w:tcPr>
            <w:tcW w:w="902" w:type="dxa"/>
          </w:tcPr>
          <w:p>
            <w:pPr>
              <w:spacing w:before="40" w:after="40" w:line="240" w:lineRule="auto"/>
              <w:ind w:left="0" w:firstLine="0"/>
              <w:jc w:val="left"/>
            </w:pPr>
            <w:r>
              <w:rPr>
                <w:sz w:val="20"/>
                <w:szCs w:val="20"/>
              </w:rPr>
              <w:t xml:space="preserve">T‑44</w:t>
            </w:r>
          </w:p>
        </w:tc>
        <w:tc>
          <w:tcPr>
            <w:tcW w:w="3068" w:type="dxa"/>
          </w:tcPr>
          <w:p>
            <w:pPr>
              <w:spacing w:before="40" w:after="40" w:line="240" w:lineRule="auto"/>
              <w:ind w:left="0" w:firstLine="0"/>
              <w:jc w:val="left"/>
            </w:pPr>
            <w:r>
              <w:rPr>
                <w:sz w:val="20"/>
                <w:szCs w:val="20"/>
              </w:rPr>
              <w:t xml:space="preserve">Un error del producto en Chrome</w:t>
            </w:r>
          </w:p>
        </w:tc>
        <w:tc>
          <w:tcPr>
            <w:tcW w:w="3430" w:type="dxa"/>
          </w:tcPr>
          <w:p>
            <w:pPr>
              <w:spacing w:before="40" w:after="40" w:line="240" w:lineRule="auto"/>
              <w:ind w:left="0" w:firstLine="0"/>
              <w:jc w:val="left"/>
            </w:pPr>
            <w:r>
              <w:rPr>
                <w:sz w:val="20"/>
                <w:szCs w:val="20"/>
              </w:rPr>
              <w:t xml:space="preserve">Lo producía la sonda de medición</w:t>
            </w:r>
          </w:p>
        </w:tc>
      </w:tr>
      <w:tr>
        <w:trPr>
          <w:cantSplit/>
        </w:trPr>
        <w:tc>
          <w:tcPr>
            <w:tcW w:w="481" w:type="dxa"/>
          </w:tcPr>
          <w:p>
            <w:pPr>
              <w:spacing w:before="40" w:after="40" w:line="240" w:lineRule="auto"/>
              <w:ind w:left="0" w:firstLine="0"/>
              <w:jc w:val="left"/>
            </w:pPr>
            <w:r>
              <w:rPr>
                <w:b/>
                <w:sz w:val="20"/>
                <w:szCs w:val="20"/>
              </w:rPr>
              <w:t xml:space="preserve">6</w:t>
            </w:r>
          </w:p>
        </w:tc>
        <w:tc>
          <w:tcPr>
            <w:tcW w:w="902" w:type="dxa"/>
          </w:tcPr>
          <w:p>
            <w:pPr>
              <w:spacing w:before="40" w:after="40" w:line="240" w:lineRule="auto"/>
              <w:ind w:left="0" w:firstLine="0"/>
              <w:jc w:val="left"/>
            </w:pPr>
            <w:r>
              <w:rPr>
                <w:sz w:val="20"/>
                <w:szCs w:val="20"/>
              </w:rPr>
              <w:t xml:space="preserve">T‑44</w:t>
            </w:r>
          </w:p>
        </w:tc>
        <w:tc>
          <w:tcPr>
            <w:tcW w:w="3068" w:type="dxa"/>
          </w:tcPr>
          <w:p>
            <w:pPr>
              <w:spacing w:before="40" w:after="40" w:line="240" w:lineRule="auto"/>
              <w:ind w:left="0" w:firstLine="0"/>
              <w:jc w:val="left"/>
            </w:pPr>
            <w:r>
              <w:rPr>
                <w:sz w:val="20"/>
                <w:szCs w:val="20"/>
              </w:rPr>
              <w:t xml:space="preserve">314.8 MB de memoria en Windows</w:t>
            </w:r>
          </w:p>
        </w:tc>
        <w:tc>
          <w:tcPr>
            <w:tcW w:w="3430" w:type="dxa"/>
          </w:tcPr>
          <w:p>
            <w:pPr>
              <w:spacing w:before="40" w:after="40" w:line="240" w:lineRule="auto"/>
              <w:ind w:left="0" w:firstLine="0"/>
              <w:jc w:val="left"/>
            </w:pPr>
            <w:r>
              <w:rPr>
                <w:sz w:val="20"/>
                <w:szCs w:val="20"/>
              </w:rPr>
              <w:t xml:space="preserve">La cifra depende del tamaño de la ventana, que no se registró</w:t>
            </w:r>
          </w:p>
        </w:tc>
      </w:tr>
      <w:tr>
        <w:trPr>
          <w:cantSplit/>
        </w:trPr>
        <w:tc>
          <w:tcPr>
            <w:tcW w:w="481" w:type="dxa"/>
          </w:tcPr>
          <w:p>
            <w:pPr>
              <w:spacing w:before="40" w:after="40" w:line="240" w:lineRule="auto"/>
              <w:ind w:left="0" w:firstLine="0"/>
              <w:jc w:val="left"/>
            </w:pPr>
            <w:r>
              <w:rPr>
                <w:b/>
                <w:sz w:val="20"/>
                <w:szCs w:val="20"/>
              </w:rPr>
              <w:t xml:space="preserve">7</w:t>
            </w:r>
          </w:p>
        </w:tc>
        <w:tc>
          <w:tcPr>
            <w:tcW w:w="902" w:type="dxa"/>
          </w:tcPr>
          <w:p>
            <w:pPr>
              <w:spacing w:before="40" w:after="40" w:line="240" w:lineRule="auto"/>
              <w:ind w:left="0" w:firstLine="0"/>
              <w:jc w:val="left"/>
            </w:pPr>
            <w:r>
              <w:rPr>
                <w:sz w:val="20"/>
                <w:szCs w:val="20"/>
              </w:rPr>
              <w:t xml:space="preserve">T‑49</w:t>
            </w:r>
          </w:p>
        </w:tc>
        <w:tc>
          <w:tcPr>
            <w:tcW w:w="3068" w:type="dxa"/>
          </w:tcPr>
          <w:p>
            <w:pPr>
              <w:spacing w:before="40" w:after="40" w:line="240" w:lineRule="auto"/>
              <w:ind w:left="0" w:firstLine="0"/>
              <w:jc w:val="left"/>
            </w:pPr>
            <w:r>
              <w:rPr>
                <w:sz w:val="20"/>
                <w:szCs w:val="20"/>
              </w:rPr>
              <w:t xml:space="preserve">El archivo con la contraseña de firma</w:t>
            </w:r>
          </w:p>
        </w:tc>
        <w:tc>
          <w:tcPr>
            <w:tcW w:w="3430" w:type="dxa"/>
          </w:tcPr>
          <w:p>
            <w:pPr>
              <w:spacing w:before="40" w:after="40" w:line="240" w:lineRule="auto"/>
              <w:ind w:left="0" w:firstLine="0"/>
              <w:jc w:val="left"/>
            </w:pPr>
            <w:r>
              <w:rPr>
                <w:sz w:val="20"/>
                <w:szCs w:val="20"/>
              </w:rPr>
              <w:t xml:space="preserve">Tenía extensión .txt: no se leía ni se excluía</w:t>
            </w:r>
          </w:p>
        </w:tc>
      </w:tr>
      <w:tr>
        <w:trPr>
          <w:cantSplit/>
        </w:trPr>
        <w:tc>
          <w:tcPr>
            <w:tcW w:w="481" w:type="dxa"/>
          </w:tcPr>
          <w:p>
            <w:pPr>
              <w:spacing w:before="40" w:after="40" w:line="240" w:lineRule="auto"/>
              <w:ind w:left="0" w:firstLine="0"/>
              <w:jc w:val="left"/>
            </w:pPr>
            <w:r>
              <w:rPr>
                <w:b/>
                <w:sz w:val="20"/>
                <w:szCs w:val="20"/>
              </w:rPr>
              <w:t xml:space="preserve">8</w:t>
            </w:r>
          </w:p>
        </w:tc>
        <w:tc>
          <w:tcPr>
            <w:tcW w:w="902" w:type="dxa"/>
          </w:tcPr>
          <w:p>
            <w:pPr>
              <w:spacing w:before="40" w:after="40" w:line="240" w:lineRule="auto"/>
              <w:ind w:left="0" w:firstLine="0"/>
              <w:jc w:val="left"/>
            </w:pPr>
            <w:r>
              <w:rPr>
                <w:sz w:val="20"/>
                <w:szCs w:val="20"/>
              </w:rPr>
              <w:t xml:space="preserve">T‑63</w:t>
            </w:r>
          </w:p>
        </w:tc>
        <w:tc>
          <w:tcPr>
            <w:tcW w:w="3068" w:type="dxa"/>
          </w:tcPr>
          <w:p>
            <w:pPr>
              <w:spacing w:before="40" w:after="40" w:line="240" w:lineRule="auto"/>
              <w:ind w:left="0" w:firstLine="0"/>
              <w:jc w:val="left"/>
            </w:pPr>
            <w:r>
              <w:rPr>
                <w:sz w:val="20"/>
                <w:szCs w:val="20"/>
              </w:rPr>
              <w:t xml:space="preserve">Una declaración atribuida al autor</w:t>
            </w:r>
          </w:p>
        </w:tc>
        <w:tc>
          <w:tcPr>
            <w:tcW w:w="3430" w:type="dxa"/>
          </w:tcPr>
          <w:p>
            <w:pPr>
              <w:spacing w:before="40" w:after="40" w:line="240" w:lineRule="auto"/>
              <w:ind w:left="0" w:firstLine="0"/>
              <w:jc w:val="left"/>
            </w:pPr>
            <w:r>
              <w:rPr>
                <w:sz w:val="20"/>
                <w:szCs w:val="20"/>
              </w:rPr>
              <w:t xml:space="preserve">El autor no la había hecho</w:t>
            </w:r>
          </w:p>
        </w:tc>
      </w:tr>
      <w:tr>
        <w:trPr>
          <w:cantSplit/>
        </w:trPr>
        <w:tc>
          <w:tcPr>
            <w:tcW w:w="481" w:type="dxa"/>
          </w:tcPr>
          <w:p>
            <w:pPr>
              <w:keepNext/>
              <w:spacing w:before="40" w:after="40" w:line="240" w:lineRule="auto"/>
              <w:ind w:left="0" w:firstLine="0"/>
              <w:jc w:val="left"/>
            </w:pPr>
            <w:r>
              <w:rPr>
                <w:b/>
                <w:sz w:val="20"/>
                <w:szCs w:val="20"/>
              </w:rPr>
              <w:t xml:space="preserve">9</w:t>
            </w:r>
          </w:p>
        </w:tc>
        <w:tc>
          <w:tcPr>
            <w:tcW w:w="902" w:type="dxa"/>
          </w:tcPr>
          <w:p>
            <w:pPr>
              <w:keepNext/>
              <w:spacing w:before="40" w:after="40" w:line="240" w:lineRule="auto"/>
              <w:ind w:left="0" w:firstLine="0"/>
              <w:jc w:val="left"/>
            </w:pPr>
            <w:r>
              <w:rPr>
                <w:sz w:val="20"/>
                <w:szCs w:val="20"/>
              </w:rPr>
              <w:t xml:space="preserve">T‑65</w:t>
            </w:r>
          </w:p>
        </w:tc>
        <w:tc>
          <w:tcPr>
            <w:tcW w:w="3068" w:type="dxa"/>
          </w:tcPr>
          <w:p>
            <w:pPr>
              <w:keepNext/>
              <w:spacing w:before="40" w:after="40" w:line="240" w:lineRule="auto"/>
              <w:ind w:left="0" w:firstLine="0"/>
              <w:jc w:val="left"/>
            </w:pPr>
            <w:r>
              <w:rPr>
                <w:sz w:val="20"/>
                <w:szCs w:val="20"/>
              </w:rPr>
              <w:t xml:space="preserve">Cero tráfico en segundo plano</w:t>
            </w:r>
          </w:p>
        </w:tc>
        <w:tc>
          <w:tcPr>
            <w:tcW w:w="3430" w:type="dxa"/>
          </w:tcPr>
          <w:p>
            <w:pPr>
              <w:keepNext/>
              <w:spacing w:before="40" w:after="40" w:line="240" w:lineRule="auto"/>
              <w:ind w:left="0" w:firstLine="0"/>
              <w:jc w:val="left"/>
            </w:pPr>
            <w:r>
              <w:rPr>
                <w:sz w:val="20"/>
                <w:szCs w:val="20"/>
              </w:rPr>
              <w:t xml:space="preserve">El sistema bloquea la red en ese tramo</w:t>
            </w:r>
          </w:p>
        </w:tc>
      </w:tr>
    </w:tbl>
    <w:p>
      <w:pPr>
        <w:spacing w:before="80" w:after="880"/>
        <w:ind w:left="850" w:firstLine="0"/>
        <w:jc w:val="left"/>
      </w:pPr>
      <w:r>
        <w:rPr>
          <w:b/>
        </w:rPr>
        <w:t xml:space="preserve">Fuente: </w:t>
      </w:r>
      <w:r>
        <w:t xml:space="preserve">Elaboración propia, con base en el registro de decisiones del Sprint 2.</w:t>
      </w:r>
    </w:p>
    <w:p>
      <w:pPr>
        <w:spacing w:after="880"/>
        <w:ind w:left="850" w:firstLine="357"/>
        <w:jc w:val="both"/>
      </w:pPr>
      <w:r>
        <w:t xml:space="preserve">Los casos no son aleatorios. Varios comparten la forma que el registro de decisiones nombró el 23 de septiembre: verificar la regla que está escrita y no preguntar qué otro camino llega al mismo estado. Tres de los nueve —el 1, el 2 y el 4— incluyen errores de quien planificaba y auditaba, y uno —el 7— del propio autor. La doble prueba no distingue roles, y por eso sirve.</w:t>
      </w:r>
    </w:p>
    <w:p>
      <w:pPr>
        <w:pStyle w:val="Heading2"/>
        <w:spacing w:before="0" w:after="760"/>
      </w:pPr>
      <w:r>
        <w:t xml:space="preserve">Retrospectiva: lo que no funcionó</w:t>
      </w:r>
    </w:p>
    <w:p>
      <w:pPr>
        <w:numPr>
          <w:ilvl w:val="0"/>
          <w:numId w:val="50"/>
        </w:numPr>
        <w:spacing w:after="880"/>
        <w:ind w:left="1559" w:hanging="709"/>
        <w:jc w:val="both"/>
      </w:pPr>
      <w:r>
        <w:rPr>
          <w:b/>
        </w:rPr>
        <w:t xml:space="preserve">Los trámites externos empezaron tarde.</w:t>
      </w:r>
      <w:r>
        <w:t xml:space="preserve"> Se planificaron desde el primer día y se iniciaron el 1 de octubre, el decimotercer día del sprint. Por eso la publicación en Google Play llegó al final: la identidad se verificó el 2 de octubre y la versión se publicó el 3.</w:t>
      </w:r>
    </w:p>
    <w:p>
      <w:pPr>
        <w:numPr>
          <w:ilvl w:val="0"/>
          <w:numId w:val="50"/>
        </w:numPr>
        <w:spacing w:after="880"/>
        <w:ind w:left="1559" w:hanging="709"/>
        <w:jc w:val="both"/>
      </w:pPr>
      <w:r>
        <w:rPr>
          <w:b/>
        </w:rPr>
        <w:t xml:space="preserve">Las alertas automáticas no funcionaron en el plan gratuito.</w:t>
      </w:r>
      <w:r>
        <w:t xml:space="preserve"> La política de alertas se configuró y no se disparó, sin causa confirmada, y la alternativa por métricas exige facturación. El control quedó como limitación declarada.</w:t>
      </w:r>
    </w:p>
    <w:p>
      <w:pPr>
        <w:numPr>
          <w:ilvl w:val="0"/>
          <w:numId w:val="50"/>
        </w:numPr>
        <w:spacing w:after="880"/>
        <w:ind w:left="1559" w:hanging="709"/>
        <w:jc w:val="both"/>
      </w:pPr>
      <w:r>
        <w:rPr>
          <w:b/>
        </w:rPr>
        <w:t xml:space="preserve">La Web no arranca sin conexión.</w:t>
      </w:r>
      <w:r>
        <w:t xml:space="preserve"> Depende de recursos que descarga de servidores de Google al iniciar.</w:t>
      </w:r>
    </w:p>
    <w:p>
      <w:pPr>
        <w:numPr>
          <w:ilvl w:val="0"/>
          <w:numId w:val="50"/>
        </w:numPr>
        <w:spacing w:after="880"/>
        <w:ind w:left="1559" w:hanging="709"/>
        <w:jc w:val="both"/>
      </w:pPr>
      <w:r>
        <w:rPr>
          <w:b/>
        </w:rPr>
        <w:t xml:space="preserve">Los requerimientos no funcionales del ERS no eran verificables tal como se escribieron.</w:t>
      </w:r>
      <w:r>
        <w:t xml:space="preserve"> Medirlos dos veces lo hizo evidente, y volverlos verificables exige más horas de las que caben en un sprint.</w:t>
      </w:r>
    </w:p>
    <w:p>
      <w:pPr>
        <w:numPr>
          <w:ilvl w:val="0"/>
          <w:numId w:val="50"/>
        </w:numPr>
        <w:spacing w:after="880"/>
        <w:ind w:left="1559" w:hanging="709"/>
        <w:jc w:val="both"/>
      </w:pPr>
      <w:r>
        <w:rPr>
          <w:b/>
        </w:rPr>
        <w:t xml:space="preserve">El entorno introdujo variables que no estaban previstas.</w:t>
      </w:r>
      <w:r>
        <w:t xml:space="preserve"> Las aplicaciones que lanza un agente en Windows usan un almacén distinto del que usa el autor, y al instalar el paquete firmado el teléfono perdió sus datos de prueba. No se comprobó caso por caso si alteraron algún resultado, y por eso cada informe declara qué almacén usó.</w:t>
      </w:r>
    </w:p>
    <w:p>
      <w:pPr>
        <w:pStyle w:val="Heading2"/>
        <w:spacing w:before="0" w:after="760"/>
      </w:pPr>
      <w:r>
        <w:t xml:space="preserve">Retrospectiva: lo que cambia para el sprint siguiente</w:t>
      </w:r>
    </w:p>
    <w:p>
      <w:pPr>
        <w:numPr>
          <w:ilvl w:val="0"/>
          <w:numId w:val="50"/>
        </w:numPr>
        <w:spacing w:after="880"/>
        <w:ind w:left="1559" w:hanging="709"/>
        <w:jc w:val="both"/>
      </w:pPr>
      <w:r>
        <w:t xml:space="preserve">Decidir al planificar qué requerimientos no funcionales se miden y cuáles quedan como limitación, antes de comprometer horas.</w:t>
      </w:r>
    </w:p>
    <w:p>
      <w:pPr>
        <w:numPr>
          <w:ilvl w:val="0"/>
          <w:numId w:val="50"/>
        </w:numPr>
        <w:spacing w:after="880"/>
        <w:ind w:left="1559" w:hanging="709"/>
        <w:jc w:val="both"/>
      </w:pPr>
      <w:r>
        <w:t xml:space="preserve">Abrir la prueba cerrada de Google Play, ahora que la prueba interna está publicada, con los 12 </w:t>
      </w:r>
      <w:r>
        <w:rPr>
          <w:i/>
        </w:rPr>
        <w:t xml:space="preserve">testers</w:t>
      </w:r>
      <w:r>
        <w:t xml:space="preserve"> reclutados de antemano: es el único plazo del producto que no controla el equipo.</w:t>
      </w:r>
    </w:p>
    <w:p>
      <w:pPr>
        <w:numPr>
          <w:ilvl w:val="0"/>
          <w:numId w:val="50"/>
        </w:numPr>
        <w:spacing w:after="880"/>
        <w:ind w:left="1559" w:hanging="709"/>
        <w:jc w:val="both"/>
      </w:pPr>
      <w:r>
        <w:t xml:space="preserve">Completar lo que exige Google Play y no podía cambiarse con el producto congelado: el enlace a la política de privacidad dentro de la aplicación, el ícono propio y la decisión sobre el respaldo automático.</w:t>
      </w:r>
    </w:p>
    <w:p>
      <w:pPr>
        <w:numPr>
          <w:ilvl w:val="0"/>
          <w:numId w:val="50"/>
        </w:numPr>
        <w:spacing w:after="880"/>
        <w:ind w:left="1559" w:hanging="709"/>
        <w:jc w:val="both"/>
      </w:pPr>
      <w:r>
        <w:t xml:space="preserve">Retomar lo diferido: la carga de tomas de reefer por celda y por rangos (T‑56) y el arranque de la Web sin conexión.</w:t>
      </w:r>
    </w:p>
    <w:p>
      <w:pPr>
        <w:pStyle w:val="Heading2"/>
        <w:spacing w:before="0" w:after="760"/>
      </w:pPr>
      <w:r>
        <w:t xml:space="preserve">Implicación para las hipótesis H3, H4 y H5</w:t>
      </w:r>
    </w:p>
    <w:p>
      <w:pPr>
        <w:spacing w:after="880"/>
        <w:ind w:left="850" w:firstLine="357"/>
        <w:jc w:val="both"/>
      </w:pPr>
      <w:r>
        <w:t xml:space="preserve">La hipótesis H3 sostiene que la validación preventiva a pie de muelle reduce los errores de posición de contenedores, y su indicador es el porcentaje de contenedores mal posicionados que se detectan antes del movimiento de la grúa (Martínez Aldana, 2026a). El Sprint 2 construye el instrumento de esa hipótesis, pero no la mide. El motor existe, se validó sobre el corpus real —cada alerta tiene un origen explicable y las de mayor severidad las juzgó válidas el autor— y sus casos positivos están cubiertos por pruebas automáticas con datos controlados. El indicador de H3, en cambio, exige escenarios simulados de posicionamiento incorrecto con registro de detecciones correctas e incorrectas, y esa prueba no se ha ejecutado. El tercer estado de las validaciones afectará su diseño: una regla que no puede decidir no detecta ni deja de detectar, y el protocolo tendrá que establecer cómo se cuenta.</w:t>
      </w:r>
    </w:p>
    <w:p>
      <w:pPr>
        <w:spacing w:after="880"/>
        <w:ind w:left="850" w:firstLine="357"/>
        <w:jc w:val="both"/>
      </w:pPr>
      <w:r>
        <w:t xml:space="preserve">H4 sostiene que una única base de código en Flutter reduce el esfuerzo de desarrollo en al menos un 50 % frente al desarrollo nativo para cada plataforma. El sprint vuelve a aportar evidencia consistente con la primera mitad del enunciado: los tres clientes se construyeron desde una sola base de código y ninguna funcionalidad se implementó dos veces. Pero el matiz que señaló el primer incremento se hizo más visible. La verificación no se comparte entre plataformas —cada tarea de interfaz se verificó en tres clientes—, y las diferencias que importaron fueron de plataforma, no de código: la Web no arranca sin conexión, la memoria de Windows depende del tamaño de la ventana, Android bloquea la red en segundo plano y Windows aísla el almacén de las aplicaciones empaquetadas. El ahorro se verifica en la construcción; el aseguramiento se multiplica por el número de plataformas. El indicador de H4, las horas de desarrollo frente a una estimación nativa, no se mide en este reporte.</w:t>
      </w:r>
    </w:p>
    <w:p>
      <w:pPr>
        <w:spacing w:after="880"/>
        <w:ind w:left="850" w:firstLine="357"/>
        <w:jc w:val="both"/>
      </w:pPr>
      <w:r>
        <w:t xml:space="preserve">H5 sostiene que la estrategia </w:t>
      </w:r>
      <w:r>
        <w:rPr>
          <w:i/>
        </w:rPr>
        <w:t xml:space="preserve">offline-first</w:t>
      </w:r>
      <w:r>
        <w:t xml:space="preserve"> con Firestore mantiene la consistencia de los datos entre la oficina y el muelle con una latencia máxima de 3 segundos en una red Wi-Fi. Su evidencia sigue siendo la serie de 30 eventos medida en agosto con la instrumentación, y el sprint la preservó: la instrumentación tiene su propio punto de entrada, sigue midiendo contra el proyecto temporal, y los cuatro documentos de la verificación de reglas se etiquetaron aparte porque se tomaron en otro teléfono. Conviene registrar, sin embargo, un hecho que el sprint hizo explícito: el producto entregado no sincroniza por Firestore. Funciona sin conexión gracias a un almacén local, que es la mitad </w:t>
      </w:r>
      <w:r>
        <w:rPr>
          <w:i/>
        </w:rPr>
        <w:t xml:space="preserve">offline-first</w:t>
      </w:r>
      <w:r>
        <w:t xml:space="preserve"> del enunciado, pero no comparte datos entre dispositivos, y el proyecto de producción se creó sin base de datos. La latencia que mide H5 corresponde, por tanto, a la instrumentación y no a una función del producto entregado. Cómo se reporta esa diferencia en la tesis es una decisión que el sprint deja planteada.</w:t>
      </w:r>
    </w:p>
    <w:p>
      <w:pPr>
        <w:pStyle w:val="Heading2"/>
        <w:spacing w:before="0" w:after="760"/>
      </w:pPr>
      <w:r>
        <w:t xml:space="preserve">Sobre el significado de esta evaluación</w:t>
      </w:r>
    </w:p>
    <w:p>
      <w:pPr>
        <w:spacing w:after="880"/>
        <w:ind w:left="850" w:firstLine="357"/>
        <w:jc w:val="both"/>
      </w:pPr>
      <w:r>
        <w:t xml:space="preserve">No se afirma que BayStream sea una aplicación segura ni que cumpla sus requerimientos no funcionales. La primera afirmación es insostenible sin autenticación y sin una prueba de penetración; la segunda la contradicen los propios datos, porque ningún requerimiento no funcional queda aprobado tal como está escrito.</w:t>
      </w:r>
    </w:p>
    <w:p>
      <w:pPr>
        <w:spacing w:after="880"/>
        <w:ind w:left="850" w:firstLine="357"/>
        <w:jc w:val="both"/>
      </w:pPr>
      <w:r>
        <w:t xml:space="preserve">Se afirma algo más acotado y verificable. Los siete hallazgos de seguridad tienen tratamiento y evidencia. El producto no transmitió datos del usuario en ninguna de las operaciones observadas, con instrumentos cuyo funcionamiento se comprobó. El cliente Web publicado es idéntico al que se midió. Y cada requerimiento no funcional tiene su cifra, su dictamen y una propuesta para volverlo verificable sin rebajar su umbral.</w:t>
      </w:r>
    </w:p>
    <w:p>
      <w:pPr>
        <w:pStyle w:val="Heading1"/>
        <w:spacing w:before="0" w:after="760"/>
      </w:pPr>
      <w:r>
        <w:t xml:space="preserve">Conclusiones</w:t>
      </w:r>
    </w:p>
    <w:p>
      <w:pPr>
        <w:spacing w:after="880"/>
        <w:ind w:left="425" w:firstLine="357"/>
        <w:jc w:val="both"/>
      </w:pPr>
      <w:r>
        <w:t xml:space="preserve">El Sprint 2 cumplió su objetivo. La aplicación dejó de inferir el buque y pasó a conocerlo: la geometría se declara una vez, se recuerda entre escalas y sostiene un motor de validación de cuatro reglas con tres estados. De las 26 tareas comprometidas se terminaron 25, con 33.0 de las 35.0 horas; la restante ya está publicada en la prueba interna de Google Play, y solo falta comprobar su instalación desde la tienda.</w:t>
      </w:r>
    </w:p>
    <w:p>
      <w:pPr>
        <w:spacing w:after="880"/>
        <w:ind w:left="425" w:firstLine="357"/>
        <w:jc w:val="both"/>
      </w:pPr>
      <w:r>
        <w:t xml:space="preserve">La calidad se verificó contra un criterio fijado antes de empezar. El análisis estático quedó en cero sin suprimir ninguna advertencia, la suite pasó de 138 a 282 pruebas y el cliente Web publicado es idéntico al que se midió. La Definición de Terminado se cumple salvo en un punto, declarado: el cliente Web necesita conexión para arrancar.</w:t>
      </w:r>
    </w:p>
    <w:p>
      <w:pPr>
        <w:spacing w:after="880"/>
        <w:ind w:left="425" w:firstLine="357"/>
        <w:jc w:val="both"/>
      </w:pPr>
      <w:r>
        <w:t xml:space="preserve">La medición de los requerimientos no funcionales arrojó el resultado menos cómodo del sprint: ninguno queda aprobado tal como está escrito. Tres no se cumplen y cinco no son verificables con su redacción. El hallazgo no está solo en el producto sino también en el ERS, que los redactó antes de que existiera la forma de medirlos. La propuesta de criterios operativos los vuelve verificables sin rebajar sus umbrales, y decidir cuáles se miden corresponde a la planificación siguiente.</w:t>
      </w:r>
    </w:p>
    <w:p>
      <w:pPr>
        <w:spacing w:after="880"/>
        <w:ind w:left="425" w:firstLine="357"/>
        <w:jc w:val="both"/>
      </w:pPr>
      <w:r>
        <w:t xml:space="preserve">En seguridad, los siete hallazgos de la línea base quedan con tratamiento y evidencia: cuatro resueltos o cerrados (H‑01, H‑03, H‑04 y H‑07), uno atendido en el caso medido (H‑05), uno reacotado con su riesgo residual declarado (H‑02) y uno con una limitación declarada y un control manual que la reemplaza (H‑06). La observación del tráfico, hecha con controles positivos, no registró ninguna transmisión de datos del usuario en las operaciones probadas.</w:t>
      </w:r>
    </w:p>
    <w:p>
      <w:pPr>
        <w:spacing w:after="880"/>
        <w:ind w:left="425" w:firstLine="357"/>
        <w:jc w:val="both"/>
      </w:pPr>
      <w:r>
        <w:t xml:space="preserve">Por último, el sprint confirma el valor de la doble prueba como práctica del proyecto. En los nueve casos seleccionados una segunda revisión encontró algo que la primera había dado por bueno, y tres de ellos incluían errores de quien planificaba y auditaba. Lo que el proyecto puede sostener no depende de que no haya errores, sino de que la verificación esté organizada para encontrarlos antes de que lleguen a un entregable.</w:t>
      </w:r>
      <w:r>
        <w:br w:type="page"/>
      </w:r>
    </w:p>
    <w:p>
      <w:pPr>
        <w:pStyle w:val="Heading1"/>
        <w:spacing w:before="0" w:after="760"/>
      </w:pPr>
      <w:r>
        <w:t xml:space="preserve">Referencias</w:t>
      </w:r>
    </w:p>
    <w:p>
      <w:pPr>
        <w:spacing w:after="880" w:line="480" w:lineRule="auto"/>
        <w:ind w:left="782" w:hanging="357"/>
        <w:jc w:val="left"/>
      </w:pPr>
      <w:r>
        <w:t xml:space="preserve">Carriage by Vessel, 49 C.F.R. § 176.83 (2026). https://www.ecfr.gov/current/title-49/section-176.83</w:t>
      </w:r>
    </w:p>
    <w:p>
      <w:pPr>
        <w:spacing w:after="880" w:line="480" w:lineRule="auto"/>
        <w:ind w:left="782" w:hanging="357"/>
        <w:jc w:val="left"/>
      </w:pPr>
      <w:r>
        <w:t xml:space="preserve">Firebase. (s.f.). </w:t>
      </w:r>
      <w:r>
        <w:rPr>
          <w:i/>
        </w:rPr>
        <w:t xml:space="preserve">Learn about and manage API keys for Firebase</w:t>
      </w:r>
      <w:r>
        <w:t xml:space="preserve">. https://firebase.google.com/docs/projects/api-keys</w:t>
      </w:r>
    </w:p>
    <w:p>
      <w:pPr>
        <w:spacing w:after="880" w:line="480" w:lineRule="auto"/>
        <w:ind w:left="782" w:hanging="357"/>
        <w:jc w:val="left"/>
      </w:pPr>
      <w:r>
        <w:t xml:space="preserve">Google. (s.f.-a). </w:t>
      </w:r>
      <w:r>
        <w:rPr>
          <w:i/>
        </w:rPr>
        <w:t xml:space="preserve">Requisitos de pruebas de aplicaciones para las nuevas cuentas personales de desarrollador</w:t>
      </w:r>
      <w:r>
        <w:t xml:space="preserve">. Ayuda de Play Console. https://support.google.com/googleplay/android-developer/answer/14151465</w:t>
      </w:r>
    </w:p>
    <w:p>
      <w:pPr>
        <w:spacing w:after="880" w:line="480" w:lineRule="auto"/>
        <w:ind w:left="782" w:hanging="357"/>
        <w:jc w:val="left"/>
      </w:pPr>
      <w:r>
        <w:t xml:space="preserve">Google. (s.f.-b). </w:t>
      </w:r>
      <w:r>
        <w:rPr>
          <w:i/>
        </w:rPr>
        <w:t xml:space="preserve">Set up an open, closed, or internal test</w:t>
      </w:r>
      <w:r>
        <w:t xml:space="preserve">. Play Console Help. https://support.google.com/googleplay/android-developer/answer/9845334</w:t>
      </w:r>
    </w:p>
    <w:p>
      <w:pPr>
        <w:spacing w:after="880" w:line="480" w:lineRule="auto"/>
        <w:ind w:left="782" w:hanging="357"/>
        <w:jc w:val="left"/>
      </w:pPr>
      <w:r>
        <w:t xml:space="preserve">Google Cloud. (s.f.). </w:t>
      </w:r>
      <w:r>
        <w:rPr>
          <w:i/>
        </w:rPr>
        <w:t xml:space="preserve">Troubleshoot log-based alerting policies</w:t>
      </w:r>
      <w:r>
        <w:t xml:space="preserve">. https://cloud.google.com/logging/docs/alerting/troubleshooting</w:t>
      </w:r>
    </w:p>
    <w:p>
      <w:pPr>
        <w:spacing w:after="880" w:line="480" w:lineRule="auto"/>
        <w:ind w:left="782" w:hanging="357"/>
        <w:jc w:val="left"/>
      </w:pPr>
      <w:r>
        <w:t xml:space="preserve">Hernández Sampieri, R., Fernández Collado, C. y Baptista Lucio, M. P. (2010). </w:t>
      </w:r>
      <w:r>
        <w:rPr>
          <w:i/>
        </w:rPr>
        <w:t xml:space="preserve">Metodología de la investigación</w:t>
      </w:r>
      <w:r>
        <w:t xml:space="preserve"> (5.ª ed.). McGraw-Hill Interamericana Editores.</w:t>
      </w:r>
    </w:p>
    <w:p>
      <w:pPr>
        <w:spacing w:after="880" w:line="480" w:lineRule="auto"/>
        <w:ind w:left="782" w:hanging="357"/>
        <w:jc w:val="left"/>
      </w:pPr>
      <w:r>
        <w:t xml:space="preserve">Martínez Aldana, C. G. (2026a). </w:t>
      </w:r>
      <w:r>
        <w:rPr>
          <w:i/>
        </w:rPr>
        <w:t xml:space="preserve">Ecosistema multiplataforma para la optimización en tiempo real de la planificación de estiba de buques portacontenedores: análisis del contexto y requisitos de proyecto</w:t>
      </w:r>
      <w:r>
        <w:t xml:space="preserve"> [Documento no publicado]. Universidad Mariano Gálvez de Guatemala, Centro Universitario de Puerto Barrios.</w:t>
      </w:r>
    </w:p>
    <w:p>
      <w:pPr>
        <w:spacing w:after="880" w:line="480" w:lineRule="auto"/>
        <w:ind w:left="782" w:hanging="357"/>
        <w:jc w:val="left"/>
      </w:pPr>
      <w:r>
        <w:t xml:space="preserve">Martínez Aldana, C. G. (2026b). </w:t>
      </w:r>
      <w:r>
        <w:rPr>
          <w:i/>
        </w:rPr>
        <w:t xml:space="preserve">Especificación de requerimientos de software de BayStream</w:t>
      </w:r>
      <w:r>
        <w:t xml:space="preserve"> (versión 2) [Documento no publicado]. Universidad Mariano Gálvez de Guatemala, Centro Universitario de Puerto Barrios.</w:t>
      </w:r>
    </w:p>
    <w:p>
      <w:pPr>
        <w:spacing w:after="880" w:line="480" w:lineRule="auto"/>
        <w:ind w:left="782" w:hanging="357"/>
        <w:jc w:val="left"/>
      </w:pPr>
      <w:r>
        <w:t xml:space="preserve">Martínez Aldana, C. G. (2026c). </w:t>
      </w:r>
      <w:r>
        <w:rPr>
          <w:i/>
        </w:rPr>
        <w:t xml:space="preserve">Presentación del Incremento 1: seguridad y calidad del Sprint 1</w:t>
      </w:r>
      <w:r>
        <w:t xml:space="preserve"> [Documento no publicado]. Universidad Mariano Gálvez de Guatemala, Centro Universitario de Puerto Barrios.</w:t>
      </w:r>
    </w:p>
    <w:p>
      <w:pPr>
        <w:spacing w:after="880" w:line="480" w:lineRule="auto"/>
        <w:ind w:left="782" w:hanging="357"/>
        <w:jc w:val="left"/>
      </w:pPr>
      <w:r>
        <w:t xml:space="preserve">Martínez Aldana, C. G. (2026d). </w:t>
      </w:r>
      <w:r>
        <w:rPr>
          <w:i/>
        </w:rPr>
        <w:t xml:space="preserve">Segundo Sprint Backlog: historias de usuario y tablero Kanban</w:t>
      </w:r>
      <w:r>
        <w:t xml:space="preserve"> [Documento no publicado]. Universidad Mariano Gálvez de Guatemala, Centro Universitario de Puerto Barrios.</w:t>
      </w:r>
    </w:p>
    <w:p>
      <w:pPr>
        <w:spacing w:after="880" w:line="480" w:lineRule="auto"/>
        <w:ind w:left="782" w:hanging="357"/>
        <w:jc w:val="left"/>
      </w:pPr>
      <w:r>
        <w:t xml:space="preserve">OSV. (s.f.). </w:t>
      </w:r>
      <w:r>
        <w:rPr>
          <w:i/>
        </w:rPr>
        <w:t xml:space="preserve">Open Source Vulnerabilities</w:t>
      </w:r>
      <w:r>
        <w:t xml:space="preserve"> [Base de datos]. https://osv.dev/</w:t>
      </w:r>
    </w:p>
    <w:p>
      <w:pPr>
        <w:spacing w:after="880" w:line="480" w:lineRule="auto"/>
        <w:ind w:left="782" w:hanging="357"/>
        <w:jc w:val="left"/>
      </w:pPr>
      <w:r>
        <w:t xml:space="preserve">OWASP Foundation. (2024). </w:t>
      </w:r>
      <w:r>
        <w:rPr>
          <w:i/>
        </w:rPr>
        <w:t xml:space="preserve">OWASP Mobile Top 10 2024 – Final release</w:t>
      </w:r>
      <w:r>
        <w:t xml:space="preserve">. https://owasp.org/www-project-mobile-top-10/2023-risks/</w:t>
      </w:r>
    </w:p>
    <w:p>
      <w:pPr>
        <w:spacing w:after="880" w:line="480" w:lineRule="auto"/>
        <w:ind w:left="782" w:hanging="357"/>
        <w:jc w:val="left"/>
      </w:pPr>
      <w:r>
        <w:t xml:space="preserve">OWASP Foundation. (2025). </w:t>
      </w:r>
      <w:r>
        <w:rPr>
          <w:i/>
        </w:rPr>
        <w:t xml:space="preserve">OWASP Top 10:2025 – The ten most critical security risks to web applications</w:t>
      </w:r>
      <w:r>
        <w:t xml:space="preserve">. https://owasp.org/Top10/2025/</w:t>
      </w:r>
    </w:p>
    <w:p>
      <w:pPr>
        <w:spacing w:after="880" w:line="480" w:lineRule="auto"/>
        <w:ind w:left="782" w:hanging="357"/>
        <w:jc w:val="left"/>
      </w:pPr>
      <w:r>
        <w:t xml:space="preserve">Schwaber, K. y Sutherland, J. (2020). </w:t>
      </w:r>
      <w:r>
        <w:rPr>
          <w:i/>
        </w:rPr>
        <w:t xml:space="preserve">La Guía de Scrum: las reglas del juego</w:t>
      </w:r>
      <w:r>
        <w:t xml:space="preserve">. https://scrumguides.org/</w:t>
      </w:r>
    </w:p>
    <w:sectPr w:rsidR="00FC693F" w:rsidRPr="0006063C" w:rsidSect="00034616">
      <w:headerReference w:type="default" r:id="rId12"/>
      <w:pgSz w:w="12240" w:h="15840"/>
      <w:pgMar w:top="1701" w:right="1417" w:bottom="1701" w:left="1984"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50">
    <w:nsid w:val="5A1B2C3D"/>
    <w:multiLevelType w:val="singleLevel"/>
    <w:tmpl w:val="7E3A1F20"/>
    <w:lvl w:ilvl="0">
      <w:start w:val="1"/>
      <w:numFmt w:val="bullet"/>
      <w:lvlText w:val=""/>
      <w:lvlJc w:val="left"/>
      <w:pPr>
        <w:ind w:left="709" w:hanging="709"/>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Roman"/>
      <w:pStyle w:val="Heading1"/>
      <w:lvlText w:val="%1."/>
      <w:suff w:val="tab"/>
      <w:lvlJc w:val="left"/>
      <w:pPr>
        <w:tabs>
          <w:tab w:val="num" w:pos="425"/>
        </w:tabs>
        <w:ind w:left="425" w:hanging="425"/>
      </w:pPr>
      <w:rPr>
        <w:b/>
        <w:rFonts w:ascii="Arial" w:hAnsi="Arial"/>
      </w:rPr>
    </w:lvl>
    <w:lvl w:ilvl="1">
      <w:start w:val="1"/>
      <w:numFmt w:val="upperLetter"/>
      <w:pStyle w:val="Heading2"/>
      <w:lvlText w:val="%2."/>
      <w:suff w:val="tab"/>
      <w:lvlJc w:val="left"/>
      <w:pPr>
        <w:tabs>
          <w:tab w:val="num" w:pos="850"/>
        </w:tabs>
        <w:ind w:left="850" w:hanging="425"/>
      </w:pPr>
      <w:rPr>
        <w:b/>
        <w:rFonts w:ascii="Arial" w:hAnsi="Arial"/>
      </w:rPr>
    </w:lvl>
    <w:lvl w:ilvl="2">
      <w:start w:val="1"/>
      <w:numFmt w:val="decimal"/>
      <w:pStyle w:val="Heading3"/>
      <w:lvlText w:val="%3."/>
      <w:suff w:val="tab"/>
      <w:lvlJc w:val="left"/>
      <w:pPr>
        <w:tabs>
          <w:tab w:val="num" w:pos="1276"/>
        </w:tabs>
        <w:ind w:left="1276" w:hanging="426"/>
      </w:pPr>
      <w:rPr>
        <w:b/>
        <w:rFonts w:ascii="Arial" w:hAnsi="Arial"/>
      </w:rPr>
    </w:lvl>
    <w:lvl w:ilvl="3">
      <w:start w:val="1"/>
      <w:numFmt w:val="lowerLetter"/>
      <w:pStyle w:val="Heading4"/>
      <w:lvlText w:val="%4."/>
      <w:suff w:val="tab"/>
      <w:lvlJc w:val="left"/>
      <w:pPr>
        <w:tabs>
          <w:tab w:val="num" w:pos="1276"/>
        </w:tabs>
        <w:ind w:left="1276" w:hanging="426"/>
      </w:pPr>
      <w:rPr>
        <w:b/>
        <w:rFonts w:ascii="Arial" w:hAnsi="Arial"/>
      </w:rPr>
    </w:lvl>
  </w:abstractNum>
  <w:num w:numId="10">
    <w:abstractNumId w:val="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240"/>
      <w:ind w:firstLine="357"/>
      <w:jc w:val="both"/>
    </w:pPr>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numPr>
        <w:ilvl w:val="0"/>
        <w:numId w:val="10"/>
      </w:numPr>
    </w:pPr>
    <w:rPr>
      <w:rFonts w:ascii="Arial" w:hAnsi="Arial" w:eastAsia="Arial" w:cs="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numPr>
        <w:ilvl w:val="1"/>
        <w:numId w:val="10"/>
      </w:numPr>
    </w:pPr>
    <w:rPr>
      <w:rFonts w:ascii="Arial" w:hAnsi="Arial" w:eastAsia="Arial" w:cs="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numPr>
        <w:ilvl w:val="2"/>
        <w:numId w:val="10"/>
      </w:numPr>
    </w:pPr>
    <w:rPr>
      <w:rFonts w:ascii="Arial" w:hAnsi="Arial" w:eastAsia="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jc w:val="left"/>
      <w:outlineLvl w:val="3"/>
      <w:numPr>
        <w:ilvl w:val="3"/>
        <w:numId w:val="10"/>
      </w:numPr>
    </w:pPr>
    <w:rPr>
      <w:rFonts w:ascii="Arial" w:hAnsi="Arial" w:eastAsia="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numPr>
        <w:ilvl w:val="0"/>
        <w:numId w:val="0"/>
      </w:num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entregables académicos BayStream</dc:title>
  <dc:subject>Formato UMG definido por Carlos Martínez</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