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Structure</w:t>
      </w:r>
    </w:p>
    <w:p>
      <w:r>
        <w:t>Introduction</w:t>
      </w:r>
    </w:p>
    <w:p>
      <w:r>
        <w:t>Previous counterexamples to Kalman hypothesis</w:t>
      </w:r>
    </w:p>
    <w:p>
      <w:r>
        <w:t>Coexisting limit cycles</w:t>
      </w:r>
    </w:p>
    <w:p>
      <w:r>
        <w:tab/>
        <w:t>Sector of linear stability</w:t>
      </w:r>
    </w:p>
    <w:p>
      <w:r>
        <w:tab/>
        <w:t>Numerical visualization</w:t>
      </w:r>
    </w:p>
    <w:p>
      <w:r>
        <w:tab/>
        <w:t>Describing function method and Popov criterion</w:t>
      </w:r>
    </w:p>
    <w:p>
      <w:r>
        <w:t>Conclusion</w:t>
      </w:r>
    </w:p>
    <w:p>
      <w:r>
        <w:t>A summary of Latin grammar</w:t>
      </w:r>
    </w:p>
    <w:p>
      <w:r>
        <w:tab/>
        <w:t>Some Latin vocabulary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