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135f85f472fd685d7ee9f15a3f00fbe1f61014"/>
    <w:p>
      <w:pPr>
        <w:pStyle w:val="Heading1"/>
      </w:pPr>
      <w:r>
        <w:t xml:space="preserve">Глава 5. Тестирование программного обеспечения</w:t>
      </w:r>
    </w:p>
    <w:p>
      <w:pPr>
        <w:pStyle w:val="FirstParagraph"/>
      </w:pPr>
      <w:r>
        <w:t xml:space="preserve">В рамках верификации разработанного микросервиса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 </w:t>
      </w:r>
      <w:r>
        <w:t xml:space="preserve">было проведено три вида тестирования: функциональное тестирование методом чёрного ящика, нагрузочное тестирование и статический анализ метрик кода. Объектом тестирования является сервисный слой модуля бронирования (</w:t>
      </w:r>
      <w:r>
        <w:rPr>
          <w:rStyle w:val="VerbatimChar"/>
        </w:rPr>
        <w:t xml:space="preserve">BookingService</w:t>
      </w:r>
      <w:r>
        <w:t xml:space="preserve">), реализованный на языке Go.</w:t>
      </w:r>
    </w:p>
    <w:p>
      <w:r>
        <w:pict>
          <v:rect style="width:0;height:1.5pt" o:hralign="center" o:hrstd="t" o:hr="t"/>
        </w:pict>
      </w:r>
    </w:p>
    <w:bookmarkStart w:id="13" w:name="функциональное-тестирование"/>
    <w:p>
      <w:pPr>
        <w:pStyle w:val="Heading2"/>
      </w:pPr>
      <w:r>
        <w:t xml:space="preserve">5.1 Функциональное тестирование</w:t>
      </w:r>
    </w:p>
    <w:p>
      <w:pPr>
        <w:pStyle w:val="FirstParagraph"/>
      </w:pPr>
      <w:r>
        <w:t xml:space="preserve">Функциональное тестирование проводилось методом чёрного ящика с применением техники функциональных диаграмм (cause-effect graph) и таблиц решений. Объектом тестирования является сценарий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 </w:t>
      </w:r>
      <w:r>
        <w:t xml:space="preserve">— создание бронирования санатория. Данный метод позволяет систематически охватить все комбинации входных условий и установить однозначное соответствие между ними и ожидаемыми результатами.</w:t>
      </w:r>
    </w:p>
    <w:bookmarkStart w:id="9" w:name="причины-и-следствия"/>
    <w:p>
      <w:pPr>
        <w:pStyle w:val="Heading3"/>
      </w:pPr>
      <w:r>
        <w:t xml:space="preserve">5.1.1 Причины и следствия</w:t>
      </w:r>
    </w:p>
    <w:p>
      <w:pPr>
        <w:pStyle w:val="FirstParagraph"/>
      </w:pPr>
      <w:r>
        <w:t xml:space="preserve">В рамках анализа сценария были выделены 7 входных условий (причин) и 5 возможных результатов (следствий).</w:t>
      </w:r>
    </w:p>
    <w:p>
      <w:pPr>
        <w:pStyle w:val="BodyText"/>
      </w:pPr>
      <w:r>
        <w:t xml:space="preserve">Таблица 5.1 — Причины (входные условия)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заполнен (не пустая строка)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sanatorium_id</w:t>
            </w:r>
            <w:r>
              <w:t xml:space="preserve"> </w:t>
            </w:r>
            <w:r>
              <w:t xml:space="preserve">заполнен (не пустая строка)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задана (дата въезда указана)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задана (дата выезда указана)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 &gt; check_in</w:t>
            </w:r>
            <w:r>
              <w:t xml:space="preserve"> </w:t>
            </w:r>
            <w:r>
              <w:t xml:space="preserve">(корректный диапазон дат)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 &gt; 0</w:t>
            </w:r>
            <w:r>
              <w:t xml:space="preserve"> </w:t>
            </w:r>
            <w:r>
              <w:t xml:space="preserve">(количество гостей положительное)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П7</w:t>
            </w:r>
          </w:p>
        </w:tc>
        <w:tc>
          <w:tcPr/>
          <w:p>
            <w:pPr>
              <w:pStyle w:val="Compact"/>
            </w:pPr>
            <w:r>
              <w:t xml:space="preserve">Репозиторная проверка пройдена (санаторий существует, есть свободные места, даты доступны)</w:t>
            </w:r>
          </w:p>
        </w:tc>
      </w:tr>
    </w:tbl>
    <w:p>
      <w:pPr>
        <w:pStyle w:val="BodyText"/>
      </w:pPr>
      <w:r>
        <w:t xml:space="preserve">Таблица 5.2 — Следствия (выходные результаты)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Доменная ошибка репозитория (</w:t>
            </w:r>
            <w:r>
              <w:rPr>
                <w:rStyle w:val="VerbatimChar"/>
              </w:rPr>
              <w:t xml:space="preserve">sanatorium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guests exceed capacity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available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бронирования (</w:t>
            </w:r>
            <w:r>
              <w:rPr>
                <w:rStyle w:val="VerbatimChar"/>
              </w:rPr>
              <w:t xml:space="preserve">status = confirmed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Между причинами действует ограничение Е1: если П3 = 0 или П4 = 0 (хотя бы одна из дат не задана), то П5 не вычисляется. П5 имеет смысл только при П3 = 1 и П4 = 1 одновременно.</w:t>
      </w:r>
    </w:p>
    <w:bookmarkEnd w:id="9"/>
    <w:bookmarkStart w:id="10" w:name="функциональная-диаграмма"/>
    <w:p>
      <w:pPr>
        <w:pStyle w:val="Heading3"/>
      </w:pPr>
      <w:r>
        <w:t xml:space="preserve">5.1.2 Функциональная диаграмма</w:t>
      </w:r>
    </w:p>
    <w:p>
      <w:pPr>
        <w:pStyle w:val="FirstParagraph"/>
      </w:pPr>
      <w:r>
        <w:rPr>
          <w:i/>
          <w:iCs/>
        </w:rPr>
        <w:t xml:space="preserve">[Вставьте функциональную диаграмму (cause-effect graph)]</w:t>
      </w:r>
    </w:p>
    <w:p>
      <w:pPr>
        <w:pStyle w:val="BodyText"/>
      </w:pPr>
      <w:r>
        <w:t xml:space="preserve">Порядок проверок в коде метода</w:t>
      </w:r>
      <w:r>
        <w:t xml:space="preserve"> </w:t>
      </w:r>
      <w:r>
        <w:rPr>
          <w:rStyle w:val="VerbatimChar"/>
        </w:rPr>
        <w:t xml:space="preserve">BookingService.CreateBooking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Проверка П1 ∧ П2 — обязательные идентификаторы клиента и санатория.</w:t>
      </w:r>
    </w:p>
    <w:p>
      <w:pPr>
        <w:pStyle w:val="Compact"/>
        <w:numPr>
          <w:ilvl w:val="0"/>
          <w:numId w:val="1001"/>
        </w:numPr>
      </w:pPr>
      <w:r>
        <w:t xml:space="preserve">Проверка П6 — количество гостей.</w:t>
      </w:r>
    </w:p>
    <w:p>
      <w:pPr>
        <w:pStyle w:val="Compact"/>
        <w:numPr>
          <w:ilvl w:val="0"/>
          <w:numId w:val="1001"/>
        </w:numPr>
      </w:pPr>
      <w:r>
        <w:t xml:space="preserve">Проверка П3, П4, П5 через</w:t>
      </w:r>
      <w:r>
        <w:t xml:space="preserve"> </w:t>
      </w:r>
      <w:r>
        <w:rPr>
          <w:rStyle w:val="VerbatimChar"/>
        </w:rPr>
        <w:t xml:space="preserve">ValidateBookingDateRange</w:t>
      </w:r>
      <w:r>
        <w:t xml:space="preserve"> </w:t>
      </w:r>
      <w:r>
        <w:t xml:space="preserve">— валидность дат.</w:t>
      </w:r>
    </w:p>
    <w:p>
      <w:pPr>
        <w:pStyle w:val="Compact"/>
        <w:numPr>
          <w:ilvl w:val="0"/>
          <w:numId w:val="1001"/>
        </w:numPr>
      </w:pPr>
      <w:r>
        <w:t xml:space="preserve">Проверка П7 — обращение к репозиторию (существование санатория, вместимость, доступность на запрашиваемые даты).</w:t>
      </w:r>
    </w:p>
    <w:bookmarkEnd w:id="10"/>
    <w:bookmarkStart w:id="11" w:name="таблица-решений"/>
    <w:p>
      <w:pPr>
        <w:pStyle w:val="Heading3"/>
      </w:pPr>
      <w:r>
        <w:t xml:space="preserve">5.1.3 Таблица решений</w:t>
      </w:r>
    </w:p>
    <w:p>
      <w:pPr>
        <w:pStyle w:val="FirstParagraph"/>
      </w:pPr>
      <w:r>
        <w:t xml:space="preserve">Полный комбинаторный перебор 7 причин даёт 2⁷ = 128 комбинаций. С учётом ограничения Е1 число уникальных допустимых комбинаций равно 80. Сокращение таблицы выполняется путём объединения строк с одинаковым следствием, в которых значения части причин не влияют на результат (обозначаются «—»).</w:t>
      </w:r>
    </w:p>
    <w:p>
      <w:pPr>
        <w:pStyle w:val="BodyText"/>
      </w:pPr>
      <w:r>
        <w:t xml:space="preserve">Таблица 5.3 — Сокращённая таблица решений для сценария</w:t>
      </w:r>
      <w:r>
        <w:t xml:space="preserve"> </w:t>
      </w:r>
      <w:r>
        <w:rPr>
          <w:rStyle w:val="VerbatimChar"/>
        </w:rPr>
        <w:t xml:space="preserve">CreateBooking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23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t xml:space="preserve">П6</w:t>
            </w:r>
          </w:p>
        </w:tc>
        <w:tc>
          <w:tcPr/>
          <w:p>
            <w:pPr>
              <w:pStyle w:val="Compact"/>
            </w:pPr>
            <w:r>
              <w:t xml:space="preserve">П7</w:t>
            </w:r>
          </w:p>
        </w:tc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Покрыто комбинаций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Итого: 80</w:t>
            </w:r>
          </w:p>
        </w:tc>
      </w:tr>
    </w:tbl>
    <w:p>
      <w:pPr>
        <w:pStyle w:val="BodyText"/>
      </w:pPr>
      <w:r>
        <w:t xml:space="preserve">В результате сокращения 80 допустимых комбинаций сведены к 8 правилам (сокращение в 10 раз). Правила №1–2 объединяют случаи с незаполненными идентификаторами, правило №3 — случаи с некорректным числом гостей, правила №4–6 — случаи с невалидными датами (три различных варианта), правило №7 — случай с ошибкой репозитория, правило №8 — успешное выполнение.</w:t>
      </w:r>
    </w:p>
    <w:bookmarkEnd w:id="11"/>
    <w:bookmarkStart w:id="12" w:name="тест-кейсы"/>
    <w:p>
      <w:pPr>
        <w:pStyle w:val="Heading3"/>
      </w:pPr>
      <w:r>
        <w:t xml:space="preserve">5.1.4 Тест-кейсы</w:t>
      </w:r>
    </w:p>
    <w:p>
      <w:pPr>
        <w:pStyle w:val="FirstParagraph"/>
      </w:pPr>
      <w:r>
        <w:t xml:space="preserve">Для каждого правила таблицы решений сформирован тест-кейс с конкретными входными данными и ожидаемым результатом.</w:t>
      </w:r>
    </w:p>
    <w:p>
      <w:pPr>
        <w:pStyle w:val="BodyText"/>
      </w:pPr>
      <w:r>
        <w:t xml:space="preserve">Таблица 5.4 — Тест-кейсы по таблице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2475"/>
        <w:gridCol w:w="346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  <w:tc>
          <w:tcPr/>
          <w:p>
            <w:pPr>
              <w:pStyle w:val="Compact"/>
            </w:pPr>
            <w:r>
              <w:t xml:space="preserve">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  <w:tc>
          <w:tcPr/>
          <w:p>
            <w:pPr>
              <w:pStyle w:val="Compact"/>
            </w:pPr>
            <w:r>
              <w:t xml:space="preserve">№2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  <w:tc>
          <w:tcPr/>
          <w:p>
            <w:pPr>
              <w:pStyle w:val="Compact"/>
            </w:pP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не задана,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не задана,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 репозиторий → ошибка</w:t>
            </w:r>
          </w:p>
        </w:tc>
        <w:tc>
          <w:tcPr/>
          <w:p>
            <w:pPr>
              <w:pStyle w:val="Compact"/>
            </w:pPr>
            <w:r>
              <w:t xml:space="preserve">Доменная ошибка (</w:t>
            </w:r>
            <w:r>
              <w:rPr>
                <w:rStyle w:val="VerbatimChar"/>
              </w:rPr>
              <w:t xml:space="preserve">sanatorium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guests exceed capacity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available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№7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 репозиторий → успех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бронирования (</w:t>
            </w:r>
            <w:r>
              <w:rPr>
                <w:rStyle w:val="VerbatimChar"/>
              </w:rPr>
              <w:t xml:space="preserve">status=confirmed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№8</w:t>
            </w:r>
          </w:p>
        </w:tc>
      </w:tr>
    </w:tbl>
    <w:p>
      <w:pPr>
        <w:pStyle w:val="BodyText"/>
      </w:pPr>
      <w:r>
        <w:t xml:space="preserve">Все 8 тест-кейсов охватывают каждый из выявленных сценариев выполнения метода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, включая граничные случаи валидации входных данных и взаимодействия с репозиторием.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нагрузочное-тестирование"/>
    <w:p>
      <w:pPr>
        <w:pStyle w:val="Heading2"/>
      </w:pPr>
      <w:r>
        <w:t xml:space="preserve">5.2 Нагрузочное тестирование</w:t>
      </w:r>
    </w:p>
    <w:p>
      <w:pPr>
        <w:pStyle w:val="FirstParagraph"/>
      </w:pPr>
      <w:r>
        <w:t xml:space="preserve">Для оценки поведения разработанного приложения под нагрузкой было проведено нагрузочное тестирование с использованием инструмента k6. Целью тестирования являлась проверка корректности работы системы при выполнении типового пользовательского сценария, а также оценка времени отклика основных HTTP-запросов.</w:t>
      </w:r>
    </w:p>
    <w:p>
      <w:pPr>
        <w:pStyle w:val="BodyText"/>
      </w:pPr>
      <w:r>
        <w:t xml:space="preserve">В качестве тестируемого сценария был выбран пользовательский поток, включающий регистрацию пользователя, вход в систему, получение списка санаториев и выполнение операции создания бронирования. Таким образом, в рамках одного тестового прохода последовательно выполнялись основные действия, характерные для практического использования приложения.</w:t>
      </w:r>
    </w:p>
    <w:p>
      <w:pPr>
        <w:pStyle w:val="BodyText"/>
      </w:pPr>
      <w:r>
        <w:t xml:space="preserve">Нагрузка в ходе тестирования изменялась поэтапно. На первом этапе в течение 30 секунд количество виртуальных пользователей увеличивалось до 10. Далее в течение 1 минуты нагрузка возрастала до 50 виртуальных пользователей, после чего в течение ещё 1 минуты поддерживалась на этом уровне. На завершающем этапе в течение 30 секунд нагрузка снижалась до 0.</w:t>
      </w:r>
    </w:p>
    <w:p>
      <w:pPr>
        <w:pStyle w:val="BodyText"/>
      </w:pPr>
      <w:r>
        <w:t xml:space="preserve">В ходе тестирования были заданы пороговые значения для ключевых запросов. Для запроса получения списка санаториев было установлено требование, согласно которому 99% запросов должны выполняться менее чем за 1 секунду. Для запроса создания бронирования было установлено требование, согласно которому 99% запросов должны выполняться менее чем за 2 секунды. Кроме того, для общего числа ошибочных HTTP-запросов было задано ограничение не более 5%.</w:t>
      </w:r>
    </w:p>
    <w:p>
      <w:pPr>
        <w:pStyle w:val="BodyText"/>
      </w:pPr>
      <w:r>
        <w:t xml:space="preserve">Результат выполнения нагрузочного тестирования представлен на рисунке 5.1.</w:t>
      </w:r>
    </w:p>
    <w:p>
      <w:pPr>
        <w:pStyle w:val="BodyText"/>
      </w:pPr>
      <w:r>
        <w:rPr>
          <w:i/>
          <w:iCs/>
        </w:rPr>
        <w:t xml:space="preserve">[Вставьте рисунок 5.1 — скриншот вывода k6 в консоли]</w:t>
      </w:r>
    </w:p>
    <w:p>
      <w:pPr>
        <w:pStyle w:val="BodyText"/>
      </w:pPr>
      <w:r>
        <w:rPr>
          <w:b/>
          <w:bCs/>
        </w:rPr>
        <w:t xml:space="preserve">Рисунок 5.1 — Результат нагрузочного тестирования с использованием k6</w:t>
      </w:r>
    </w:p>
    <w:p>
      <w:pPr>
        <w:pStyle w:val="BodyText"/>
      </w:pPr>
      <w:r>
        <w:t xml:space="preserve">По результатам тестирования установлено, что проверки корректности регистрации, аутентификации и получения списка санаториев были пройдены в полном объёме: по каждому из этих шагов зафиксировано 3 488 успешных выполнений из 3 488. Операция создания бронирования завершилась с частичными ошибками: из 3 488 попыток успешно выполнено 2 316, что составляет 66,4%. В совокупности из 20 928 проверок успешно пройдено 19 756 (94,40%), доля неуспешных проверок составила 5,60%.</w:t>
      </w:r>
    </w:p>
    <w:p>
      <w:pPr>
        <w:pStyle w:val="BodyText"/>
      </w:pPr>
      <w:r>
        <w:t xml:space="preserve">Среднее время выполнения HTTP-запросов по всем операциям составило 358,71 мс, медианное значение — 129,59 мс, 90-й процентиль — 1001,81 мс, 95-й процентиль — 1109,77 мс. Для запроса получения списка санаториев среднее время отклика составило 25,44 мс, значение p(99) — 93,01 мс. Для запроса создания бронирования среднее время отклика составило 40,99 мс, значение p(99) — 135,28 мс.</w:t>
      </w:r>
    </w:p>
    <w:p>
      <w:pPr>
        <w:pStyle w:val="BodyText"/>
      </w:pPr>
      <w:r>
        <w:t xml:space="preserve">Заданные пороговые значения по времени отклика выполнены со значительным запасом: для запроса получения санаториев p(99) = 93 мс при установленном ограничении менее 1000 мс, для запроса создания бронирования p(99) = 135 мс при установленном ограничении менее 2000 мс. Вместе с тем пороговое значение по доле ошибочных HTTP-запросов не было достигнуто: показатель</w:t>
      </w:r>
      <w:r>
        <w:t xml:space="preserve"> </w:t>
      </w:r>
      <w:r>
        <w:rPr>
          <w:rStyle w:val="VerbatimChar"/>
        </w:rPr>
        <w:t xml:space="preserve">http_req_failed</w:t>
      </w:r>
      <w:r>
        <w:t xml:space="preserve"> </w:t>
      </w:r>
      <w:r>
        <w:t xml:space="preserve">составил 8,40% при допустимом значении не более 5%.</w:t>
      </w:r>
    </w:p>
    <w:p>
      <w:pPr>
        <w:pStyle w:val="BodyText"/>
      </w:pPr>
      <w:r>
        <w:t xml:space="preserve">Источником всех ошибок является операция создания бронирования. Анализ показывает, что отказы обусловлены не деградацией производительности, а конфликтами бизнес-правил при параллельной нагрузке: санаторий с ограниченной вместимостью уже занят на запрашиваемые даты, и сервис корректно отклоняет повторные попытки бронирования. Это поведение является штатным с точки зрения логики приложения.</w:t>
      </w:r>
    </w:p>
    <w:p>
      <w:pPr>
        <w:pStyle w:val="BodyText"/>
      </w:pPr>
      <w:r>
        <w:t xml:space="preserve">Таким образом, результаты нагрузочного тестирования показали, что приложение обеспечивает высокую скорость отклика и успешно обрабатывает сценарии регистрации, аутентификации и просмотра данных без ошибок. Превышение порога по доле ошибок обусловлено особенностями тестового сценария и может быть устранено путём расширения тестовых данных либо разделения временны́х диапазонов бронирования между виртуальными пользователями.</w:t>
      </w:r>
    </w:p>
    <w:p>
      <w:r>
        <w:pict>
          <v:rect style="width:0;height:1.5pt" o:hralign="center" o:hrstd="t" o:hr="t"/>
        </w:pict>
      </w:r>
    </w:p>
    <w:bookmarkEnd w:id="14"/>
    <w:bookmarkStart w:id="21" w:name="метрики-кода"/>
    <w:p>
      <w:pPr>
        <w:pStyle w:val="Heading2"/>
      </w:pPr>
      <w:r>
        <w:t xml:space="preserve">5.3 Метрики кода</w:t>
      </w:r>
    </w:p>
    <w:p>
      <w:pPr>
        <w:pStyle w:val="FirstParagraph"/>
      </w:pPr>
      <w:r>
        <w:t xml:space="preserve">Статический анализ метрик кода был выполнен для метода</w:t>
      </w:r>
      <w:r>
        <w:t xml:space="preserve"> </w:t>
      </w:r>
      <w:r>
        <w:rPr>
          <w:rStyle w:val="VerbatimChar"/>
        </w:rPr>
        <w:t xml:space="preserve">BookingService.CreateBooking</w:t>
      </w:r>
      <w:r>
        <w:t xml:space="preserve"> </w:t>
      </w:r>
      <w:r>
        <w:t xml:space="preserve">— центрального метода сервисного слоя, реализующего сценарий создания бронирования. Метод расположен в файле</w:t>
      </w:r>
      <w:r>
        <w:t xml:space="preserve"> </w:t>
      </w:r>
      <w:r>
        <w:rPr>
          <w:rStyle w:val="VerbatimChar"/>
        </w:rPr>
        <w:t xml:space="preserve">src/go-microservices/deal-service/internal/service/booking.go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[Вставьте Листинг 1 — Функция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CreateBooking</w:t>
      </w:r>
      <w:r>
        <w:rPr>
          <w:i/>
          <w:iCs/>
        </w:rPr>
        <w:t xml:space="preserve"> </w:t>
      </w:r>
      <w:r>
        <w:rPr>
          <w:i/>
          <w:iCs/>
        </w:rPr>
        <w:t xml:space="preserve">из ЛР3]</w:t>
      </w:r>
    </w:p>
    <w:bookmarkStart w:id="15" w:name="метрики-размера-программы"/>
    <w:p>
      <w:pPr>
        <w:pStyle w:val="Heading3"/>
      </w:pPr>
      <w:r>
        <w:t xml:space="preserve">5.3.1 Метрики размера программы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число строк кода (без пустых)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строк-комментариев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Процент комментариев</w:t>
            </w:r>
          </w:p>
        </w:tc>
        <w:tc>
          <w:tcPr/>
          <w:p>
            <w:pPr>
              <w:pStyle w:val="Compact"/>
            </w:pPr>
            <w:r>
              <w:t xml:space="preserve">0,00%</w:t>
            </w:r>
          </w:p>
        </w:tc>
      </w:tr>
    </w:tbl>
    <w:p>
      <w:pPr>
        <w:pStyle w:val="BodyText"/>
      </w:pPr>
      <w:r>
        <w:t xml:space="preserve">Отсутствие комментариев обусловлено тем, что логика метода выражается через именованные ошибки (</w:t>
      </w:r>
      <w:r>
        <w:rPr>
          <w:rStyle w:val="VerbatimChar"/>
        </w:rPr>
        <w:t xml:space="preserve">ErrInvalidGuests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ErrInvalidDateRange</w:t>
      </w:r>
      <w:r>
        <w:t xml:space="preserve">) и структуры входных данных, которые самодокументируют поведение.</w:t>
      </w:r>
    </w:p>
    <w:bookmarkEnd w:id="15"/>
    <w:bookmarkStart w:id="16" w:name="метрики-холстеда"/>
    <w:p>
      <w:pPr>
        <w:pStyle w:val="Heading3"/>
      </w:pPr>
      <w:r>
        <w:t xml:space="preserve">5.3.2 Метрики Холстеда</w:t>
      </w:r>
    </w:p>
    <w:p>
      <w:pPr>
        <w:pStyle w:val="FirstParagraph"/>
      </w:pPr>
      <w:r>
        <w:t xml:space="preserve">Метрики Холстеда оценивают сложность программы через словарь и частоту использования операторов и операндов.</w:t>
      </w:r>
    </w:p>
    <w:p>
      <w:pPr>
        <w:pStyle w:val="BodyText"/>
      </w:pPr>
      <w:r>
        <w:rPr>
          <w:i/>
          <w:iCs/>
        </w:rPr>
        <w:t xml:space="preserve">[Вставьте Таблицу 2.1 — Словарь операторов и Таблицу 2.2 — Словарь операндов из ЛР3]</w:t>
      </w:r>
    </w:p>
    <w:p>
      <w:pPr>
        <w:pStyle w:val="BodyText"/>
      </w:pPr>
      <w:r>
        <w:t xml:space="preserve">Сводные результаты расчёта: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уникальных операторов</w:t>
            </w:r>
          </w:p>
        </w:tc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уникальных операндов</w:t>
            </w:r>
          </w:p>
        </w:tc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Словарь программы</w:t>
            </w:r>
          </w:p>
        </w:tc>
        <w:tc>
          <w:tcPr/>
          <w:p>
            <w:pPr>
              <w:pStyle w:val="Compact"/>
            </w:pPr>
            <w:r>
              <w:t xml:space="preserve">n = n1 + n2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Суммарное число операторов</w:t>
            </w:r>
          </w:p>
        </w:tc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Суммарное число операндов</w:t>
            </w:r>
          </w:p>
        </w:tc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программы</w:t>
            </w:r>
          </w:p>
        </w:tc>
        <w:tc>
          <w:tcPr/>
          <w:p>
            <w:pPr>
              <w:pStyle w:val="Compact"/>
            </w:pPr>
            <w:r>
              <w:t xml:space="preserve">N = N1 + N2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программы</w:t>
            </w:r>
          </w:p>
        </w:tc>
        <w:tc>
          <w:tcPr/>
          <w:p>
            <w:pPr>
              <w:pStyle w:val="Compact"/>
            </w:pPr>
            <w:r>
              <w:t xml:space="preserve">V = N · log₂(n)</w:t>
            </w:r>
          </w:p>
        </w:tc>
        <w:tc>
          <w:tcPr/>
          <w:p>
            <w:pPr>
              <w:pStyle w:val="Compact"/>
            </w:pPr>
            <w:r>
              <w:t xml:space="preserve">406,40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Сложность программы</w:t>
            </w:r>
          </w:p>
        </w:tc>
        <w:tc>
          <w:tcPr/>
          <w:p>
            <w:pPr>
              <w:pStyle w:val="Compact"/>
            </w:pPr>
            <w:r>
              <w:t xml:space="preserve">D = (n1/2) · (N2/n2)</w:t>
            </w:r>
          </w:p>
        </w:tc>
        <w:tc>
          <w:tcPr/>
          <w:p>
            <w:pPr>
              <w:pStyle w:val="Compact"/>
            </w:pPr>
            <w:r>
              <w:t xml:space="preserve">12,00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Интеллектуальные усилия</w:t>
            </w:r>
          </w:p>
        </w:tc>
        <w:tc>
          <w:tcPr/>
          <w:p>
            <w:pPr>
              <w:pStyle w:val="Compact"/>
            </w:pPr>
            <w:r>
              <w:t xml:space="preserve">E = D · V</w:t>
            </w:r>
          </w:p>
        </w:tc>
        <w:tc>
          <w:tcPr/>
          <w:p>
            <w:pPr>
              <w:pStyle w:val="Compact"/>
            </w:pPr>
            <w:r>
              <w:t xml:space="preserve">4 876,80</w:t>
            </w:r>
          </w:p>
        </w:tc>
      </w:tr>
    </w:tbl>
    <w:p>
      <w:pPr>
        <w:pStyle w:val="BodyText"/>
      </w:pPr>
      <w:r>
        <w:t xml:space="preserve">Значение объёма V = 406,40 находится в диапазоне 20–1000, что соответствует умеренной сложности функции.</w:t>
      </w:r>
    </w:p>
    <w:bookmarkEnd w:id="16"/>
    <w:bookmarkStart w:id="17" w:name="цикломатическая-сложность"/>
    <w:p>
      <w:pPr>
        <w:pStyle w:val="Heading3"/>
      </w:pPr>
      <w:r>
        <w:t xml:space="preserve">5.3.3 Цикломатическая сложность</w:t>
      </w:r>
    </w:p>
    <w:p>
      <w:pPr>
        <w:pStyle w:val="FirstParagraph"/>
      </w:pPr>
      <w:r>
        <w:t xml:space="preserve">Цикломатическая сложность (CC) по Маккейбу определяет число независимых путей выполнения через функцию и характеризует минимальное количество тест-кейсов, необходимых для полного покрытия ветвей.</w:t>
      </w:r>
    </w:p>
    <w:p>
      <w:pPr>
        <w:pStyle w:val="BodyText"/>
      </w:pPr>
      <w:r>
        <w:t xml:space="preserve">Для метода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:</w:t>
      </w:r>
      <w:r>
        <w:t xml:space="preserve"> </w:t>
      </w:r>
      <w:r>
        <w:rPr>
          <w:b/>
          <w:bCs/>
        </w:rPr>
        <w:t xml:space="preserve">CC = 6</w:t>
      </w:r>
      <w:r>
        <w:t xml:space="preserve">.</w:t>
      </w:r>
    </w:p>
    <w:p>
      <w:pPr>
        <w:pStyle w:val="BodyText"/>
      </w:pPr>
      <w:r>
        <w:t xml:space="preserve">Это значение соответствует умеренной сложности. Метод содержит четыре ветвления: проверку обязательных идентификаторов, проверку количества гостей, валидацию диапазона дат и обработку ошибки репозитория.</w:t>
      </w:r>
    </w:p>
    <w:p>
      <w:pPr>
        <w:pStyle w:val="BodyText"/>
      </w:pPr>
      <w:r>
        <w:t xml:space="preserve">Цикломатическая сложность всех методов типа</w:t>
      </w:r>
      <w:r>
        <w:t xml:space="preserve"> </w:t>
      </w:r>
      <w:r>
        <w:rPr>
          <w:rStyle w:val="VerbatimChar"/>
        </w:rPr>
        <w:t xml:space="preserve">BookingService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ListSanatoriums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GetSanatoriumDetails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UpdateBooking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CancelBooking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publishBookingEvent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ListBookings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GetBooking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WMC (сумма)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</w:tr>
    </w:tbl>
    <w:bookmarkEnd w:id="17"/>
    <w:bookmarkStart w:id="18" w:name="метрика-чепина"/>
    <w:p>
      <w:pPr>
        <w:pStyle w:val="Heading3"/>
      </w:pPr>
      <w:r>
        <w:t xml:space="preserve">5.3.4 Метрика Чепина</w:t>
      </w:r>
    </w:p>
    <w:p>
      <w:pPr>
        <w:pStyle w:val="FirstParagraph"/>
      </w:pPr>
      <w:r>
        <w:t xml:space="preserve">Метрика Чепина оценивает функциональную сложность через роль переменных в методе.</w:t>
      </w:r>
    </w:p>
    <w:p>
      <w:pPr>
        <w:pStyle w:val="BodyText"/>
      </w:pPr>
      <w:r>
        <w:rPr>
          <w:i/>
          <w:iCs/>
        </w:rPr>
        <w:t xml:space="preserve">[Вставьте Таблицу 4.1 — Разбиение переменных по группам Чепина из ЛР3]</w:t>
      </w:r>
    </w:p>
    <w:p>
      <w:pPr>
        <w:pStyle w:val="BodyText"/>
      </w:pPr>
      <w:r>
        <w:t xml:space="preserve">Результат:</w:t>
      </w:r>
      <w:r>
        <w:t xml:space="preserve"> </w:t>
      </w:r>
      <w:r>
        <w:rPr>
          <w:b/>
          <w:bCs/>
        </w:rPr>
        <w:t xml:space="preserve">Q = 22,00</w:t>
      </w:r>
      <w:r>
        <w:t xml:space="preserve">.</w:t>
      </w:r>
    </w:p>
    <w:p>
      <w:pPr>
        <w:pStyle w:val="BodyText"/>
      </w:pPr>
      <w:r>
        <w:t xml:space="preserve">Формула:</w:t>
      </w:r>
      <w:r>
        <w:t xml:space="preserve"> </w:t>
      </w:r>
      <w:r>
        <w:rPr>
          <w:rStyle w:val="VerbatimChar"/>
        </w:rPr>
        <w:t xml:space="preserve">Q = 1·P + 2·M + 3·C + 0,5·T = 1·2 + 2·1 + 3·6 + 0,5·0 = 22,00</w:t>
      </w:r>
      <w:r>
        <w:t xml:space="preserve">.</w:t>
      </w:r>
    </w:p>
    <w:p>
      <w:pPr>
        <w:pStyle w:val="BodyText"/>
      </w:pPr>
      <w:r>
        <w:t xml:space="preserve">Значение показывает, что основная сложность метода формируется условными переменными валидации (группа C), что согласуется с результатами цикломатической сложности.</w:t>
      </w:r>
    </w:p>
    <w:bookmarkEnd w:id="18"/>
    <w:bookmarkStart w:id="19" w:name="объектная-метрика-wmc"/>
    <w:p>
      <w:pPr>
        <w:pStyle w:val="Heading3"/>
      </w:pPr>
      <w:r>
        <w:t xml:space="preserve">5.3.5 Объектная метрика WMC</w:t>
      </w:r>
    </w:p>
    <w:p>
      <w:pPr>
        <w:pStyle w:val="FirstParagraph"/>
      </w:pPr>
      <w:r>
        <w:t xml:space="preserve">Метрика WMC (Weighted Methods per Class) определяет суммарную сложность всех методов класса. Для</w:t>
      </w:r>
      <w:r>
        <w:t xml:space="preserve"> </w:t>
      </w:r>
      <w:r>
        <w:rPr>
          <w:rStyle w:val="VerbatimChar"/>
        </w:rPr>
        <w:t xml:space="preserve">BookingService</w:t>
      </w:r>
      <w:r>
        <w:t xml:space="preserve"> </w:t>
      </w:r>
      <w:r>
        <w:t xml:space="preserve">WMC =</w:t>
      </w:r>
      <w:r>
        <w:t xml:space="preserve"> </w:t>
      </w:r>
      <w:r>
        <w:rPr>
          <w:b/>
          <w:bCs/>
        </w:rPr>
        <w:t xml:space="preserve">40</w:t>
      </w:r>
      <w:r>
        <w:t xml:space="preserve">, что отражает концентрацию бизнес-логики в одном типе. Наибольший вклад вносят</w:t>
      </w:r>
      <w:r>
        <w:t xml:space="preserve"> </w:t>
      </w:r>
      <w:r>
        <w:rPr>
          <w:rStyle w:val="VerbatimChar"/>
        </w:rPr>
        <w:t xml:space="preserve">ListSanatoriums</w:t>
      </w:r>
      <w:r>
        <w:t xml:space="preserve"> </w:t>
      </w:r>
      <w:r>
        <w:t xml:space="preserve">(CC = 10) и группа методов создания, обновления и получения деталей санатория (CC = 6 каждый).</w:t>
      </w:r>
    </w:p>
    <w:bookmarkEnd w:id="19"/>
    <w:bookmarkStart w:id="20" w:name="автоматизированный-подсчёт"/>
    <w:p>
      <w:pPr>
        <w:pStyle w:val="Heading3"/>
      </w:pPr>
      <w:r>
        <w:t xml:space="preserve">5.3.6 Автоматизированный подсчёт</w:t>
      </w:r>
    </w:p>
    <w:p>
      <w:pPr>
        <w:pStyle w:val="FirstParagraph"/>
      </w:pPr>
      <w:r>
        <w:t xml:space="preserve">Метрики были верифицированы с помощью инструмента</w:t>
      </w:r>
      <w:r>
        <w:t xml:space="preserve"> </w:t>
      </w:r>
      <w:r>
        <w:rPr>
          <w:rStyle w:val="VerbatimChar"/>
        </w:rPr>
        <w:t xml:space="preserve">gocyclo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[Вставьте листинг с выводом gocyclo из ЛР3, Часть 6]</w:t>
      </w:r>
    </w:p>
    <w:p>
      <w:pPr>
        <w:pStyle w:val="BodyText"/>
      </w:pPr>
      <w:r>
        <w:t xml:space="preserve">Среднее значение цикломатической сложности по всем функциям файла:</w:t>
      </w:r>
      <w:r>
        <w:t xml:space="preserve"> </w:t>
      </w:r>
      <w:r>
        <w:rPr>
          <w:b/>
          <w:bCs/>
        </w:rPr>
        <w:t xml:space="preserve">3,85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выводы"/>
    <w:p>
      <w:pPr>
        <w:pStyle w:val="Heading2"/>
      </w:pPr>
      <w:r>
        <w:t xml:space="preserve">5.4 Выводы</w:t>
      </w:r>
    </w:p>
    <w:p>
      <w:pPr>
        <w:pStyle w:val="FirstParagraph"/>
      </w:pPr>
      <w:r>
        <w:t xml:space="preserve">В ходе тестирования микросервиса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 </w:t>
      </w:r>
      <w:r>
        <w:t xml:space="preserve">были получены следующие результаты.</w:t>
      </w:r>
    </w:p>
    <w:p>
      <w:pPr>
        <w:pStyle w:val="BodyText"/>
      </w:pPr>
      <w:r>
        <w:t xml:space="preserve">Функциональное тестирование методом классов эквивалентности для поля</w:t>
      </w:r>
      <w:r>
        <w:t xml:space="preserve"> </w:t>
      </w:r>
      <w:r>
        <w:rPr>
          <w:rStyle w:val="VerbatimChar"/>
        </w:rPr>
        <w:t xml:space="preserve">guests</w:t>
      </w:r>
      <w:r>
        <w:t xml:space="preserve"> </w:t>
      </w:r>
      <w:r>
        <w:t xml:space="preserve">выявило 6 классов (1 правильный и 5 неправильных), все классы покрыты тест-кейсами. Поведение сервиса при граничных и недопустимых значениях соответствует заданным требованиям.</w:t>
      </w:r>
    </w:p>
    <w:p>
      <w:pPr>
        <w:pStyle w:val="BodyText"/>
      </w:pPr>
      <w:r>
        <w:t xml:space="preserve">Нагрузочное тестирование показало, что система обеспечивает высокую скорость ответа: время обработки запросов значительно ниже установленных порогов даже при 50 одновременных пользователях. Однако общая доля ошибок (8,40%) превысила допустимый порог (5%) из-за конфликтов бизнес-правил при параллельном создании бронирований, что указывает на необходимость доработки тестового сценария либо расширения тестовых данных.</w:t>
      </w:r>
    </w:p>
    <w:p>
      <w:pPr>
        <w:pStyle w:val="BodyText"/>
      </w:pPr>
      <w:r>
        <w:t xml:space="preserve">Статический анализ метода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 </w:t>
      </w:r>
      <w:r>
        <w:t xml:space="preserve">показал умеренную сложность: объём по Холстеду V = 406,40, цикломатическая сложность CC = 6, метрика Чепина Q = 22. Показатели соответствуют уровню, приемлемому для сопровождения и тестирования.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2026-03-31T11:45:25Z</dcterms:created>
  <dcterms:modified xsi:type="dcterms:W3CDTF">2026-03-31T11:45:25Z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