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Таблицы для разделов 2 и 3 пояснительной записки</w:t>
      </w:r>
    </w:p>
    <w:p>
      <w:pPr>
        <w:pStyle w:val="BodyText"/>
      </w:pPr>
      <w:r>
        <w:t xml:space="preserve">Документ предназначен для переноса таблиц в основную работу в Word. Сборка DOCX выполняется без шаблона стилей (–reference-doc не используется), чтобы таблицы корректно отображались в Word.</w:t>
      </w:r>
    </w:p>
    <w:p>
      <w:pPr>
        <w:pStyle w:val="BodyText"/>
      </w:pPr>
      <w:r>
        <w:t xml:space="preserve">Раздел 2. Проектирование</w:t>
      </w:r>
    </w:p>
    <w:p>
      <w:pPr>
        <w:pStyle w:val="BodyText"/>
      </w:pPr>
      <w:r>
        <w:t xml:space="preserve">Таблица 1 – Сущности концептуальной модели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1"/>
        <w:gridCol w:w="2970"/>
        <w:gridCol w:w="25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Название сущности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Условный идентификатор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сущности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Учётная запись клиента или администратора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Санаторий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Sanatorium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объекта размещения и лечения, параметры для фильтрации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Медицинский профиль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профилей лечения для персонализированного подбора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клиента на размещение в санатории на период дат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Счёт на оплату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на оплату, связанный с бронированием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оплаты счёта с ключом идемпотентности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Договор (служебный контур)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Резервная сущность служебного учёта размещения (при расширении B2B-сценариев)</w:t>
            </w:r>
          </w:p>
        </w:tc>
      </w:tr>
    </w:tbl>
    <w:p>
      <w:pPr>
        <w:pStyle w:val="BodyText"/>
      </w:pPr>
      <w:r>
        <w:t xml:space="preserve">Таблица 2 – Связи между сущностями концептуальной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6"/>
        <w:gridCol w:w="1827"/>
        <w:gridCol w:w="1827"/>
        <w:gridCol w:w="1675"/>
        <w:gridCol w:w="1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Связь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Сущность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Сущность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 – Бронирование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клиент может иметь множество бронирований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Санаторий – Бронирование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Санаторий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санаторий принимает множество бронирований на разные периоды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Санаторий – Медицинский профиль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Санаторий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Медицинский профиль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Санаторий специализируется на нескольких профилях лечения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Бронирование – 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клиентского сценария счёт выставляется на конкретное бронирование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Счёт – Платёж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счёту допускается учёт попыток оплаты; успешная фиксируется идемпотентно</w:t>
            </w:r>
          </w:p>
        </w:tc>
      </w:tr>
    </w:tbl>
    <w:p>
      <w:pPr>
        <w:pStyle w:val="BodyText"/>
      </w:pPr>
      <w:r>
        <w:t xml:space="preserve">Таблица 3 – Методы REST API микросервиса аутентификации (auth-service)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 и выдача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проверка доступности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/health/live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Liveness-проверка для оркестратора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Readiness-проверка с контролем 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Prometheus</w:t>
            </w:r>
          </w:p>
        </w:tc>
      </w:tr>
    </w:tbl>
    <w:p>
      <w:pPr>
        <w:pStyle w:val="BodyText"/>
      </w:pPr>
      <w:r>
        <w:t xml:space="preserve">Таблица 4 – Методы REST API микросервиса бронирований (публичный и клиентский контур, deal-service)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3494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Проксирование регистрации в auth-service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Проксирование входа в auth-service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/api/sanatoriums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санаториев с фильтрацией и пагинацией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/api/sanatoriums/{id}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Детали санатория и проверка доступности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/api/medical-profiles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медицинских профилей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бронирования (роль 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собственных бронирований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/api/bookings/{id}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бронирования по идентификатору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/api/bookings/{id}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параметров бронирования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/api/bookings/{id}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бронирования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/api/bookings/{id}/checkout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Выставление счёта на бронирование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/api/bookings/{id}/pay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Проведение оплаты (идемпотентно)</w:t>
            </w:r>
          </w:p>
        </w:tc>
      </w:tr>
    </w:tbl>
    <w:p>
      <w:pPr>
        <w:pStyle w:val="BodyText"/>
      </w:pPr>
      <w:r>
        <w:t xml:space="preserve">Таблица 5 – Методы REST API административного контура (deal-service)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3494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бронирований с фильтрами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/api/admin/bookings/{id}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бронирования администратором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/api/admin/bookings/{id}/checkout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Выставление счёта (служебно)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/api/admin/bookings/{id}/pay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оплаты (служебно)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/api/admin/sanatoriums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санаториев (администратор)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/api/admin/sanatoriums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санатория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/api/admin/sanatoriums/{id}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данных санатория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/api/admin/sanatoriums/{id}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санатория</w:t>
            </w:r>
          </w:p>
        </w:tc>
      </w:tr>
    </w:tbl>
    <w:p>
      <w:pPr>
        <w:pStyle w:val="BodyText"/>
      </w:pPr>
      <w:r>
        <w:t xml:space="preserve">Таблица 6 – Методы REST API микросервиса оплаты (payment-service)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3494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/internal/invoices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счёта (contract_id или booking_id), заголовок X-Internal-API-Key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Проведение платежа, заголовок Idempotency-Key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сведений о платеже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проверка доступности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Readiness-проверка с контролем 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Prometheus</w:t>
            </w:r>
          </w:p>
        </w:tc>
      </w:tr>
    </w:tbl>
    <w:p>
      <w:pPr>
        <w:pStyle w:val="BodyText"/>
      </w:pPr>
      <w:r>
        <w:t xml:space="preserve">Раздел 3. Реализация</w:t>
      </w:r>
    </w:p>
    <w:p>
      <w:pPr>
        <w:pStyle w:val="BodyText"/>
      </w:pPr>
      <w:r>
        <w:t xml:space="preserve">Таблица 7 – Атрибуты отношения deal.bookings (фрагмент)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Содержание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в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санатория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sanatorium_id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заезда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выезда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гостей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Сумма к оплате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Ссылка на 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</w:tbl>
    <w:p>
      <w:pPr>
        <w:pStyle w:val="BodyText"/>
      </w:pPr>
      <w:r>
        <w:t xml:space="preserve">Таблица 8 – Атрибуты отношения payment.invoices (фрагмент)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Содержание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в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выставления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Примечание к таблице 8: ровно одно из полей contract_id или booking_id должно быть заполнено (ограничение invoices_reference_check).</w:t>
      </w:r>
    </w:p>
    <w:p>
      <w:pPr>
        <w:pStyle w:val="BodyText"/>
      </w:pPr>
      <w:r>
        <w:t xml:space="preserve">Таблица 9 – Основные компоненты клиентской части (React SPA)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маршрутизация, разделение публичных и защищённых маршрутов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санаториев и панель фильтров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SanatoriumDetailPage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Детали санатория и форма бронирования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MyBookingsPage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бронирований клиента, оплата и отмена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 административного контура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AdminBookingsTab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бронирований, служебные операции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AdminSanatoriumsTab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каталогом санаториев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MedicalProfileChip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медицинских профилей с локализацией подписей</w:t>
            </w:r>
          </w:p>
        </w:tc>
      </w:tr>
    </w:tbl>
    <w:p>
      <w:pPr>
        <w:pStyle w:val="BodyText"/>
      </w:pPr>
      <w:r>
        <w:t xml:space="preserve">Справочно: перечень диаграмм для разделов 2–3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 рисунка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Рабочее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ПЗ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Развёртывание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Архитектура развёртывания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Компоненты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Диаграмма компонентов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Концептуальная модель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Логическая модель (схемы auth, deal, payment)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Физическая модель (фрагмент)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экранов веб-приложения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Бронирование и 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Администрирование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/ скриншот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Реализованная структура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Компоненты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Клиентская часть (React)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Скриншот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Экраны пользовательского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2026-06-03T14:20:44Z</dcterms:created>
  <dcterms:modified xsi:type="dcterms:W3CDTF">2026-06-03T14:20:44Z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