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spacing w:before="0" w:after="400"/>
        <w:ind w:left="0" w:right="0" w:firstLine="0"/>
        <w:jc w:val="left"/>
        <w:rPr>
          <w:rFonts w:ascii="Helvetica" w:cs="Helvetica" w:hAnsi="Helvetica" w:eastAsia="Helvetica"/>
          <w:b w:val="0"/>
          <w:bCs w:val="0"/>
          <w:sz w:val="32"/>
          <w:szCs w:val="32"/>
          <w:rtl w:val="0"/>
        </w:rPr>
      </w:pPr>
      <w:r>
        <w:rPr>
          <w:rFonts w:ascii="Helvetica" w:hAnsi="Helvetica"/>
          <w:b w:val="1"/>
          <w:bCs w:val="1"/>
          <w:sz w:val="32"/>
          <w:szCs w:val="32"/>
          <w:rtl w:val="0"/>
          <w:lang w:val="en-US"/>
        </w:rPr>
        <w:t>Navigating Compliance Challenges: Understanding Hurdles in Addressing Anti-Money Laundering Measures</w:t>
      </w:r>
    </w:p>
    <w:p>
      <w:pPr>
        <w:pStyle w:val="Default"/>
        <w:bidi w:val="0"/>
        <w:spacing w:before="0" w:after="400"/>
        <w:ind w:left="0" w:right="0" w:firstLine="0"/>
        <w:jc w:val="left"/>
        <w:rPr>
          <w:rFonts w:ascii="Helvetica" w:cs="Helvetica" w:hAnsi="Helvetica" w:eastAsia="Helvetica"/>
          <w:sz w:val="32"/>
          <w:szCs w:val="32"/>
          <w:rtl w:val="0"/>
        </w:rPr>
      </w:pPr>
      <w:r>
        <w:rPr>
          <w:rFonts w:ascii="Helvetica" w:hAnsi="Helvetica"/>
          <w:sz w:val="32"/>
          <w:szCs w:val="32"/>
          <w:rtl w:val="0"/>
          <w:lang w:val="en-US"/>
        </w:rPr>
        <w:t>The journey towards achieving full compliance with anti-money laundering (AML) regulations is often fraught with challenges and complexities. Despite our institution's earnest efforts to enhance monitoring systems for transactions exceeding $10,000, several hurdles have impeded the completion of this crucial action item. Understanding these challenges is essential for devising effective strategies to overcome them and fortify our AML framework.</w:t>
      </w:r>
    </w:p>
    <w:p>
      <w:pPr>
        <w:pStyle w:val="Default"/>
        <w:bidi w:val="0"/>
        <w:spacing w:before="0" w:after="400"/>
        <w:ind w:left="0" w:right="0" w:firstLine="0"/>
        <w:jc w:val="left"/>
        <w:rPr>
          <w:rFonts w:ascii="Helvetica" w:cs="Helvetica" w:hAnsi="Helvetica" w:eastAsia="Helvetica"/>
          <w:sz w:val="32"/>
          <w:szCs w:val="32"/>
          <w:rtl w:val="0"/>
        </w:rPr>
      </w:pPr>
      <w:r>
        <w:rPr>
          <w:rFonts w:ascii="Helvetica" w:hAnsi="Helvetica"/>
          <w:sz w:val="32"/>
          <w:szCs w:val="32"/>
          <w:rtl w:val="0"/>
          <w:lang w:val="en-US"/>
        </w:rPr>
        <w:t>One significant obstacle we encountered was the intricacy of our existing IT infrastructure. Our legacy systems posed limitations in terms of scalability, data integration, and real-time processing capabilities, hindering the seamless implementation of advanced monitoring technologies. Integrating new solutions into our complex IT environment required extensive customization and testing, prolonging the deployment timeline and delaying the realization of desired outcomes.</w:t>
      </w:r>
    </w:p>
    <w:p>
      <w:pPr>
        <w:pStyle w:val="Default"/>
        <w:bidi w:val="0"/>
        <w:spacing w:before="0" w:after="400"/>
        <w:ind w:left="0" w:right="0" w:firstLine="0"/>
        <w:jc w:val="left"/>
        <w:rPr>
          <w:rFonts w:ascii="Helvetica" w:cs="Helvetica" w:hAnsi="Helvetica" w:eastAsia="Helvetica"/>
          <w:sz w:val="32"/>
          <w:szCs w:val="32"/>
          <w:rtl w:val="0"/>
        </w:rPr>
      </w:pPr>
      <w:r>
        <w:rPr>
          <w:rFonts w:ascii="Helvetica" w:hAnsi="Helvetica"/>
          <w:sz w:val="32"/>
          <w:szCs w:val="32"/>
          <w:rtl w:val="0"/>
          <w:lang w:val="en-US"/>
        </w:rPr>
        <w:t>Moreover, the regulatory landscape governing AML compliance is continually evolving, presenting a dynamic and multifaceted set of requirements that demand careful navigation. Interpretation and implementation of regulatory guidelines can vary across jurisdictions, adding layers of complexity to compliance efforts. Adhering to stringent regulatory standards while balancing operational efficiency and customer experience necessitated meticulous planning and coordination across multiple departments.</w:t>
      </w:r>
    </w:p>
    <w:p>
      <w:pPr>
        <w:pStyle w:val="Default"/>
        <w:bidi w:val="0"/>
        <w:spacing w:before="0" w:after="400"/>
        <w:ind w:left="0" w:right="0" w:firstLine="0"/>
        <w:jc w:val="left"/>
        <w:rPr>
          <w:rFonts w:ascii="Helvetica" w:cs="Helvetica" w:hAnsi="Helvetica" w:eastAsia="Helvetica"/>
          <w:sz w:val="32"/>
          <w:szCs w:val="32"/>
          <w:rtl w:val="0"/>
        </w:rPr>
      </w:pPr>
      <w:r>
        <w:rPr>
          <w:rFonts w:ascii="Helvetica" w:hAnsi="Helvetica"/>
          <w:sz w:val="32"/>
          <w:szCs w:val="32"/>
          <w:rtl w:val="0"/>
          <w:lang w:val="en-US"/>
        </w:rPr>
        <w:t>Another significant challenge we faced was resource constraints, both in terms of personnel and budgetary allocations. Developing and implementing robust AML controls requires specialized expertise in compliance, data analytics, and technology. Recruiting and retaining qualified personnel with the requisite skill sets proved to be a formidable task, particularly amidst competition for talent within the financial services industry. Additionally, securing adequate funding for technology upgrades and infrastructure enhancements posed financial constraints that impacted the pace of implementation.</w:t>
      </w:r>
    </w:p>
    <w:p>
      <w:pPr>
        <w:pStyle w:val="Default"/>
        <w:bidi w:val="0"/>
        <w:spacing w:before="0" w:after="400"/>
        <w:ind w:left="0" w:right="0" w:firstLine="0"/>
        <w:jc w:val="left"/>
        <w:rPr>
          <w:rFonts w:ascii="Helvetica" w:cs="Helvetica" w:hAnsi="Helvetica" w:eastAsia="Helvetica"/>
          <w:sz w:val="32"/>
          <w:szCs w:val="32"/>
          <w:rtl w:val="0"/>
        </w:rPr>
      </w:pPr>
      <w:r>
        <w:rPr>
          <w:rFonts w:ascii="Helvetica" w:hAnsi="Helvetica"/>
          <w:sz w:val="32"/>
          <w:szCs w:val="32"/>
          <w:rtl w:val="0"/>
          <w:lang w:val="en-US"/>
        </w:rPr>
        <w:t>Furthermore, organizational inertia and resistance to change emerged as internal barriers to progress. Shifting from traditional, manual processes to automated monitoring solutions necessitated a cultural shift and buy-in from stakeholders across the organization. Resistance to adopting new technologies, fear of job displacement, and concerns regarding data privacy and security posed challenges in garnering support for the proposed changes.</w:t>
      </w:r>
    </w:p>
    <w:p>
      <w:pPr>
        <w:pStyle w:val="Default"/>
        <w:bidi w:val="0"/>
        <w:spacing w:before="0" w:after="400"/>
        <w:ind w:left="0" w:right="0" w:firstLine="0"/>
        <w:jc w:val="left"/>
        <w:rPr>
          <w:rFonts w:ascii="Helvetica" w:cs="Helvetica" w:hAnsi="Helvetica" w:eastAsia="Helvetica"/>
          <w:sz w:val="32"/>
          <w:szCs w:val="32"/>
          <w:rtl w:val="0"/>
        </w:rPr>
      </w:pPr>
      <w:r>
        <w:rPr>
          <w:rFonts w:ascii="Helvetica" w:hAnsi="Helvetica"/>
          <w:sz w:val="32"/>
          <w:szCs w:val="32"/>
          <w:rtl w:val="0"/>
          <w:lang w:val="en-US"/>
        </w:rPr>
        <w:t>Despite these hurdles, it is essential to acknowledge the incremental progress made towards addressing the action item. While the completion may not have been achieved within the expected timeframe, significant groundwork has been laid in terms of reviewing procedures, conducting feasibility assessments, and laying the groundwork for future implementation. Lessons learned from these challenges will inform our approach moving forward, enabling us to refine our strategies, allocate resources more efficiently, and accelerate progress towards achieving full compliance.</w:t>
      </w:r>
    </w:p>
    <w:p>
      <w:pPr>
        <w:pStyle w:val="Default"/>
        <w:bidi w:val="0"/>
        <w:spacing w:before="0"/>
        <w:ind w:left="0" w:right="0" w:firstLine="0"/>
        <w:jc w:val="left"/>
        <w:rPr>
          <w:rtl w:val="0"/>
        </w:rPr>
      </w:pPr>
      <w:r>
        <w:rPr>
          <w:rFonts w:ascii="Helvetica" w:hAnsi="Helvetica"/>
          <w:sz w:val="32"/>
          <w:szCs w:val="32"/>
          <w:rtl w:val="0"/>
          <w:lang w:val="en-US"/>
        </w:rPr>
        <w:t>In conclusion, the journey towards addressing AML compliance concerns is marked by numerous hurdles, ranging from technological constraints and regulatory complexities to resource limitations and internal resistance. While the action item pertaining to enhanced monitoring systems for high-value transactions may not have been completed as anticipated, the challenges encountered have provided valuable insights and opportunities for growth. By acknowledging these hurdles and remaining steadfast in our commitment to compliance, we will continue to overcome obstacles and fortify our AML framework to safeguard the integrity of the financial system.</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