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00" w:line="420" w:lineRule="atLeast"/>
        <w:ind w:left="0" w:right="0" w:firstLine="0"/>
        <w:jc w:val="left"/>
        <w:rPr>
          <w:rFonts w:ascii="Times Roman" w:cs="Times Roman" w:hAnsi="Times Roman" w:eastAsia="Times Roman"/>
          <w:b w:val="0"/>
          <w:bCs w:val="0"/>
          <w:shd w:val="clear" w:color="auto" w:fill="ffffff"/>
          <w:rtl w:val="0"/>
        </w:rPr>
      </w:pPr>
      <w:r>
        <w:rPr>
          <w:rFonts w:ascii="Times Roman" w:hAnsi="Times Roman"/>
          <w:b w:val="1"/>
          <w:bCs w:val="1"/>
          <w:shd w:val="clear" w:color="auto" w:fill="ffffff"/>
          <w:rtl w:val="0"/>
          <w:lang w:val="en-US"/>
        </w:rPr>
        <w:t>Addressing Compliance Concerns: Enhancing Anti-Money Laundering Measures</w:t>
      </w:r>
    </w:p>
    <w:p>
      <w:pPr>
        <w:pStyle w:val="Default"/>
        <w:bidi w:val="0"/>
        <w:spacing w:before="0" w:after="300" w:line="4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In today's global financial landscape, ensuring compliance with anti-money laundering (AML) regulations is paramount for banking institutions. One significant aspect of AML compliance involves monitoring and reviewing customer transactions exceeding a certain threshold, typically $10,000. Failure to do so not only poses legal and regulatory risks but also threatens the integrity of the financial system. To address this concern, our institution has undertaken a series of comprehensive measures aimed at enhancing our AML framework and mitigating associated risks.</w:t>
      </w:r>
    </w:p>
    <w:p>
      <w:pPr>
        <w:pStyle w:val="Default"/>
        <w:bidi w:val="0"/>
        <w:spacing w:before="0" w:after="300" w:line="4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First and foremost, we conducted a thorough review of our existing procedures and identified gaps in our transaction monitoring system. Recognizing the importance of real-time detection and response to suspicious activities, we invested in advanced monitoring technologies capable of analyzing large volumes of transaction data with greater accuracy and efficiency. These technologies leverage sophisticated algorithms and machine learning capabilities to identify patterns indicative of potential money laundering activities, thereby enabling proactive intervention.</w:t>
      </w:r>
    </w:p>
    <w:p>
      <w:pPr>
        <w:pStyle w:val="Default"/>
        <w:bidi w:val="0"/>
        <w:spacing w:before="0" w:after="300" w:line="4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Additionally, we revamped our documentation requirements for high-value transactions, instituting a rigorous process to ensure that all transactions exceeding $10,000 are accompanied by proper documentation and are flagged for review. This includes obtaining comprehensive customer information, such as identification documents, source of funds, and purpose of the transaction. By capturing this information at the outset, we not only facilitate compliance but also strengthen our due diligence efforts in combating financial crime.</w:t>
      </w:r>
    </w:p>
    <w:p>
      <w:pPr>
        <w:pStyle w:val="Default"/>
        <w:bidi w:val="0"/>
        <w:spacing w:before="0" w:after="300" w:line="4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Furthermore, we implemented robust controls and oversight mechanisms to monitor the effectiveness of our AML program continuously. Regular audits and internal reviews are conducted to assess the adequacy of our controls, identify potential weaknesses, and implement corrective actions promptly. We have also established a dedicated compliance team tasked with staying abreast of evolving regulatory requirements and industry best practices, ensuring that our AML program remains adaptive and responsive to emerging threats.</w:t>
      </w:r>
    </w:p>
    <w:p>
      <w:pPr>
        <w:pStyle w:val="Default"/>
        <w:bidi w:val="0"/>
        <w:spacing w:before="0" w:after="300" w:line="4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To provide evidence of our commitment to compliance and the effectiveness of our measures, we have compiled comprehensive documentation outlining the steps taken to address the action item concerning high-value transactions. This includes detailed records of system upgrades, policy enhancements, staff training initiatives, and audit findings. Additionally, we have conducted retrospective analyses of flagged transactions to validate the accuracy of our monitoring systems and demonstrate their efficacy in detecting suspicious activities.</w:t>
      </w:r>
    </w:p>
    <w:p>
      <w:pPr>
        <w:pStyle w:val="Default"/>
        <w:bidi w:val="0"/>
        <w:spacing w:before="0" w:line="420" w:lineRule="atLeast"/>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In conclusion, our institution has taken significant strides to strengthen our AML framework and address concerns related to high-value transactions. Through investments in technology, enhanced documentation requirements, and rigorous oversight, we have fortified our defenses against money laundering risks and demonstrated our unwavering commitment to compliance. By continuously evolving and adapting to evolving threats, we remain steadfast in our mission to safeguard the integrity of the financial system and protect the interests of our stakeholders.</w:t>
      </w:r>
    </w:p>
    <w:p>
      <w:pPr>
        <w:pStyle w:val="Default"/>
        <w:bidi w:val="0"/>
        <w:spacing w:before="0" w:line="240" w:lineRule="atLeast"/>
        <w:ind w:left="0" w:right="0" w:firstLine="0"/>
        <w:jc w:val="right"/>
        <w:rPr>
          <w:rFonts w:ascii="Times Roman" w:cs="Times Roman" w:hAnsi="Times Roman" w:eastAsia="Times Roman"/>
          <w:outline w:val="0"/>
          <w:color w:val="b4b4b4"/>
          <w:sz w:val="18"/>
          <w:szCs w:val="18"/>
          <w:shd w:val="clear" w:color="auto" w:fill="ffffff"/>
          <w:rtl w:val="0"/>
          <w14:textFill>
            <w14:solidFill>
              <w14:srgbClr w14:val="B4B4B4"/>
            </w14:solidFill>
          </w14:textFill>
        </w:rPr>
      </w:pPr>
    </w:p>
    <w:p>
      <w:pPr>
        <w:pStyle w:val="Default"/>
        <w:bidi w:val="0"/>
        <w:spacing w:before="0" w:line="240" w:lineRule="atLeast"/>
        <w:ind w:left="0" w:right="0" w:firstLine="0"/>
        <w:jc w:val="right"/>
        <w:rPr>
          <w:rFonts w:ascii="Times Roman" w:cs="Times Roman" w:hAnsi="Times Roman" w:eastAsia="Times Roman"/>
          <w:outline w:val="0"/>
          <w:color w:val="b4b4b4"/>
          <w:sz w:val="18"/>
          <w:szCs w:val="18"/>
          <w:shd w:val="clear" w:color="auto" w:fill="ffffff"/>
          <w:rtl w:val="0"/>
          <w14:textFill>
            <w14:solidFill>
              <w14:srgbClr w14:val="B4B4B4"/>
            </w14:solidFill>
          </w14:textFill>
        </w:rPr>
      </w:pPr>
    </w:p>
    <w:p>
      <w:pPr>
        <w:pStyle w:val="Default"/>
        <w:bidi w:val="0"/>
        <w:spacing w:before="0" w:line="240" w:lineRule="atLeast"/>
        <w:ind w:left="0" w:right="0" w:firstLine="0"/>
        <w:jc w:val="right"/>
        <w:rPr>
          <w:rFonts w:ascii="Times Roman" w:cs="Times Roman" w:hAnsi="Times Roman" w:eastAsia="Times Roman"/>
          <w:outline w:val="0"/>
          <w:color w:val="b4b4b4"/>
          <w:sz w:val="18"/>
          <w:szCs w:val="18"/>
          <w:shd w:val="clear" w:color="auto" w:fill="ffffff"/>
          <w:rtl w:val="0"/>
          <w14:textFill>
            <w14:solidFill>
              <w14:srgbClr w14:val="B4B4B4"/>
            </w14:solidFill>
          </w14:textFill>
        </w:rPr>
      </w:pPr>
    </w:p>
    <w:p>
      <w:pPr>
        <w:pStyle w:val="Default"/>
        <w:bidi w:val="0"/>
        <w:spacing w:before="0" w:line="360" w:lineRule="atLeast"/>
        <w:ind w:left="0" w:right="0" w:firstLine="0"/>
        <w:jc w:val="left"/>
        <w:rPr>
          <w:rFonts w:ascii="Times Roman" w:cs="Times Roman" w:hAnsi="Times Roman" w:eastAsia="Times Roman"/>
          <w:outline w:val="0"/>
          <w:color w:val="b4b4b4"/>
          <w:shd w:val="clear" w:color="auto" w:fill="ffffff"/>
          <w:rtl w:val="0"/>
          <w14:textFill>
            <w14:solidFill>
              <w14:srgbClr w14:val="B4B4B4"/>
            </w14:solidFill>
          </w14:textFill>
        </w:rPr>
      </w:pPr>
    </w:p>
    <w:p>
      <w:pPr>
        <w:pStyle w:val="Default"/>
        <w:bidi w:val="0"/>
        <w:spacing w:before="0" w:line="360" w:lineRule="atLeast"/>
        <w:ind w:left="0" w:right="0" w:firstLine="0"/>
        <w:jc w:val="left"/>
        <w:rPr>
          <w:rFonts w:ascii="Times Roman" w:cs="Times Roman" w:hAnsi="Times Roman" w:eastAsia="Times Roman"/>
          <w:shd w:val="clear" w:color="auto" w:fill="ffffff"/>
          <w:rtl w:val="0"/>
        </w:rPr>
      </w:pPr>
    </w:p>
    <w:p>
      <w:pPr>
        <w:pStyle w:val="Default"/>
        <w:bidi w:val="0"/>
        <w:spacing w:before="0" w:line="300" w:lineRule="atLeast"/>
        <w:ind w:left="0" w:right="0" w:firstLine="0"/>
        <w:jc w:val="right"/>
        <w:rPr>
          <w:rFonts w:ascii="Times Roman" w:cs="Times Roman" w:hAnsi="Times Roman" w:eastAsia="Times Roman"/>
          <w:sz w:val="21"/>
          <w:szCs w:val="21"/>
          <w:shd w:val="clear" w:color="auto" w:fill="ffffff"/>
          <w:rtl w:val="0"/>
        </w:rPr>
      </w:pPr>
    </w:p>
    <w:p>
      <w:pPr>
        <w:pStyle w:val="Default"/>
        <w:bidi w:val="0"/>
        <w:spacing w:before="0"/>
        <w:ind w:left="0" w:right="0" w:firstLine="0"/>
        <w:jc w:val="left"/>
        <w:rPr>
          <w:rFonts w:ascii="Helvetica" w:cs="Helvetica" w:hAnsi="Helvetica" w:eastAsia="Helvetica"/>
          <w:outline w:val="0"/>
          <w:color w:val="ffffff"/>
          <w:shd w:val="clear" w:color="auto" w:fill="212121"/>
          <w:rtl w:val="0"/>
          <w14:textFill>
            <w14:solidFill>
              <w14:srgbClr w14:val="FFFFFF"/>
            </w14:solidFill>
          </w14:textFill>
        </w:rPr>
      </w:pPr>
    </w:p>
    <w:p>
      <w:pPr>
        <w:pStyle w:val="Default"/>
        <w:bidi w:val="0"/>
        <w:spacing w:before="0"/>
        <w:ind w:left="0" w:right="0" w:firstLine="0"/>
        <w:jc w:val="left"/>
        <w:rPr>
          <w:rtl w:val="0"/>
        </w:rPr>
      </w:pPr>
      <w:r>
        <w:rPr>
          <w:rFonts w:ascii="Helvetica" w:cs="Helvetica" w:hAnsi="Helvetica" w:eastAsia="Helvetica"/>
          <w:outline w:val="0"/>
          <w:color w:val="ffffff"/>
          <w:shd w:val="clear" w:color="auto" w:fill="ffffff"/>
          <w:rtl w:val="0"/>
          <w14:textFill>
            <w14:solidFill>
              <w14:srgbClr w14:val="FFFFF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