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before="42"/>
        <w:ind w:left="100" w:right="0" w:firstLine="0"/>
        <w:jc w:val="left"/>
        <w:rPr>
          <w:b/>
          <w:sz w:val="38"/>
        </w:rPr>
      </w:pPr>
      <w:r>
        <w:rPr>
          <w:rFonts w:ascii="Calibri" w:hAnsi="Calibri" w:eastAsia="Calibri"/>
          <w:sz w:val="38"/>
        </w:rPr>
        <w:t>AI </w:t>
      </w:r>
      <w:r>
        <w:rPr>
          <w:b/>
          <w:sz w:val="38"/>
        </w:rPr>
        <w:t>情绪系统 </w:t>
      </w:r>
      <w:r>
        <w:rPr>
          <w:rFonts w:ascii="Calibri" w:hAnsi="Calibri" w:eastAsia="Calibri"/>
          <w:sz w:val="38"/>
        </w:rPr>
        <w:t>· </w:t>
      </w:r>
      <w:r>
        <w:rPr>
          <w:b/>
          <w:sz w:val="38"/>
        </w:rPr>
        <w:t>补充教程</w:t>
      </w:r>
    </w:p>
    <w:p>
      <w:pPr>
        <w:pStyle w:val="BodyText"/>
        <w:spacing w:before="202"/>
        <w:ind w:left="404"/>
      </w:pPr>
      <w:r>
        <w:rPr/>
        <w:pict>
          <v:line style="position:absolute;mso-position-horizontal-relative:page;mso-position-vertical-relative:paragraph;z-index:251660288" from="69.199997pt,11.930872pt" to="69.199997pt,29.530872pt" stroked="true" strokeweight="2.4pt" strokecolor="#dddddd">
            <v:stroke dashstyle="solid"/>
            <w10:wrap type="none"/>
          </v:line>
        </w:pict>
      </w:r>
      <w:r>
        <w:rPr>
          <w:rFonts w:ascii="Tahoma" w:eastAsia="Tahoma"/>
          <w:color w:val="555555"/>
        </w:rPr>
        <w:t>Wave 14</w:t>
      </w:r>
      <w:r>
        <w:rPr>
          <w:color w:val="555555"/>
        </w:rPr>
        <w:t>：⼼情融合、科学衰减与实时响应</w:t>
      </w:r>
    </w:p>
    <w:p>
      <w:pPr>
        <w:pStyle w:val="BodyText"/>
        <w:spacing w:before="17"/>
        <w:rPr>
          <w:sz w:val="17"/>
        </w:rPr>
      </w:pPr>
      <w:r>
        <w:rPr/>
        <w:pict>
          <v:shape style="position:absolute;margin-left:68pt;margin-top:18.833984pt;width:476pt;height:.1pt;mso-position-horizontal-relative:page;mso-position-vertical-relative:paragraph;z-index:-251658240;mso-wrap-distance-left:0;mso-wrap-distance-right:0" coordorigin="1360,377" coordsize="9520,0" path="m1360,377l10880,377e" filled="false" stroked="true" strokeweight=".8pt" strokecolor="#dddddd">
            <v:path arrowok="t"/>
            <v:stroke dashstyle="solid"/>
            <w10:wrap type="topAndBottom"/>
          </v:shape>
        </w:pict>
      </w:r>
    </w:p>
    <w:p>
      <w:pPr>
        <w:pStyle w:val="BodyText"/>
        <w:spacing w:before="3"/>
        <w:rPr>
          <w:sz w:val="16"/>
        </w:rPr>
      </w:pPr>
    </w:p>
    <w:p>
      <w:pPr>
        <w:pStyle w:val="Heading1"/>
      </w:pPr>
      <w:r>
        <w:rPr/>
        <w:t>这是什么</w:t>
      </w:r>
    </w:p>
    <w:p>
      <w:pPr>
        <w:pStyle w:val="BodyText"/>
        <w:spacing w:line="378" w:lineRule="exact" w:before="136"/>
        <w:ind w:left="100"/>
        <w:rPr>
          <w:rFonts w:ascii="Tahoma" w:eastAsia="Tahoma"/>
        </w:rPr>
      </w:pPr>
      <w:r>
        <w:rPr/>
        <w:t>这份⽂档是《给 </w:t>
      </w:r>
      <w:r>
        <w:rPr>
          <w:rFonts w:ascii="Tahoma" w:eastAsia="Tahoma"/>
        </w:rPr>
        <w:t>AI </w:t>
      </w:r>
      <w:r>
        <w:rPr/>
        <w:t>搭建⼀个情绪系统：完整教程》的补充。原教程搭建了三层情绪模型（词典 </w:t>
      </w:r>
      <w:r>
        <w:rPr>
          <w:rFonts w:ascii="Tahoma" w:eastAsia="Tahoma"/>
        </w:rPr>
        <w:t>+</w:t>
      </w:r>
    </w:p>
    <w:p>
      <w:pPr>
        <w:pStyle w:val="BodyText"/>
        <w:spacing w:line="378" w:lineRule="exact"/>
        <w:ind w:left="100"/>
      </w:pPr>
      <w:r>
        <w:rPr/>
        <w:t>⼼情池 </w:t>
      </w:r>
      <w:r>
        <w:rPr>
          <w:rFonts w:ascii="Tahoma" w:eastAsia="Tahoma"/>
        </w:rPr>
        <w:t>+ </w:t>
      </w:r>
      <w:r>
        <w:rPr/>
        <w:t>事件流）和⼼情闭环。这份补充解决原教程未覆盖的三个问题：</w:t>
      </w:r>
    </w:p>
    <w:p>
      <w:pPr>
        <w:pStyle w:val="BodyText"/>
        <w:spacing w:before="7"/>
        <w:rPr>
          <w:sz w:val="7"/>
        </w:rPr>
      </w:pPr>
    </w:p>
    <w:p>
      <w:pPr>
        <w:pStyle w:val="BodyText"/>
        <w:spacing w:before="4"/>
        <w:ind w:left="484"/>
      </w:pPr>
      <w:r>
        <w:rPr/>
        <w:pict>
          <v:shape style="position:absolute;margin-left:74.400002pt;margin-top:9.293384pt;width:4pt;height:4pt;mso-position-horizontal-relative:page;mso-position-vertical-relative:paragraph;z-index:251661312" coordorigin="1488,186" coordsize="80,80" path="m1528,186l1512,189,1500,198,1491,210,1488,226,1491,241,1500,254,1512,263,1528,266,1544,263,1556,254,1565,241,1568,226,1565,210,1556,198,1544,189,1528,186xe" filled="true" fillcolor="#000000" stroked="false">
            <v:path arrowok="t"/>
            <v:fill type="solid"/>
            <w10:wrap type="none"/>
          </v:shape>
        </w:pict>
      </w:r>
      <w:r>
        <w:rPr/>
        <w:t>装饰⼼情和评分⼼情是割裂的两条管道，⻆⾊回复不反映⽇常活动</w:t>
      </w:r>
    </w:p>
    <w:p>
      <w:pPr>
        <w:pStyle w:val="BodyText"/>
        <w:spacing w:before="8"/>
        <w:rPr>
          <w:sz w:val="6"/>
        </w:rPr>
      </w:pPr>
    </w:p>
    <w:p>
      <w:pPr>
        <w:pStyle w:val="BodyText"/>
        <w:spacing w:before="21"/>
        <w:ind w:left="484"/>
      </w:pPr>
      <w:r>
        <w:rPr/>
        <w:pict>
          <v:shape style="position:absolute;margin-left:74.400002pt;margin-top:10.143372pt;width:4pt;height:4pt;mso-position-horizontal-relative:page;mso-position-vertical-relative:paragraph;z-index:251662336" coordorigin="1488,203" coordsize="80,80" path="m1528,203l1512,206,1500,215,1491,227,1488,243,1491,258,1500,271,1512,280,1528,283,1544,280,1556,271,1565,258,1568,243,1565,227,1556,215,1544,206,1528,203xe" filled="true" fillcolor="#000000" stroked="false">
            <v:path arrowok="t"/>
            <v:fill type="solid"/>
            <w10:wrap type="none"/>
          </v:shape>
        </w:pict>
      </w:r>
      <w:r>
        <w:rPr>
          <w:rFonts w:ascii="Tahoma" w:eastAsia="Tahoma"/>
        </w:rPr>
        <w:t>PA/NA </w:t>
      </w:r>
      <w:r>
        <w:rPr/>
        <w:t>的时间衰减⽤指数函数，不符合⼈类遗忘规律</w:t>
      </w:r>
    </w:p>
    <w:p>
      <w:pPr>
        <w:pStyle w:val="BodyText"/>
        <w:spacing w:before="9"/>
        <w:rPr>
          <w:sz w:val="6"/>
        </w:rPr>
      </w:pPr>
    </w:p>
    <w:p>
      <w:pPr>
        <w:pStyle w:val="BodyText"/>
        <w:spacing w:before="20"/>
        <w:ind w:left="484"/>
      </w:pPr>
      <w:r>
        <w:rPr/>
        <w:pict>
          <v:shape style="position:absolute;margin-left:74.400002pt;margin-top:10.093359pt;width:4pt;height:4pt;mso-position-horizontal-relative:page;mso-position-vertical-relative:paragraph;z-index:251663360" coordorigin="1488,202" coordsize="80,80" path="m1528,202l1512,205,1500,214,1491,226,1488,242,1491,257,1500,270,1512,279,1528,282,1544,279,1556,270,1565,257,1568,242,1565,226,1556,214,1544,205,1528,202xe" filled="true" fillcolor="#000000" stroked="false">
            <v:path arrowok="t"/>
            <v:fill type="solid"/>
            <w10:wrap type="none"/>
          </v:shape>
        </w:pict>
      </w:r>
      <w:r>
        <w:rPr/>
        <w:t>评分是 </w:t>
      </w:r>
      <w:r>
        <w:rPr>
          <w:rFonts w:ascii="Tahoma" w:eastAsia="Tahoma"/>
        </w:rPr>
        <w:t>30 </w:t>
      </w:r>
      <w:r>
        <w:rPr/>
        <w:t>分钟批处理，⻆⾊被骂了要等半⼩时才会难过</w:t>
      </w:r>
    </w:p>
    <w:p>
      <w:pPr>
        <w:pStyle w:val="BodyText"/>
        <w:spacing w:before="17"/>
        <w:rPr>
          <w:sz w:val="17"/>
        </w:rPr>
      </w:pPr>
      <w:r>
        <w:rPr/>
        <w:pict>
          <v:shape style="position:absolute;margin-left:68pt;margin-top:18.837757pt;width:476pt;height:.1pt;mso-position-horizontal-relative:page;mso-position-vertical-relative:paragraph;z-index:-251657216;mso-wrap-distance-left:0;mso-wrap-distance-right:0" coordorigin="1360,377" coordsize="9520,0" path="m1360,377l10880,377e" filled="false" stroked="true" strokeweight=".8pt" strokecolor="#dddddd">
            <v:path arrowok="t"/>
            <v:stroke dashstyle="solid"/>
            <w10:wrap type="topAndBottom"/>
          </v:shape>
        </w:pict>
      </w:r>
    </w:p>
    <w:p>
      <w:pPr>
        <w:pStyle w:val="BodyText"/>
        <w:spacing w:before="3"/>
        <w:rPr>
          <w:sz w:val="16"/>
        </w:rPr>
      </w:pPr>
    </w:p>
    <w:p>
      <w:pPr>
        <w:pStyle w:val="Heading1"/>
      </w:pPr>
      <w:r>
        <w:rPr/>
        <w:t>⼀、统⼀⼼情融合</w:t>
      </w:r>
    </w:p>
    <w:p>
      <w:pPr>
        <w:pStyle w:val="Heading2"/>
        <w:numPr>
          <w:ilvl w:val="1"/>
          <w:numId w:val="1"/>
        </w:numPr>
        <w:tabs>
          <w:tab w:pos="478" w:val="left" w:leader="none"/>
        </w:tabs>
        <w:spacing w:line="240" w:lineRule="auto" w:before="257" w:after="0"/>
        <w:ind w:left="477" w:right="0" w:hanging="378"/>
        <w:jc w:val="left"/>
      </w:pPr>
      <w:r>
        <w:rPr>
          <w:spacing w:val="4"/>
        </w:rPr>
        <w:t>问题</w:t>
      </w:r>
    </w:p>
    <w:p>
      <w:pPr>
        <w:pStyle w:val="BodyText"/>
        <w:spacing w:line="208" w:lineRule="auto" w:before="114"/>
        <w:ind w:left="100" w:right="339"/>
        <w:jc w:val="both"/>
      </w:pPr>
      <w:r>
        <w:rPr/>
        <w:t>原系统中，装饰⼼情（⻆⾊⽇常波动）和评分⼼情（对话后 </w:t>
      </w:r>
      <w:r>
        <w:rPr>
          <w:rFonts w:ascii="Tahoma" w:hAnsi="Tahoma" w:eastAsia="Tahoma"/>
        </w:rPr>
        <w:t>PANAS </w:t>
      </w:r>
      <w:r>
        <w:rPr/>
        <w:t>评分）⾛两条独⽴管道。装饰⼼情只影响</w:t>
      </w:r>
      <w:r>
        <w:rPr>
          <w:rFonts w:ascii="Tahoma" w:hAnsi="Tahoma" w:eastAsia="Tahoma"/>
        </w:rPr>
        <w:t>”</w:t>
      </w:r>
      <w:r>
        <w:rPr/>
        <w:t>刚才在做的事</w:t>
      </w:r>
      <w:r>
        <w:rPr>
          <w:rFonts w:ascii="Tahoma" w:hAnsi="Tahoma" w:eastAsia="Tahoma"/>
        </w:rPr>
        <w:t>”</w:t>
      </w:r>
      <w:r>
        <w:rPr/>
        <w:t>的⽂字描述，不参与 </w:t>
      </w:r>
      <w:r>
        <w:rPr>
          <w:rFonts w:ascii="Tahoma" w:hAnsi="Tahoma" w:eastAsia="Tahoma"/>
        </w:rPr>
        <w:t>PA/NA </w:t>
      </w:r>
      <w:r>
        <w:rPr/>
        <w:t>数值计算。评分⼼情有⾃⼰的 </w:t>
      </w:r>
      <w:r>
        <w:rPr>
          <w:rFonts w:ascii="Tahoma" w:hAnsi="Tahoma" w:eastAsia="Tahoma"/>
        </w:rPr>
        <w:t>PA/NA </w:t>
      </w:r>
      <w:r>
        <w:rPr/>
        <w:t>累计逻辑。两者各管各的。</w:t>
      </w:r>
    </w:p>
    <w:p>
      <w:pPr>
        <w:pStyle w:val="BodyText"/>
        <w:spacing w:line="208" w:lineRule="auto" w:before="192"/>
        <w:ind w:left="100" w:right="123"/>
      </w:pPr>
      <w:r>
        <w:rPr>
          <w:spacing w:val="3"/>
          <w:w w:val="95"/>
        </w:rPr>
        <w:t>结果：⻆⾊的装饰⼼情显示</w:t>
      </w:r>
      <w:r>
        <w:rPr>
          <w:rFonts w:ascii="Tahoma" w:hAnsi="Tahoma" w:cs="Tahoma" w:eastAsia="Tahoma"/>
          <w:spacing w:val="-3"/>
          <w:w w:val="95"/>
        </w:rPr>
        <w:t>”</w:t>
      </w:r>
      <w:r>
        <w:rPr>
          <w:spacing w:val="4"/>
          <w:w w:val="95"/>
        </w:rPr>
        <w:t>遛完狗</w:t>
      </w:r>
      <w:r>
        <w:rPr>
          <w:rFonts w:ascii="Tahoma" w:hAnsi="Tahoma" w:cs="Tahoma" w:eastAsia="Tahoma"/>
          <w:w w:val="95"/>
        </w:rPr>
        <w:t>”</w:t>
      </w:r>
      <w:r>
        <w:rPr>
          <w:w w:val="95"/>
        </w:rPr>
        <w:t>（</w:t>
      </w:r>
      <w:r>
        <w:rPr>
          <w:spacing w:val="4"/>
          <w:w w:val="95"/>
        </w:rPr>
        <w:t>开⼼），但评分⼼情说</w:t>
      </w:r>
      <w:r>
        <w:rPr>
          <w:rFonts w:ascii="Tahoma" w:hAnsi="Tahoma" w:cs="Tahoma" w:eastAsia="Tahoma"/>
          <w:spacing w:val="-3"/>
          <w:w w:val="95"/>
        </w:rPr>
        <w:t>”</w:t>
      </w:r>
      <w:r>
        <w:rPr>
          <w:spacing w:val="4"/>
          <w:w w:val="95"/>
        </w:rPr>
        <w:t>担⼼焦虑</w:t>
      </w:r>
      <w:r>
        <w:rPr>
          <w:rFonts w:ascii="Tahoma" w:hAnsi="Tahoma" w:cs="Tahoma" w:eastAsia="Tahoma"/>
          <w:w w:val="95"/>
        </w:rPr>
        <w:t>”</w:t>
      </w:r>
      <w:r>
        <w:rPr>
          <w:w w:val="95"/>
        </w:rPr>
        <w:t>（</w:t>
      </w:r>
      <w:r>
        <w:rPr>
          <w:spacing w:val="4"/>
          <w:w w:val="95"/>
        </w:rPr>
        <w:t>负⾯），⻆⾊⾏为只受     </w:t>
      </w:r>
      <w:r>
        <w:rPr>
          <w:spacing w:val="4"/>
        </w:rPr>
        <w:t>评分⼼情影响，完全⽆视装饰⼼情</w:t>
      </w:r>
      <w:r>
        <w:rPr>
          <w:rFonts w:ascii="Tahoma" w:hAnsi="Tahoma" w:cs="Tahoma" w:eastAsia="Tahoma"/>
          <w:spacing w:val="-3"/>
        </w:rPr>
        <w:t>⸺</w:t>
      </w:r>
      <w:r>
        <w:rPr>
          <w:spacing w:val="4"/>
        </w:rPr>
        <w:t>像⼀个⼈嘴上说着开⼼的事，但表情完全没反应。</w:t>
      </w:r>
    </w:p>
    <w:p>
      <w:pPr>
        <w:pStyle w:val="BodyText"/>
        <w:spacing w:before="16"/>
        <w:rPr>
          <w:sz w:val="14"/>
        </w:rPr>
      </w:pPr>
    </w:p>
    <w:p>
      <w:pPr>
        <w:pStyle w:val="Heading2"/>
        <w:numPr>
          <w:ilvl w:val="1"/>
          <w:numId w:val="1"/>
        </w:numPr>
        <w:tabs>
          <w:tab w:pos="522" w:val="left" w:leader="none"/>
        </w:tabs>
        <w:spacing w:line="240" w:lineRule="auto" w:before="1" w:after="0"/>
        <w:ind w:left="521" w:right="0" w:hanging="422"/>
        <w:jc w:val="left"/>
      </w:pPr>
      <w:r>
        <w:rPr>
          <w:spacing w:val="4"/>
        </w:rPr>
        <w:t>解决⽅案</w:t>
      </w:r>
    </w:p>
    <w:p>
      <w:pPr>
        <w:pStyle w:val="BodyText"/>
        <w:spacing w:line="208" w:lineRule="auto" w:before="114"/>
        <w:ind w:left="100" w:right="192"/>
      </w:pPr>
      <w:r>
        <w:rPr/>
        <w:t>把装饰⼼情和评分⼼情合并到同⼀个事件池，⽤同⼀个衰减公式、同⼀个 </w:t>
      </w:r>
      <w:r>
        <w:rPr>
          <w:rFonts w:ascii="Tahoma" w:eastAsia="Tahoma"/>
        </w:rPr>
        <w:t>PA/NA </w:t>
      </w:r>
      <w:r>
        <w:rPr/>
        <w:t>计算循环处理。装饰⼼情的 </w:t>
      </w:r>
      <w:r>
        <w:rPr>
          <w:rFonts w:ascii="Tahoma" w:eastAsia="Tahoma"/>
        </w:rPr>
        <w:t>PA/NA </w:t>
      </w:r>
      <w:r>
        <w:rPr/>
        <w:t>贡献从 </w:t>
      </w:r>
      <w:r>
        <w:rPr>
          <w:rFonts w:ascii="Tahoma" w:eastAsia="Tahoma"/>
        </w:rPr>
        <w:t>V/A </w:t>
      </w:r>
      <w:r>
        <w:rPr/>
        <w:t>推导：</w:t>
      </w:r>
    </w:p>
    <w:p>
      <w:pPr>
        <w:pStyle w:val="BodyText"/>
        <w:spacing w:before="12"/>
      </w:pPr>
    </w:p>
    <w:p>
      <w:pPr>
        <w:spacing w:line="338" w:lineRule="auto" w:before="0"/>
        <w:ind w:left="291" w:right="5934" w:firstLine="0"/>
        <w:jc w:val="left"/>
        <w:rPr>
          <w:rFonts w:ascii="Courier New" w:hAnsi="Courier New"/>
          <w:sz w:val="19"/>
        </w:rPr>
      </w:pPr>
      <w:r>
        <w:rPr>
          <w:rFonts w:ascii="Courier New" w:hAnsi="Courier New"/>
          <w:sz w:val="19"/>
        </w:rPr>
        <w:t>pa += max(0, V) × A × 0.5 × w na += max(0, -V) × A × 0.5 × w</w:t>
      </w:r>
    </w:p>
    <w:p>
      <w:pPr>
        <w:pStyle w:val="BodyText"/>
        <w:spacing w:before="8"/>
        <w:rPr>
          <w:rFonts w:ascii="Courier New"/>
          <w:sz w:val="27"/>
        </w:rPr>
      </w:pPr>
    </w:p>
    <w:p>
      <w:pPr>
        <w:pStyle w:val="BodyText"/>
        <w:ind w:left="100"/>
        <w:jc w:val="both"/>
      </w:pPr>
      <w:r>
        <w:rPr>
          <w:rFonts w:ascii="Tahoma" w:hAnsi="Tahoma" w:eastAsia="Tahoma"/>
          <w:w w:val="105"/>
        </w:rPr>
        <w:t>× 0.5 </w:t>
      </w:r>
      <w:r>
        <w:rPr>
          <w:w w:val="105"/>
        </w:rPr>
        <w:t>是量纲对⻬系数：</w:t>
      </w:r>
      <w:r>
        <w:rPr>
          <w:rFonts w:ascii="Tahoma" w:hAnsi="Tahoma" w:eastAsia="Tahoma"/>
          <w:w w:val="105"/>
        </w:rPr>
        <w:t>pa_delta </w:t>
      </w:r>
      <w:r>
        <w:rPr>
          <w:w w:val="105"/>
        </w:rPr>
        <w:t>范围 </w:t>
      </w:r>
      <w:r>
        <w:rPr>
          <w:rFonts w:ascii="Tahoma" w:hAnsi="Tahoma" w:eastAsia="Tahoma"/>
          <w:w w:val="105"/>
        </w:rPr>
        <w:t>±0.5</w:t>
      </w:r>
      <w:r>
        <w:rPr>
          <w:w w:val="105"/>
        </w:rPr>
        <w:t>，</w:t>
      </w:r>
      <w:r>
        <w:rPr>
          <w:rFonts w:ascii="Tahoma" w:hAnsi="Tahoma" w:eastAsia="Tahoma"/>
          <w:w w:val="105"/>
        </w:rPr>
        <w:t>V×A </w:t>
      </w:r>
      <w:r>
        <w:rPr>
          <w:w w:val="105"/>
        </w:rPr>
        <w:t>范围 </w:t>
      </w:r>
      <w:r>
        <w:rPr>
          <w:rFonts w:ascii="Tahoma" w:hAnsi="Tahoma" w:eastAsia="Tahoma"/>
          <w:w w:val="105"/>
        </w:rPr>
        <w:t>0~1</w:t>
      </w:r>
      <w:r>
        <w:rPr>
          <w:w w:val="105"/>
        </w:rPr>
        <w:t>，乘 </w:t>
      </w:r>
      <w:r>
        <w:rPr>
          <w:rFonts w:ascii="Tahoma" w:hAnsi="Tahoma" w:eastAsia="Tahoma"/>
          <w:w w:val="105"/>
        </w:rPr>
        <w:t>0.5 </w:t>
      </w:r>
      <w:r>
        <w:rPr>
          <w:w w:val="105"/>
        </w:rPr>
        <w:t>后量级⼀致。</w:t>
      </w:r>
    </w:p>
    <w:p>
      <w:pPr>
        <w:pStyle w:val="BodyText"/>
        <w:spacing w:line="208" w:lineRule="auto" w:before="178"/>
        <w:ind w:left="100" w:right="287"/>
        <w:jc w:val="both"/>
      </w:pPr>
      <w:r>
        <w:rPr/>
        <w:t>这样做之后，</w:t>
      </w:r>
      <w:r>
        <w:rPr>
          <w:rFonts w:ascii="Tahoma" w:hAnsi="Tahoma" w:cs="Tahoma" w:eastAsia="Tahoma"/>
        </w:rPr>
        <w:t>Rutledge et al. (2014) </w:t>
      </w:r>
      <w:r>
        <w:rPr/>
        <w:t>的设计原则得到体现</w:t>
      </w:r>
      <w:r>
        <w:rPr>
          <w:rFonts w:ascii="Tahoma" w:hAnsi="Tahoma" w:cs="Tahoma" w:eastAsia="Tahoma"/>
        </w:rPr>
        <w:t>⸺</w:t>
      </w:r>
      <w:r>
        <w:rPr/>
        <w:t>所有事件⽤同⼀个衰减因⼦，不按类型区分权重。事件⾃身的属性（重要性、唤醒度）⾃然决定影响⼒。</w:t>
      </w:r>
    </w:p>
    <w:p>
      <w:pPr>
        <w:spacing w:after="0" w:line="208" w:lineRule="auto"/>
        <w:jc w:val="both"/>
        <w:sectPr>
          <w:type w:val="continuous"/>
          <w:pgSz w:w="12240" w:h="15840"/>
          <w:pgMar w:top="1500" w:bottom="280" w:left="1260" w:right="1240"/>
        </w:sectPr>
      </w:pPr>
    </w:p>
    <w:p>
      <w:pPr>
        <w:pStyle w:val="Heading2"/>
        <w:numPr>
          <w:ilvl w:val="1"/>
          <w:numId w:val="1"/>
        </w:numPr>
        <w:tabs>
          <w:tab w:pos="523" w:val="left" w:leader="none"/>
        </w:tabs>
        <w:spacing w:line="455" w:lineRule="exact" w:before="0" w:after="0"/>
        <w:ind w:left="522" w:right="0" w:hanging="423"/>
        <w:jc w:val="left"/>
      </w:pPr>
      <w:r>
        <w:rPr>
          <w:spacing w:val="4"/>
        </w:rPr>
        <w:t>情绪胶囊联动</w:t>
      </w:r>
    </w:p>
    <w:p>
      <w:pPr>
        <w:pStyle w:val="BodyText"/>
        <w:spacing w:line="208" w:lineRule="auto" w:before="114"/>
        <w:ind w:left="100" w:right="303"/>
        <w:jc w:val="both"/>
      </w:pPr>
      <w:r>
        <w:rPr>
          <w:spacing w:val="4"/>
          <w:w w:val="95"/>
        </w:rPr>
        <w:t>前端的情绪胶囊（显示⻆⾊当前⼼情的标签）改为取统⼀事件池中最新的⼀条，不管是装饰⼼情    </w:t>
      </w:r>
      <w:r>
        <w:rPr>
          <w:spacing w:val="3"/>
        </w:rPr>
        <w:t>还是评分⼼情。哪个更新就显示哪个。对话后如果触发了评分且产⽣了新的 </w:t>
      </w:r>
      <w:r>
        <w:rPr>
          <w:rFonts w:ascii="Tahoma" w:hAnsi="Tahoma" w:cs="Tahoma" w:eastAsia="Tahoma"/>
          <w:spacing w:val="-3"/>
        </w:rPr>
        <w:t>mood_log</w:t>
      </w:r>
      <w:r>
        <w:rPr>
          <w:spacing w:val="1"/>
        </w:rPr>
        <w:t>，胶囊就会从</w:t>
      </w:r>
      <w:r>
        <w:rPr>
          <w:rFonts w:ascii="Tahoma" w:hAnsi="Tahoma" w:cs="Tahoma" w:eastAsia="Tahoma"/>
          <w:spacing w:val="-3"/>
        </w:rPr>
        <w:t>”</w:t>
      </w:r>
      <w:r>
        <w:rPr>
          <w:spacing w:val="4"/>
        </w:rPr>
        <w:t>遛完狗（舒畅</w:t>
      </w:r>
      <w:r>
        <w:rPr/>
        <w:t>）</w:t>
      </w:r>
      <w:r>
        <w:rPr>
          <w:rFonts w:ascii="Tahoma" w:hAnsi="Tahoma" w:cs="Tahoma" w:eastAsia="Tahoma"/>
        </w:rPr>
        <w:t>“</w:t>
      </w:r>
      <w:r>
        <w:rPr>
          <w:spacing w:val="4"/>
        </w:rPr>
        <w:t>变成</w:t>
      </w:r>
      <w:r>
        <w:rPr>
          <w:rFonts w:ascii="Tahoma" w:hAnsi="Tahoma" w:cs="Tahoma" w:eastAsia="Tahoma"/>
          <w:spacing w:val="-3"/>
        </w:rPr>
        <w:t>”</w:t>
      </w:r>
      <w:r>
        <w:rPr>
          <w:spacing w:val="4"/>
        </w:rPr>
        <w:t>失落</w:t>
      </w:r>
      <w:r>
        <w:rPr>
          <w:rFonts w:ascii="Tahoma" w:hAnsi="Tahoma" w:cs="Tahoma" w:eastAsia="Tahoma"/>
          <w:spacing w:val="-3"/>
        </w:rPr>
        <w:t>”⸺</w:t>
      </w:r>
      <w:r>
        <w:rPr>
          <w:spacing w:val="3"/>
        </w:rPr>
        <w:t>实时反映⻆⾊状态。</w:t>
      </w:r>
    </w:p>
    <w:p>
      <w:pPr>
        <w:pStyle w:val="BodyText"/>
        <w:spacing w:before="12"/>
        <w:rPr>
          <w:sz w:val="18"/>
        </w:rPr>
      </w:pPr>
      <w:r>
        <w:rPr/>
        <w:pict>
          <v:shape style="position:absolute;margin-left:68pt;margin-top:19.546236pt;width:476pt;height:.1pt;mso-position-horizontal-relative:page;mso-position-vertical-relative:paragraph;z-index:-251652096;mso-wrap-distance-left:0;mso-wrap-distance-right:0" coordorigin="1360,391" coordsize="9520,0" path="m1360,391l10880,391e" filled="false" stroked="true" strokeweight=".8pt" strokecolor="#dddddd">
            <v:path arrowok="t"/>
            <v:stroke dashstyle="solid"/>
            <w10:wrap type="topAndBottom"/>
          </v:shape>
        </w:pict>
      </w:r>
    </w:p>
    <w:p>
      <w:pPr>
        <w:pStyle w:val="BodyText"/>
        <w:spacing w:before="3"/>
        <w:rPr>
          <w:sz w:val="16"/>
        </w:rPr>
      </w:pPr>
    </w:p>
    <w:p>
      <w:pPr>
        <w:pStyle w:val="Heading1"/>
      </w:pPr>
      <w:r>
        <w:rPr/>
        <w:t>⼆、幂律衰减替代指数衰减</w:t>
      </w:r>
    </w:p>
    <w:p>
      <w:pPr>
        <w:pStyle w:val="Heading2"/>
        <w:numPr>
          <w:ilvl w:val="1"/>
          <w:numId w:val="2"/>
        </w:numPr>
        <w:tabs>
          <w:tab w:pos="517" w:val="left" w:leader="none"/>
        </w:tabs>
        <w:spacing w:line="240" w:lineRule="auto" w:before="257" w:after="0"/>
        <w:ind w:left="516" w:right="0" w:hanging="417"/>
        <w:jc w:val="left"/>
      </w:pPr>
      <w:r>
        <w:rPr>
          <w:spacing w:val="4"/>
        </w:rPr>
        <w:t>为什么换</w:t>
      </w:r>
    </w:p>
    <w:p>
      <w:pPr>
        <w:spacing w:line="218" w:lineRule="auto" w:before="102"/>
        <w:ind w:left="100" w:right="0" w:firstLine="0"/>
        <w:jc w:val="left"/>
        <w:rPr>
          <w:sz w:val="22"/>
        </w:rPr>
      </w:pPr>
      <w:r>
        <w:rPr>
          <w:sz w:val="22"/>
        </w:rPr>
        <w:t>原系统⽤指数衰减 </w:t>
      </w:r>
      <w:r>
        <w:rPr>
          <w:rFonts w:ascii="Courier New" w:eastAsia="Courier New"/>
          <w:sz w:val="19"/>
        </w:rPr>
        <w:t>exp(-t/12) </w:t>
      </w:r>
      <w:r>
        <w:rPr>
          <w:sz w:val="22"/>
        </w:rPr>
        <w:t>，半衰期约 </w:t>
      </w:r>
      <w:r>
        <w:rPr>
          <w:rFonts w:ascii="Tahoma" w:eastAsia="Tahoma"/>
          <w:sz w:val="22"/>
        </w:rPr>
        <w:t>8.3 </w:t>
      </w:r>
      <w:r>
        <w:rPr>
          <w:sz w:val="22"/>
        </w:rPr>
        <w:t>⼩时。</w:t>
      </w:r>
      <w:r>
        <w:rPr>
          <w:rFonts w:ascii="Tahoma" w:eastAsia="Tahoma"/>
          <w:sz w:val="22"/>
        </w:rPr>
        <w:t>Wixted &amp; Ebbesen (1991, </w:t>
      </w:r>
      <w:r>
        <w:rPr>
          <w:rFonts w:ascii="Lucida Sans" w:eastAsia="Lucida Sans"/>
          <w:i/>
          <w:sz w:val="22"/>
        </w:rPr>
        <w:t>Psychological </w:t>
      </w:r>
      <w:r>
        <w:rPr>
          <w:rFonts w:ascii="Lucida Sans" w:eastAsia="Lucida Sans"/>
          <w:i/>
          <w:sz w:val="22"/>
        </w:rPr>
        <w:t>Science</w:t>
      </w:r>
      <w:r>
        <w:rPr>
          <w:rFonts w:ascii="Tahoma" w:eastAsia="Tahoma"/>
          <w:sz w:val="22"/>
        </w:rPr>
        <w:t>) </w:t>
      </w:r>
      <w:r>
        <w:rPr>
          <w:sz w:val="22"/>
        </w:rPr>
        <w:t>的研究证明，⼈类遗忘曲线的形式是</w:t>
      </w:r>
      <w:r>
        <w:rPr>
          <w:b/>
          <w:sz w:val="22"/>
        </w:rPr>
        <w:t>幂律</w:t>
      </w:r>
      <w:r>
        <w:rPr>
          <w:sz w:val="22"/>
        </w:rPr>
        <w:t>⽽⾮指数：</w:t>
      </w:r>
    </w:p>
    <w:p>
      <w:pPr>
        <w:pStyle w:val="BodyText"/>
        <w:spacing w:before="7"/>
      </w:pPr>
    </w:p>
    <w:p>
      <w:pPr>
        <w:spacing w:before="0"/>
        <w:ind w:left="291" w:right="0" w:firstLine="0"/>
        <w:jc w:val="left"/>
        <w:rPr>
          <w:rFonts w:ascii="Courier New" w:hAnsi="Courier New"/>
          <w:sz w:val="19"/>
        </w:rPr>
      </w:pPr>
      <w:r>
        <w:rPr>
          <w:rFonts w:ascii="Courier New" w:hAnsi="Courier New"/>
          <w:sz w:val="19"/>
        </w:rPr>
        <w:t>R(t) = a · t^(-b)</w:t>
      </w:r>
    </w:p>
    <w:p>
      <w:pPr>
        <w:pStyle w:val="BodyText"/>
        <w:rPr>
          <w:rFonts w:ascii="Courier New"/>
        </w:rPr>
      </w:pPr>
    </w:p>
    <w:p>
      <w:pPr>
        <w:spacing w:line="208" w:lineRule="auto" w:before="191"/>
        <w:ind w:left="100" w:right="273" w:firstLine="0"/>
        <w:jc w:val="both"/>
        <w:rPr>
          <w:sz w:val="22"/>
        </w:rPr>
      </w:pPr>
      <w:r>
        <w:rPr>
          <w:rFonts w:ascii="Tahoma" w:eastAsia="Tahoma"/>
          <w:spacing w:val="-3"/>
          <w:sz w:val="22"/>
        </w:rPr>
        <w:t>Wixted</w:t>
      </w:r>
      <w:r>
        <w:rPr>
          <w:rFonts w:ascii="Tahoma" w:eastAsia="Tahoma"/>
          <w:spacing w:val="14"/>
          <w:sz w:val="22"/>
        </w:rPr>
        <w:t> </w:t>
      </w:r>
      <w:r>
        <w:rPr>
          <w:rFonts w:ascii="Tahoma" w:eastAsia="Tahoma"/>
          <w:spacing w:val="-4"/>
          <w:sz w:val="22"/>
        </w:rPr>
        <w:t>(2004</w:t>
      </w:r>
      <w:r>
        <w:rPr>
          <w:rFonts w:ascii="Tahoma" w:eastAsia="Tahoma"/>
          <w:spacing w:val="5"/>
          <w:sz w:val="22"/>
        </w:rPr>
        <w:t>, </w:t>
      </w:r>
      <w:r>
        <w:rPr>
          <w:rFonts w:ascii="Lucida Sans" w:eastAsia="Lucida Sans"/>
          <w:i/>
          <w:spacing w:val="-3"/>
          <w:sz w:val="22"/>
        </w:rPr>
        <w:t>Annual</w:t>
      </w:r>
      <w:r>
        <w:rPr>
          <w:rFonts w:ascii="Lucida Sans" w:eastAsia="Lucida Sans"/>
          <w:i/>
          <w:spacing w:val="13"/>
          <w:sz w:val="22"/>
        </w:rPr>
        <w:t> </w:t>
      </w:r>
      <w:r>
        <w:rPr>
          <w:rFonts w:ascii="Lucida Sans" w:eastAsia="Lucida Sans"/>
          <w:i/>
          <w:spacing w:val="-4"/>
          <w:sz w:val="22"/>
        </w:rPr>
        <w:t>Review</w:t>
      </w:r>
      <w:r>
        <w:rPr>
          <w:rFonts w:ascii="Lucida Sans" w:eastAsia="Lucida Sans"/>
          <w:i/>
          <w:spacing w:val="14"/>
          <w:sz w:val="22"/>
        </w:rPr>
        <w:t> </w:t>
      </w:r>
      <w:r>
        <w:rPr>
          <w:rFonts w:ascii="Lucida Sans" w:eastAsia="Lucida Sans"/>
          <w:i/>
          <w:sz w:val="22"/>
        </w:rPr>
        <w:t>of</w:t>
      </w:r>
      <w:r>
        <w:rPr>
          <w:rFonts w:ascii="Lucida Sans" w:eastAsia="Lucida Sans"/>
          <w:i/>
          <w:spacing w:val="13"/>
          <w:sz w:val="22"/>
        </w:rPr>
        <w:t> </w:t>
      </w:r>
      <w:r>
        <w:rPr>
          <w:rFonts w:ascii="Lucida Sans" w:eastAsia="Lucida Sans"/>
          <w:i/>
          <w:spacing w:val="-4"/>
          <w:sz w:val="22"/>
        </w:rPr>
        <w:t>Psychology</w:t>
      </w:r>
      <w:r>
        <w:rPr>
          <w:rFonts w:ascii="Tahoma" w:eastAsia="Tahoma"/>
          <w:spacing w:val="5"/>
          <w:sz w:val="22"/>
        </w:rPr>
        <w:t>) </w:t>
      </w:r>
      <w:r>
        <w:rPr>
          <w:spacing w:val="4"/>
          <w:sz w:val="22"/>
        </w:rPr>
        <w:t>的综述进⼀步验证：幂律在所有实验条件下（⼈</w:t>
      </w:r>
      <w:r>
        <w:rPr>
          <w:spacing w:val="4"/>
          <w:w w:val="95"/>
          <w:sz w:val="22"/>
        </w:rPr>
        <w:t>类词汇回忆、⾯孔识别、动物延迟匹配）都优于线性、指数、指数幂、双曲线和对数五种替代⽅    </w:t>
      </w:r>
      <w:r>
        <w:rPr>
          <w:spacing w:val="2"/>
          <w:w w:val="105"/>
          <w:sz w:val="22"/>
        </w:rPr>
        <w:t>案。</w:t>
      </w:r>
    </w:p>
    <w:p>
      <w:pPr>
        <w:pStyle w:val="BodyText"/>
        <w:spacing w:line="378" w:lineRule="exact" w:before="155"/>
        <w:ind w:left="100"/>
      </w:pPr>
      <w:r>
        <w:rPr/>
        <w:t>幂律的直觉：短期内衰减很快，但⻓期衰减速度变慢。不像指数那样均匀消失</w:t>
      </w:r>
      <w:r>
        <w:rPr>
          <w:rFonts w:ascii="Tahoma" w:hAnsi="Tahoma" w:cs="Tahoma" w:eastAsia="Tahoma"/>
        </w:rPr>
        <w:t>⸺</w:t>
      </w:r>
      <w:r>
        <w:rPr/>
        <w:t>重要的事虽然也</w:t>
      </w:r>
    </w:p>
    <w:p>
      <w:pPr>
        <w:pStyle w:val="BodyText"/>
        <w:spacing w:line="378" w:lineRule="exact"/>
        <w:ind w:left="100"/>
      </w:pPr>
      <w:r>
        <w:rPr/>
        <w:t>会淡化，但永远不会完全归零。</w:t>
      </w:r>
    </w:p>
    <w:p>
      <w:pPr>
        <w:pStyle w:val="BodyText"/>
        <w:spacing w:before="1"/>
        <w:rPr>
          <w:sz w:val="14"/>
        </w:rPr>
      </w:pPr>
    </w:p>
    <w:p>
      <w:pPr>
        <w:pStyle w:val="Heading2"/>
        <w:numPr>
          <w:ilvl w:val="1"/>
          <w:numId w:val="2"/>
        </w:numPr>
        <w:tabs>
          <w:tab w:pos="560" w:val="left" w:leader="none"/>
        </w:tabs>
        <w:spacing w:line="240" w:lineRule="auto" w:before="1" w:after="0"/>
        <w:ind w:left="559" w:right="0" w:hanging="460"/>
        <w:jc w:val="left"/>
      </w:pPr>
      <w:r>
        <w:rPr>
          <w:spacing w:val="4"/>
        </w:rPr>
        <w:t>重要性调节衰减速率</w:t>
      </w:r>
    </w:p>
    <w:p>
      <w:pPr>
        <w:pStyle w:val="BodyText"/>
        <w:spacing w:line="208" w:lineRule="auto" w:before="114"/>
        <w:ind w:left="100" w:right="301"/>
      </w:pPr>
      <w:r>
        <w:rPr>
          <w:rFonts w:ascii="Tahoma" w:eastAsia="Tahoma"/>
        </w:rPr>
        <w:t>Verduyn &amp; Lavrijsen (2015, </w:t>
      </w:r>
      <w:r>
        <w:rPr>
          <w:rFonts w:ascii="Lucida Sans" w:eastAsia="Lucida Sans"/>
          <w:i/>
        </w:rPr>
        <w:t>Motivation and Emotion</w:t>
      </w:r>
      <w:r>
        <w:rPr>
          <w:rFonts w:ascii="Tahoma" w:eastAsia="Tahoma"/>
        </w:rPr>
        <w:t>) </w:t>
      </w:r>
      <w:r>
        <w:rPr/>
        <w:t>研究了 </w:t>
      </w:r>
      <w:r>
        <w:rPr>
          <w:rFonts w:ascii="Tahoma" w:eastAsia="Tahoma"/>
        </w:rPr>
        <w:t>27 </w:t>
      </w:r>
      <w:r>
        <w:rPr/>
        <w:t>种情绪的持续时间，发现事件重要性是预测情绪持续时间最⼀致的评估维度（</w:t>
      </w:r>
      <w:r>
        <w:rPr>
          <w:rFonts w:ascii="Tahoma" w:eastAsia="Tahoma"/>
        </w:rPr>
        <w:t>r = 0.59, p = 0.001</w:t>
      </w:r>
      <w:r>
        <w:rPr/>
        <w:t>）。</w:t>
      </w:r>
    </w:p>
    <w:p>
      <w:pPr>
        <w:pStyle w:val="BodyText"/>
        <w:spacing w:before="154"/>
        <w:ind w:left="100"/>
      </w:pPr>
      <w:r>
        <w:rPr/>
        <w:t>衰减指数 </w:t>
      </w:r>
      <w:r>
        <w:rPr>
          <w:rFonts w:ascii="Tahoma" w:eastAsia="Tahoma"/>
        </w:rPr>
        <w:t>b </w:t>
      </w:r>
      <w:r>
        <w:rPr/>
        <w:t>由重要性调节：</w:t>
      </w:r>
    </w:p>
    <w:p>
      <w:pPr>
        <w:pStyle w:val="BodyText"/>
        <w:spacing w:before="15"/>
        <w:rPr>
          <w:sz w:val="21"/>
        </w:rPr>
      </w:pPr>
    </w:p>
    <w:p>
      <w:pPr>
        <w:spacing w:before="1"/>
        <w:ind w:left="291" w:right="0" w:firstLine="0"/>
        <w:jc w:val="left"/>
        <w:rPr>
          <w:rFonts w:ascii="Courier New"/>
          <w:sz w:val="19"/>
        </w:rPr>
      </w:pPr>
      <w:r>
        <w:rPr>
          <w:rFonts w:ascii="Courier New"/>
          <w:sz w:val="19"/>
        </w:rPr>
        <w:t>b_eff = b_base / (1 + importance / 10)</w:t>
      </w:r>
    </w:p>
    <w:p>
      <w:pPr>
        <w:pStyle w:val="BodyText"/>
        <w:rPr>
          <w:rFonts w:ascii="Courier New"/>
        </w:rPr>
      </w:pPr>
    </w:p>
    <w:p>
      <w:pPr>
        <w:pStyle w:val="BodyText"/>
        <w:spacing w:line="378" w:lineRule="exact" w:before="153"/>
        <w:ind w:left="100"/>
        <w:rPr>
          <w:rFonts w:ascii="Tahoma" w:hAnsi="Tahoma" w:eastAsia="Tahoma"/>
        </w:rPr>
      </w:pPr>
      <w:r>
        <w:rPr>
          <w:rFonts w:ascii="Tahoma" w:hAnsi="Tahoma" w:eastAsia="Tahoma"/>
        </w:rPr>
        <w:t>importance=1</w:t>
      </w:r>
      <w:r>
        <w:rPr/>
        <w:t>（⽇常⼩事）</w:t>
      </w:r>
      <w:r>
        <w:rPr>
          <w:rFonts w:ascii="Tahoma" w:hAnsi="Tahoma" w:eastAsia="Tahoma"/>
        </w:rPr>
        <w:t>→ b_eff ≈ 0.64</w:t>
      </w:r>
      <w:r>
        <w:rPr/>
        <w:t>，衰减快。</w:t>
      </w:r>
      <w:r>
        <w:rPr>
          <w:rFonts w:ascii="Tahoma" w:hAnsi="Tahoma" w:eastAsia="Tahoma"/>
        </w:rPr>
        <w:t>importance=9</w:t>
      </w:r>
      <w:r>
        <w:rPr/>
        <w:t>（重⼤事件）</w:t>
      </w:r>
      <w:r>
        <w:rPr>
          <w:rFonts w:ascii="Tahoma" w:hAnsi="Tahoma" w:eastAsia="Tahoma"/>
        </w:rPr>
        <w:t>→ b_eff ≈</w:t>
      </w:r>
    </w:p>
    <w:p>
      <w:pPr>
        <w:pStyle w:val="BodyText"/>
        <w:spacing w:line="378" w:lineRule="exact"/>
        <w:ind w:left="100"/>
      </w:pPr>
      <w:r>
        <w:rPr>
          <w:rFonts w:ascii="Tahoma" w:eastAsia="Tahoma"/>
        </w:rPr>
        <w:t>0.37</w:t>
      </w:r>
      <w:r>
        <w:rPr/>
        <w:t>，衰减慢。</w:t>
      </w:r>
    </w:p>
    <w:p>
      <w:pPr>
        <w:pStyle w:val="BodyText"/>
        <w:spacing w:before="2"/>
        <w:rPr>
          <w:sz w:val="14"/>
        </w:rPr>
      </w:pPr>
    </w:p>
    <w:p>
      <w:pPr>
        <w:pStyle w:val="ListParagraph"/>
        <w:numPr>
          <w:ilvl w:val="1"/>
          <w:numId w:val="3"/>
        </w:numPr>
        <w:tabs>
          <w:tab w:pos="562" w:val="left" w:leader="none"/>
        </w:tabs>
        <w:spacing w:line="240" w:lineRule="auto" w:before="0" w:after="0"/>
        <w:ind w:left="561" w:right="0" w:hanging="462"/>
        <w:jc w:val="left"/>
        <w:rPr>
          <w:b/>
          <w:sz w:val="25"/>
        </w:rPr>
      </w:pPr>
      <w:r>
        <w:rPr>
          <w:b/>
          <w:spacing w:val="4"/>
          <w:sz w:val="25"/>
        </w:rPr>
        <w:t>正负情绪不对称衰减</w:t>
      </w:r>
      <w:r>
        <w:rPr>
          <w:b/>
          <w:spacing w:val="-5"/>
          <w:sz w:val="25"/>
        </w:rPr>
        <w:t>（</w:t>
      </w:r>
      <w:r>
        <w:rPr>
          <w:rFonts w:ascii="Lucida Sans" w:eastAsia="Lucida Sans"/>
          <w:spacing w:val="-5"/>
          <w:sz w:val="25"/>
        </w:rPr>
        <w:t>FAB</w:t>
      </w:r>
      <w:r>
        <w:rPr>
          <w:b/>
          <w:spacing w:val="-5"/>
          <w:sz w:val="25"/>
        </w:rPr>
        <w:t>）</w:t>
      </w:r>
    </w:p>
    <w:p>
      <w:pPr>
        <w:pStyle w:val="BodyText"/>
        <w:spacing w:line="378" w:lineRule="exact" w:before="76"/>
        <w:ind w:left="100"/>
      </w:pPr>
      <w:r>
        <w:rPr>
          <w:rFonts w:ascii="Tahoma" w:eastAsia="Tahoma"/>
          <w:w w:val="105"/>
        </w:rPr>
        <w:t>Walker &amp; Skowronski (2009) </w:t>
      </w:r>
      <w:r>
        <w:rPr>
          <w:w w:val="105"/>
        </w:rPr>
        <w:t>的 </w:t>
      </w:r>
      <w:r>
        <w:rPr>
          <w:rFonts w:ascii="Tahoma" w:eastAsia="Tahoma"/>
          <w:w w:val="105"/>
        </w:rPr>
        <w:t>Fading Affect Bias </w:t>
      </w:r>
      <w:r>
        <w:rPr>
          <w:w w:val="105"/>
        </w:rPr>
        <w:t>研究发现：正⾯事件关联的情绪强度消退速</w:t>
      </w:r>
    </w:p>
    <w:p>
      <w:pPr>
        <w:pStyle w:val="BodyText"/>
        <w:spacing w:line="378" w:lineRule="exact"/>
        <w:ind w:left="100"/>
      </w:pPr>
      <w:r>
        <w:rPr/>
        <w:t>度⽐负⾯事件慢；初始强度越⾼的事件越不容易消退。</w:t>
      </w:r>
    </w:p>
    <w:p>
      <w:pPr>
        <w:pStyle w:val="BodyText"/>
        <w:spacing w:before="139"/>
        <w:ind w:left="100"/>
      </w:pPr>
      <w:r>
        <w:rPr/>
        <w:t>正⾯情绪的衰减指数额外乘⼀个减速因⼦：</w:t>
      </w:r>
    </w:p>
    <w:p>
      <w:pPr>
        <w:pStyle w:val="BodyText"/>
        <w:spacing w:before="13"/>
        <w:rPr>
          <w:sz w:val="16"/>
        </w:rPr>
      </w:pPr>
    </w:p>
    <w:p>
      <w:pPr>
        <w:tabs>
          <w:tab w:pos="3978" w:val="left" w:leader="none"/>
        </w:tabs>
        <w:spacing w:before="1"/>
        <w:ind w:left="291" w:right="0" w:firstLine="0"/>
        <w:jc w:val="left"/>
        <w:rPr>
          <w:rFonts w:ascii="Courier New" w:eastAsia="Courier New"/>
          <w:sz w:val="19"/>
        </w:rPr>
      </w:pPr>
      <w:r>
        <w:rPr>
          <w:rFonts w:ascii="Courier New" w:eastAsia="Courier New"/>
          <w:sz w:val="19"/>
        </w:rPr>
        <w:t>if (valence &gt; 0) b_eff</w:t>
      </w:r>
      <w:r>
        <w:rPr>
          <w:rFonts w:ascii="Courier New" w:eastAsia="Courier New"/>
          <w:spacing w:val="12"/>
          <w:sz w:val="19"/>
        </w:rPr>
        <w:t> </w:t>
      </w:r>
      <w:r>
        <w:rPr>
          <w:rFonts w:ascii="Courier New" w:eastAsia="Courier New"/>
          <w:sz w:val="19"/>
        </w:rPr>
        <w:t>*</w:t>
      </w:r>
      <w:r>
        <w:rPr>
          <w:rFonts w:ascii="Courier New" w:eastAsia="Courier New"/>
          <w:spacing w:val="1"/>
          <w:sz w:val="19"/>
        </w:rPr>
        <w:t>= </w:t>
      </w:r>
      <w:r>
        <w:rPr>
          <w:rFonts w:ascii="Courier New" w:eastAsia="Courier New"/>
          <w:sz w:val="19"/>
        </w:rPr>
        <w:t>0.85</w:t>
        <w:tab/>
        <w:t>//</w:t>
      </w:r>
      <w:r>
        <w:rPr>
          <w:rFonts w:ascii="Courier New" w:eastAsia="Courier New"/>
          <w:spacing w:val="1"/>
          <w:sz w:val="19"/>
        </w:rPr>
        <w:t> </w:t>
      </w:r>
      <w:r>
        <w:rPr>
          <w:spacing w:val="2"/>
          <w:sz w:val="19"/>
        </w:rPr>
        <w:t>正⾯情绪衰减慢 </w:t>
      </w:r>
      <w:r>
        <w:rPr>
          <w:rFonts w:ascii="Courier New" w:eastAsia="Courier New"/>
          <w:sz w:val="19"/>
        </w:rPr>
        <w:t>15%</w:t>
      </w:r>
    </w:p>
    <w:p>
      <w:pPr>
        <w:spacing w:after="0"/>
        <w:jc w:val="left"/>
        <w:rPr>
          <w:rFonts w:ascii="Courier New" w:eastAsia="Courier New"/>
          <w:sz w:val="19"/>
        </w:rPr>
        <w:sectPr>
          <w:pgSz w:w="12240" w:h="15840"/>
          <w:pgMar w:top="680" w:bottom="280" w:left="1260" w:right="1240"/>
        </w:sectPr>
      </w:pPr>
    </w:p>
    <w:p>
      <w:pPr>
        <w:pStyle w:val="Heading2"/>
        <w:numPr>
          <w:ilvl w:val="1"/>
          <w:numId w:val="3"/>
        </w:numPr>
        <w:tabs>
          <w:tab w:pos="570" w:val="left" w:leader="none"/>
        </w:tabs>
        <w:spacing w:line="455" w:lineRule="exact" w:before="0" w:after="0"/>
        <w:ind w:left="569" w:right="0" w:hanging="470"/>
        <w:jc w:val="left"/>
      </w:pPr>
      <w:r>
        <w:rPr>
          <w:spacing w:val="4"/>
        </w:rPr>
        <w:t>最终公式</w:t>
      </w:r>
    </w:p>
    <w:p>
      <w:pPr>
        <w:pStyle w:val="BodyText"/>
        <w:spacing w:before="16"/>
        <w:rPr>
          <w:b/>
          <w:sz w:val="21"/>
        </w:rPr>
      </w:pPr>
    </w:p>
    <w:p>
      <w:pPr>
        <w:spacing w:before="0"/>
        <w:ind w:left="291" w:right="0" w:firstLine="0"/>
        <w:jc w:val="left"/>
        <w:rPr>
          <w:rFonts w:ascii="Courier New" w:hAnsi="Courier New"/>
          <w:sz w:val="19"/>
        </w:rPr>
      </w:pPr>
      <w:r>
        <w:rPr>
          <w:rFonts w:ascii="Courier New" w:hAnsi="Courier New"/>
          <w:sz w:val="19"/>
        </w:rPr>
        <w:t>w(t) = (1 + t/τ)^(-b_eff)</w:t>
      </w:r>
    </w:p>
    <w:p>
      <w:pPr>
        <w:pStyle w:val="BodyText"/>
        <w:rPr>
          <w:rFonts w:ascii="Courier New"/>
          <w:sz w:val="20"/>
        </w:rPr>
      </w:pPr>
    </w:p>
    <w:p>
      <w:pPr>
        <w:pStyle w:val="BodyText"/>
        <w:spacing w:before="4" w:after="1"/>
        <w:rPr>
          <w:rFonts w:ascii="Courier New"/>
          <w:sz w:val="24"/>
        </w:rPr>
      </w:pPr>
    </w:p>
    <w:tbl>
      <w:tblPr>
        <w:tblW w:w="0" w:type="auto"/>
        <w:jc w:val="left"/>
        <w:tblInd w:w="120" w:type="dxa"/>
        <w:tblBorders>
          <w:top w:val="single" w:sz="8" w:space="0" w:color="DDDDDD"/>
          <w:left w:val="single" w:sz="8" w:space="0" w:color="DDDDDD"/>
          <w:bottom w:val="single" w:sz="8" w:space="0" w:color="DDDDDD"/>
          <w:right w:val="single" w:sz="8" w:space="0" w:color="DDDDDD"/>
          <w:insideH w:val="single" w:sz="8" w:space="0" w:color="DDDDDD"/>
          <w:insideV w:val="single" w:sz="8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25"/>
        <w:gridCol w:w="1205"/>
        <w:gridCol w:w="4973"/>
      </w:tblGrid>
      <w:tr>
        <w:trPr>
          <w:trHeight w:val="559" w:hRule="atLeast"/>
        </w:trPr>
        <w:tc>
          <w:tcPr>
            <w:tcW w:w="3325" w:type="dxa"/>
            <w:tcBorders>
              <w:bottom w:val="single" w:sz="12" w:space="0" w:color="DDDDDD"/>
              <w:right w:val="single" w:sz="12" w:space="0" w:color="DDDDDD"/>
            </w:tcBorders>
          </w:tcPr>
          <w:p>
            <w:pPr>
              <w:pStyle w:val="TableParagraph"/>
              <w:spacing w:before="65"/>
              <w:rPr>
                <w:rFonts w:ascii="Microsoft JhengHei" w:eastAsia="Microsoft JhengHei" w:hint="eastAsia"/>
                <w:b/>
                <w:sz w:val="21"/>
              </w:rPr>
            </w:pPr>
            <w:r>
              <w:rPr>
                <w:rFonts w:ascii="Microsoft JhengHei" w:eastAsia="Microsoft JhengHei" w:hint="eastAsia"/>
                <w:b/>
                <w:sz w:val="21"/>
              </w:rPr>
              <w:t>参数</w:t>
            </w:r>
          </w:p>
        </w:tc>
        <w:tc>
          <w:tcPr>
            <w:tcW w:w="1205" w:type="dxa"/>
            <w:tcBorders>
              <w:left w:val="single" w:sz="12" w:space="0" w:color="DDDDDD"/>
              <w:bottom w:val="single" w:sz="12" w:space="0" w:color="DDDDDD"/>
              <w:right w:val="single" w:sz="12" w:space="0" w:color="DDDDDD"/>
            </w:tcBorders>
          </w:tcPr>
          <w:p>
            <w:pPr>
              <w:pStyle w:val="TableParagraph"/>
              <w:spacing w:before="65"/>
              <w:ind w:left="190"/>
              <w:rPr>
                <w:rFonts w:ascii="Microsoft JhengHei" w:eastAsia="Microsoft JhengHei" w:hint="eastAsia"/>
                <w:b/>
                <w:sz w:val="21"/>
              </w:rPr>
            </w:pPr>
            <w:r>
              <w:rPr>
                <w:rFonts w:ascii="Microsoft JhengHei" w:eastAsia="Microsoft JhengHei" w:hint="eastAsia"/>
                <w:b/>
                <w:w w:val="96"/>
                <w:sz w:val="21"/>
              </w:rPr>
              <w:t>值</w:t>
            </w:r>
          </w:p>
        </w:tc>
        <w:tc>
          <w:tcPr>
            <w:tcW w:w="4973" w:type="dxa"/>
            <w:tcBorders>
              <w:left w:val="single" w:sz="12" w:space="0" w:color="DDDDDD"/>
              <w:bottom w:val="single" w:sz="12" w:space="0" w:color="DDDDDD"/>
            </w:tcBorders>
          </w:tcPr>
          <w:p>
            <w:pPr>
              <w:pStyle w:val="TableParagraph"/>
              <w:spacing w:before="65"/>
              <w:ind w:left="191"/>
              <w:rPr>
                <w:rFonts w:ascii="Microsoft JhengHei" w:eastAsia="Microsoft JhengHei" w:hint="eastAsia"/>
                <w:b/>
                <w:sz w:val="21"/>
              </w:rPr>
            </w:pPr>
            <w:r>
              <w:rPr>
                <w:rFonts w:ascii="Microsoft JhengHei" w:eastAsia="Microsoft JhengHei" w:hint="eastAsia"/>
                <w:b/>
                <w:sz w:val="21"/>
              </w:rPr>
              <w:t>来源</w:t>
            </w:r>
          </w:p>
        </w:tc>
      </w:tr>
      <w:tr>
        <w:trPr>
          <w:trHeight w:val="556" w:hRule="atLeast"/>
        </w:trPr>
        <w:tc>
          <w:tcPr>
            <w:tcW w:w="3325" w:type="dxa"/>
            <w:tcBorders>
              <w:top w:val="single" w:sz="12" w:space="0" w:color="DDDDDD"/>
              <w:bottom w:val="single" w:sz="12" w:space="0" w:color="DDDDDD"/>
              <w:right w:val="single" w:sz="12" w:space="0" w:color="DDDDDD"/>
            </w:tcBorders>
          </w:tcPr>
          <w:p>
            <w:pPr>
              <w:pStyle w:val="TableParagraph"/>
              <w:spacing w:before="63"/>
              <w:rPr>
                <w:rFonts w:ascii="Microsoft JhengHei" w:hAnsi="Microsoft JhengHei" w:eastAsia="Microsoft JhengHei" w:hint="eastAsia"/>
                <w:sz w:val="21"/>
              </w:rPr>
            </w:pPr>
            <w:r>
              <w:rPr>
                <w:sz w:val="21"/>
              </w:rPr>
              <w:t>τ</w:t>
            </w:r>
            <w:r>
              <w:rPr>
                <w:rFonts w:ascii="Microsoft JhengHei" w:hAnsi="Microsoft JhengHei" w:eastAsia="Microsoft JhengHei" w:hint="eastAsia"/>
                <w:sz w:val="21"/>
              </w:rPr>
              <w:t>（时间尺度）</w:t>
            </w:r>
          </w:p>
        </w:tc>
        <w:tc>
          <w:tcPr>
            <w:tcW w:w="1205" w:type="dxa"/>
            <w:tcBorders>
              <w:top w:val="single" w:sz="12" w:space="0" w:color="DDDDDD"/>
              <w:left w:val="single" w:sz="12" w:space="0" w:color="DDDDDD"/>
              <w:bottom w:val="single" w:sz="12" w:space="0" w:color="DDDDDD"/>
              <w:right w:val="single" w:sz="12" w:space="0" w:color="DDDDDD"/>
            </w:tcBorders>
          </w:tcPr>
          <w:p>
            <w:pPr>
              <w:pStyle w:val="TableParagraph"/>
              <w:spacing w:before="63"/>
              <w:ind w:left="190"/>
              <w:rPr>
                <w:rFonts w:ascii="Microsoft JhengHei" w:eastAsia="Microsoft JhengHei" w:hint="eastAsia"/>
                <w:sz w:val="21"/>
              </w:rPr>
            </w:pPr>
            <w:r>
              <w:rPr>
                <w:w w:val="105"/>
                <w:sz w:val="21"/>
              </w:rPr>
              <w:t>4 </w:t>
            </w:r>
            <w:r>
              <w:rPr>
                <w:rFonts w:ascii="Microsoft JhengHei" w:eastAsia="Microsoft JhengHei" w:hint="eastAsia"/>
                <w:w w:val="105"/>
                <w:sz w:val="21"/>
              </w:rPr>
              <w:t>⼩时</w:t>
            </w:r>
          </w:p>
        </w:tc>
        <w:tc>
          <w:tcPr>
            <w:tcW w:w="4973" w:type="dxa"/>
            <w:tcBorders>
              <w:top w:val="single" w:sz="12" w:space="0" w:color="DDDDDD"/>
              <w:left w:val="single" w:sz="12" w:space="0" w:color="DDDDDD"/>
              <w:bottom w:val="single" w:sz="12" w:space="0" w:color="DDDDDD"/>
            </w:tcBorders>
          </w:tcPr>
          <w:p>
            <w:pPr>
              <w:pStyle w:val="TableParagraph"/>
              <w:spacing w:before="63"/>
              <w:ind w:left="191"/>
              <w:rPr>
                <w:sz w:val="21"/>
              </w:rPr>
            </w:pPr>
            <w:r>
              <w:rPr>
                <w:sz w:val="21"/>
              </w:rPr>
              <w:t>Verduyn 2015</w:t>
            </w:r>
            <w:r>
              <w:rPr>
                <w:rFonts w:ascii="Microsoft JhengHei" w:eastAsia="Microsoft JhengHei" w:hint="eastAsia"/>
                <w:sz w:val="21"/>
              </w:rPr>
              <w:t>，⽇常情绪中位持续 </w:t>
            </w:r>
            <w:r>
              <w:rPr>
                <w:sz w:val="21"/>
              </w:rPr>
              <w:t>2-3h</w:t>
            </w:r>
          </w:p>
        </w:tc>
      </w:tr>
      <w:tr>
        <w:trPr>
          <w:trHeight w:val="556" w:hRule="atLeast"/>
        </w:trPr>
        <w:tc>
          <w:tcPr>
            <w:tcW w:w="3325" w:type="dxa"/>
            <w:tcBorders>
              <w:top w:val="single" w:sz="12" w:space="0" w:color="DDDDDD"/>
              <w:bottom w:val="single" w:sz="12" w:space="0" w:color="DDDDDD"/>
              <w:right w:val="single" w:sz="12" w:space="0" w:color="DDDDDD"/>
            </w:tcBorders>
          </w:tcPr>
          <w:p>
            <w:pPr>
              <w:pStyle w:val="TableParagraph"/>
              <w:spacing w:before="63"/>
              <w:rPr>
                <w:rFonts w:ascii="Microsoft JhengHei" w:eastAsia="Microsoft JhengHei" w:hint="eastAsia"/>
                <w:sz w:val="21"/>
              </w:rPr>
            </w:pPr>
            <w:r>
              <w:rPr>
                <w:sz w:val="21"/>
              </w:rPr>
              <w:t>b_base</w:t>
            </w:r>
            <w:r>
              <w:rPr>
                <w:rFonts w:ascii="Microsoft JhengHei" w:eastAsia="Microsoft JhengHei" w:hint="eastAsia"/>
                <w:sz w:val="21"/>
              </w:rPr>
              <w:t>（基础衰减指数）</w:t>
            </w:r>
          </w:p>
        </w:tc>
        <w:tc>
          <w:tcPr>
            <w:tcW w:w="1205" w:type="dxa"/>
            <w:tcBorders>
              <w:top w:val="single" w:sz="12" w:space="0" w:color="DDDDDD"/>
              <w:left w:val="single" w:sz="12" w:space="0" w:color="DDDDDD"/>
              <w:bottom w:val="single" w:sz="12" w:space="0" w:color="DDDDDD"/>
              <w:right w:val="single" w:sz="12" w:space="0" w:color="DDDDDD"/>
            </w:tcBorders>
          </w:tcPr>
          <w:p>
            <w:pPr>
              <w:pStyle w:val="TableParagraph"/>
              <w:ind w:left="190"/>
              <w:rPr>
                <w:sz w:val="21"/>
              </w:rPr>
            </w:pPr>
            <w:r>
              <w:rPr>
                <w:w w:val="105"/>
                <w:sz w:val="21"/>
              </w:rPr>
              <w:t>0.7</w:t>
            </w:r>
          </w:p>
        </w:tc>
        <w:tc>
          <w:tcPr>
            <w:tcW w:w="4973" w:type="dxa"/>
            <w:tcBorders>
              <w:top w:val="single" w:sz="12" w:space="0" w:color="DDDDDD"/>
              <w:left w:val="single" w:sz="12" w:space="0" w:color="DDDDDD"/>
              <w:bottom w:val="single" w:sz="12" w:space="0" w:color="DDDDDD"/>
            </w:tcBorders>
          </w:tcPr>
          <w:p>
            <w:pPr>
              <w:pStyle w:val="TableParagraph"/>
              <w:spacing w:before="63"/>
              <w:ind w:left="191"/>
              <w:rPr>
                <w:rFonts w:ascii="Microsoft JhengHei" w:eastAsia="Microsoft JhengHei" w:hint="eastAsia"/>
                <w:sz w:val="21"/>
              </w:rPr>
            </w:pPr>
            <w:r>
              <w:rPr>
                <w:sz w:val="21"/>
              </w:rPr>
              <w:t>Wixted </w:t>
            </w:r>
            <w:r>
              <w:rPr>
                <w:rFonts w:ascii="Microsoft JhengHei" w:eastAsia="Microsoft JhengHei" w:hint="eastAsia"/>
                <w:sz w:val="21"/>
              </w:rPr>
              <w:t>典型 </w:t>
            </w:r>
            <w:r>
              <w:rPr>
                <w:sz w:val="21"/>
              </w:rPr>
              <w:t>b </w:t>
            </w:r>
            <w:r>
              <w:rPr>
                <w:rFonts w:ascii="Microsoft JhengHei" w:eastAsia="Microsoft JhengHei" w:hint="eastAsia"/>
                <w:sz w:val="21"/>
              </w:rPr>
              <w:t>值范围 </w:t>
            </w:r>
            <w:r>
              <w:rPr>
                <w:sz w:val="21"/>
              </w:rPr>
              <w:t>0.2-1.0 </w:t>
            </w:r>
            <w:r>
              <w:rPr>
                <w:rFonts w:ascii="Microsoft JhengHei" w:eastAsia="Microsoft JhengHei" w:hint="eastAsia"/>
                <w:sz w:val="21"/>
              </w:rPr>
              <w:t>中偏⾼位</w:t>
            </w:r>
          </w:p>
        </w:tc>
      </w:tr>
      <w:tr>
        <w:trPr>
          <w:trHeight w:val="559" w:hRule="atLeast"/>
        </w:trPr>
        <w:tc>
          <w:tcPr>
            <w:tcW w:w="3325" w:type="dxa"/>
            <w:tcBorders>
              <w:top w:val="single" w:sz="12" w:space="0" w:color="DDDDDD"/>
              <w:right w:val="single" w:sz="12" w:space="0" w:color="DDDDDD"/>
            </w:tcBorders>
          </w:tcPr>
          <w:p>
            <w:pPr>
              <w:pStyle w:val="TableParagraph"/>
              <w:spacing w:before="63"/>
              <w:rPr>
                <w:rFonts w:ascii="Microsoft JhengHei" w:eastAsia="Microsoft JhengHei" w:hint="eastAsia"/>
                <w:sz w:val="21"/>
              </w:rPr>
            </w:pPr>
            <w:r>
              <w:rPr>
                <w:sz w:val="21"/>
              </w:rPr>
              <w:t>FAB </w:t>
            </w:r>
            <w:r>
              <w:rPr>
                <w:rFonts w:ascii="Microsoft JhengHei" w:eastAsia="Microsoft JhengHei" w:hint="eastAsia"/>
                <w:sz w:val="21"/>
              </w:rPr>
              <w:t>系数</w:t>
            </w:r>
          </w:p>
        </w:tc>
        <w:tc>
          <w:tcPr>
            <w:tcW w:w="1205" w:type="dxa"/>
            <w:tcBorders>
              <w:top w:val="single" w:sz="12" w:space="0" w:color="DDDDDD"/>
              <w:left w:val="single" w:sz="12" w:space="0" w:color="DDDDDD"/>
              <w:right w:val="single" w:sz="12" w:space="0" w:color="DDDDDD"/>
            </w:tcBorders>
          </w:tcPr>
          <w:p>
            <w:pPr>
              <w:pStyle w:val="TableParagraph"/>
              <w:ind w:left="190"/>
              <w:rPr>
                <w:sz w:val="21"/>
              </w:rPr>
            </w:pPr>
            <w:r>
              <w:rPr>
                <w:w w:val="110"/>
                <w:sz w:val="21"/>
              </w:rPr>
              <w:t>0.85</w:t>
            </w:r>
          </w:p>
        </w:tc>
        <w:tc>
          <w:tcPr>
            <w:tcW w:w="4973" w:type="dxa"/>
            <w:tcBorders>
              <w:top w:val="single" w:sz="12" w:space="0" w:color="DDDDDD"/>
              <w:left w:val="single" w:sz="12" w:space="0" w:color="DDDDDD"/>
            </w:tcBorders>
          </w:tcPr>
          <w:p>
            <w:pPr>
              <w:pStyle w:val="TableParagraph"/>
              <w:ind w:left="191"/>
              <w:rPr>
                <w:sz w:val="21"/>
              </w:rPr>
            </w:pPr>
            <w:r>
              <w:rPr>
                <w:w w:val="110"/>
                <w:sz w:val="21"/>
              </w:rPr>
              <w:t>Walker &amp; Skowronski 2009</w:t>
            </w:r>
          </w:p>
        </w:tc>
      </w:tr>
    </w:tbl>
    <w:p>
      <w:pPr>
        <w:pStyle w:val="BodyText"/>
        <w:spacing w:before="3"/>
        <w:rPr>
          <w:rFonts w:ascii="Courier New"/>
          <w:sz w:val="23"/>
        </w:rPr>
      </w:pPr>
    </w:p>
    <w:p>
      <w:pPr>
        <w:pStyle w:val="Heading2"/>
        <w:numPr>
          <w:ilvl w:val="1"/>
          <w:numId w:val="3"/>
        </w:numPr>
        <w:tabs>
          <w:tab w:pos="560" w:val="left" w:leader="none"/>
        </w:tabs>
        <w:spacing w:line="240" w:lineRule="auto" w:before="12" w:after="0"/>
        <w:ind w:left="559" w:right="0" w:hanging="460"/>
        <w:jc w:val="left"/>
      </w:pPr>
      <w:r>
        <w:rPr>
          <w:spacing w:val="4"/>
        </w:rPr>
        <w:t>效果预览</w:t>
      </w:r>
    </w:p>
    <w:p>
      <w:pPr>
        <w:pStyle w:val="BodyText"/>
        <w:spacing w:before="1"/>
        <w:rPr>
          <w:b/>
          <w:sz w:val="13"/>
        </w:rPr>
      </w:pPr>
    </w:p>
    <w:tbl>
      <w:tblPr>
        <w:tblW w:w="0" w:type="auto"/>
        <w:jc w:val="left"/>
        <w:tblInd w:w="120" w:type="dxa"/>
        <w:tblBorders>
          <w:top w:val="single" w:sz="8" w:space="0" w:color="DDDDDD"/>
          <w:left w:val="single" w:sz="8" w:space="0" w:color="DDDDDD"/>
          <w:bottom w:val="single" w:sz="8" w:space="0" w:color="DDDDDD"/>
          <w:right w:val="single" w:sz="8" w:space="0" w:color="DDDDDD"/>
          <w:insideH w:val="single" w:sz="8" w:space="0" w:color="DDDDDD"/>
          <w:insideV w:val="single" w:sz="8" w:space="0" w:color="DDDDDD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453"/>
        <w:gridCol w:w="2656"/>
        <w:gridCol w:w="2699"/>
        <w:gridCol w:w="2696"/>
      </w:tblGrid>
      <w:tr>
        <w:trPr>
          <w:trHeight w:val="559" w:hRule="atLeast"/>
        </w:trPr>
        <w:tc>
          <w:tcPr>
            <w:tcW w:w="1453" w:type="dxa"/>
            <w:tcBorders>
              <w:bottom w:val="single" w:sz="12" w:space="0" w:color="DDDDDD"/>
              <w:right w:val="single" w:sz="12" w:space="0" w:color="DDDDDD"/>
            </w:tcBorders>
          </w:tcPr>
          <w:p>
            <w:pPr>
              <w:pStyle w:val="TableParagraph"/>
              <w:spacing w:before="65"/>
              <w:rPr>
                <w:rFonts w:ascii="Microsoft JhengHei" w:eastAsia="Microsoft JhengHei" w:hint="eastAsia"/>
                <w:b/>
                <w:sz w:val="21"/>
              </w:rPr>
            </w:pPr>
            <w:r>
              <w:rPr>
                <w:rFonts w:ascii="Microsoft JhengHei" w:eastAsia="Microsoft JhengHei" w:hint="eastAsia"/>
                <w:b/>
                <w:sz w:val="21"/>
              </w:rPr>
              <w:t>时间</w:t>
            </w:r>
          </w:p>
        </w:tc>
        <w:tc>
          <w:tcPr>
            <w:tcW w:w="2656" w:type="dxa"/>
            <w:tcBorders>
              <w:left w:val="single" w:sz="12" w:space="0" w:color="DDDDDD"/>
              <w:bottom w:val="single" w:sz="12" w:space="0" w:color="DDDDDD"/>
              <w:right w:val="single" w:sz="12" w:space="0" w:color="DDDDDD"/>
            </w:tcBorders>
          </w:tcPr>
          <w:p>
            <w:pPr>
              <w:pStyle w:val="TableParagraph"/>
              <w:spacing w:before="65"/>
              <w:rPr>
                <w:rFonts w:ascii="Century Gothic" w:eastAsia="Century Gothic"/>
                <w:sz w:val="21"/>
              </w:rPr>
            </w:pPr>
            <w:r>
              <w:rPr>
                <w:rFonts w:ascii="Microsoft JhengHei" w:eastAsia="Microsoft JhengHei" w:hint="eastAsia"/>
                <w:b/>
                <w:sz w:val="21"/>
              </w:rPr>
              <w:t>⽇常⼩事 </w:t>
            </w:r>
            <w:r>
              <w:rPr>
                <w:rFonts w:ascii="Century Gothic" w:eastAsia="Century Gothic"/>
                <w:sz w:val="21"/>
              </w:rPr>
              <w:t>(imp=1)</w:t>
            </w:r>
          </w:p>
        </w:tc>
        <w:tc>
          <w:tcPr>
            <w:tcW w:w="2699" w:type="dxa"/>
            <w:tcBorders>
              <w:left w:val="single" w:sz="12" w:space="0" w:color="DDDDDD"/>
              <w:bottom w:val="single" w:sz="12" w:space="0" w:color="DDDDDD"/>
              <w:right w:val="single" w:sz="12" w:space="0" w:color="DDDDDD"/>
            </w:tcBorders>
          </w:tcPr>
          <w:p>
            <w:pPr>
              <w:pStyle w:val="TableParagraph"/>
              <w:spacing w:before="65"/>
              <w:ind w:left="191"/>
              <w:rPr>
                <w:rFonts w:ascii="Century Gothic" w:eastAsia="Century Gothic"/>
                <w:sz w:val="21"/>
              </w:rPr>
            </w:pPr>
            <w:r>
              <w:rPr>
                <w:rFonts w:ascii="Microsoft JhengHei" w:eastAsia="Microsoft JhengHei" w:hint="eastAsia"/>
                <w:b/>
                <w:sz w:val="21"/>
              </w:rPr>
              <w:t>重要事件 </w:t>
            </w:r>
            <w:r>
              <w:rPr>
                <w:rFonts w:ascii="Century Gothic" w:eastAsia="Century Gothic"/>
                <w:sz w:val="21"/>
              </w:rPr>
              <w:t>(imp=5)</w:t>
            </w:r>
          </w:p>
        </w:tc>
        <w:tc>
          <w:tcPr>
            <w:tcW w:w="2696" w:type="dxa"/>
            <w:tcBorders>
              <w:left w:val="single" w:sz="12" w:space="0" w:color="DDDDDD"/>
              <w:bottom w:val="single" w:sz="12" w:space="0" w:color="DDDDDD"/>
            </w:tcBorders>
          </w:tcPr>
          <w:p>
            <w:pPr>
              <w:pStyle w:val="TableParagraph"/>
              <w:spacing w:before="65"/>
              <w:ind w:left="188"/>
              <w:rPr>
                <w:rFonts w:ascii="Century Gothic" w:eastAsia="Century Gothic"/>
                <w:sz w:val="21"/>
              </w:rPr>
            </w:pPr>
            <w:r>
              <w:rPr>
                <w:rFonts w:ascii="Microsoft JhengHei" w:eastAsia="Microsoft JhengHei" w:hint="eastAsia"/>
                <w:b/>
                <w:sz w:val="21"/>
              </w:rPr>
              <w:t>极端事件 </w:t>
            </w:r>
            <w:r>
              <w:rPr>
                <w:rFonts w:ascii="Century Gothic" w:eastAsia="Century Gothic"/>
                <w:sz w:val="21"/>
              </w:rPr>
              <w:t>(imp=9)</w:t>
            </w:r>
          </w:p>
        </w:tc>
      </w:tr>
      <w:tr>
        <w:trPr>
          <w:trHeight w:val="556" w:hRule="atLeast"/>
        </w:trPr>
        <w:tc>
          <w:tcPr>
            <w:tcW w:w="1453" w:type="dxa"/>
            <w:tcBorders>
              <w:top w:val="single" w:sz="12" w:space="0" w:color="DDDDDD"/>
              <w:bottom w:val="single" w:sz="12" w:space="0" w:color="DDDDDD"/>
              <w:right w:val="single" w:sz="12" w:space="0" w:color="DDDDDD"/>
            </w:tcBorders>
          </w:tcPr>
          <w:p>
            <w:pPr>
              <w:pStyle w:val="TableParagraph"/>
              <w:spacing w:before="63"/>
              <w:rPr>
                <w:rFonts w:ascii="Microsoft JhengHei" w:eastAsia="Microsoft JhengHei" w:hint="eastAsia"/>
                <w:sz w:val="21"/>
              </w:rPr>
            </w:pPr>
            <w:r>
              <w:rPr>
                <w:sz w:val="21"/>
              </w:rPr>
              <w:t>1 </w:t>
            </w:r>
            <w:r>
              <w:rPr>
                <w:rFonts w:ascii="Microsoft JhengHei" w:eastAsia="Microsoft JhengHei" w:hint="eastAsia"/>
                <w:sz w:val="21"/>
              </w:rPr>
              <w:t>⼩时</w:t>
            </w:r>
          </w:p>
        </w:tc>
        <w:tc>
          <w:tcPr>
            <w:tcW w:w="2656" w:type="dxa"/>
            <w:tcBorders>
              <w:top w:val="single" w:sz="12" w:space="0" w:color="DDDDDD"/>
              <w:left w:val="single" w:sz="12" w:space="0" w:color="DDDDDD"/>
              <w:bottom w:val="single" w:sz="12" w:space="0" w:color="DDDDDD"/>
              <w:right w:val="single" w:sz="12" w:space="0" w:color="DDDDDD"/>
            </w:tcBorders>
          </w:tcPr>
          <w:p>
            <w:pPr>
              <w:pStyle w:val="TableParagraph"/>
              <w:rPr>
                <w:sz w:val="21"/>
              </w:rPr>
            </w:pPr>
            <w:r>
              <w:rPr>
                <w:w w:val="105"/>
                <w:sz w:val="21"/>
              </w:rPr>
              <w:t>83%</w:t>
            </w:r>
          </w:p>
        </w:tc>
        <w:tc>
          <w:tcPr>
            <w:tcW w:w="2699" w:type="dxa"/>
            <w:tcBorders>
              <w:top w:val="single" w:sz="12" w:space="0" w:color="DDDDDD"/>
              <w:left w:val="single" w:sz="12" w:space="0" w:color="DDDDDD"/>
              <w:bottom w:val="single" w:sz="12" w:space="0" w:color="DDDDDD"/>
              <w:right w:val="single" w:sz="12" w:space="0" w:color="DDDDDD"/>
            </w:tcBorders>
          </w:tcPr>
          <w:p>
            <w:pPr>
              <w:pStyle w:val="TableParagraph"/>
              <w:ind w:left="191"/>
              <w:rPr>
                <w:sz w:val="21"/>
              </w:rPr>
            </w:pPr>
            <w:r>
              <w:rPr>
                <w:w w:val="105"/>
                <w:sz w:val="21"/>
              </w:rPr>
              <w:t>89%</w:t>
            </w:r>
          </w:p>
        </w:tc>
        <w:tc>
          <w:tcPr>
            <w:tcW w:w="2696" w:type="dxa"/>
            <w:tcBorders>
              <w:top w:val="single" w:sz="12" w:space="0" w:color="DDDDDD"/>
              <w:left w:val="single" w:sz="12" w:space="0" w:color="DDDDDD"/>
              <w:bottom w:val="single" w:sz="12" w:space="0" w:color="DDDDDD"/>
            </w:tcBorders>
          </w:tcPr>
          <w:p>
            <w:pPr>
              <w:pStyle w:val="TableParagraph"/>
              <w:ind w:left="188"/>
              <w:rPr>
                <w:sz w:val="21"/>
              </w:rPr>
            </w:pPr>
            <w:r>
              <w:rPr>
                <w:sz w:val="21"/>
              </w:rPr>
              <w:t>91%</w:t>
            </w:r>
          </w:p>
        </w:tc>
      </w:tr>
      <w:tr>
        <w:trPr>
          <w:trHeight w:val="556" w:hRule="atLeast"/>
        </w:trPr>
        <w:tc>
          <w:tcPr>
            <w:tcW w:w="1453" w:type="dxa"/>
            <w:tcBorders>
              <w:top w:val="single" w:sz="12" w:space="0" w:color="DDDDDD"/>
              <w:bottom w:val="single" w:sz="12" w:space="0" w:color="DDDDDD"/>
              <w:right w:val="single" w:sz="12" w:space="0" w:color="DDDDDD"/>
            </w:tcBorders>
          </w:tcPr>
          <w:p>
            <w:pPr>
              <w:pStyle w:val="TableParagraph"/>
              <w:spacing w:before="63"/>
              <w:rPr>
                <w:rFonts w:ascii="Microsoft JhengHei" w:eastAsia="Microsoft JhengHei" w:hint="eastAsia"/>
                <w:sz w:val="21"/>
              </w:rPr>
            </w:pPr>
            <w:r>
              <w:rPr>
                <w:w w:val="105"/>
                <w:sz w:val="21"/>
              </w:rPr>
              <w:t>4 </w:t>
            </w:r>
            <w:r>
              <w:rPr>
                <w:rFonts w:ascii="Microsoft JhengHei" w:eastAsia="Microsoft JhengHei" w:hint="eastAsia"/>
                <w:w w:val="105"/>
                <w:sz w:val="21"/>
              </w:rPr>
              <w:t>⼩时</w:t>
            </w:r>
          </w:p>
        </w:tc>
        <w:tc>
          <w:tcPr>
            <w:tcW w:w="2656" w:type="dxa"/>
            <w:tcBorders>
              <w:top w:val="single" w:sz="12" w:space="0" w:color="DDDDDD"/>
              <w:left w:val="single" w:sz="12" w:space="0" w:color="DDDDDD"/>
              <w:bottom w:val="single" w:sz="12" w:space="0" w:color="DDDDDD"/>
              <w:right w:val="single" w:sz="12" w:space="0" w:color="DDDDDD"/>
            </w:tcBorders>
          </w:tcPr>
          <w:p>
            <w:pPr>
              <w:pStyle w:val="TableParagraph"/>
              <w:rPr>
                <w:sz w:val="21"/>
              </w:rPr>
            </w:pPr>
            <w:r>
              <w:rPr>
                <w:w w:val="105"/>
                <w:sz w:val="21"/>
              </w:rPr>
              <w:t>62%</w:t>
            </w:r>
          </w:p>
        </w:tc>
        <w:tc>
          <w:tcPr>
            <w:tcW w:w="2699" w:type="dxa"/>
            <w:tcBorders>
              <w:top w:val="single" w:sz="12" w:space="0" w:color="DDDDDD"/>
              <w:left w:val="single" w:sz="12" w:space="0" w:color="DDDDDD"/>
              <w:bottom w:val="single" w:sz="12" w:space="0" w:color="DDDDDD"/>
              <w:right w:val="single" w:sz="12" w:space="0" w:color="DDDDDD"/>
            </w:tcBorders>
          </w:tcPr>
          <w:p>
            <w:pPr>
              <w:pStyle w:val="TableParagraph"/>
              <w:ind w:left="191"/>
              <w:rPr>
                <w:sz w:val="21"/>
              </w:rPr>
            </w:pPr>
            <w:r>
              <w:rPr>
                <w:sz w:val="21"/>
              </w:rPr>
              <w:t>72%</w:t>
            </w:r>
          </w:p>
        </w:tc>
        <w:tc>
          <w:tcPr>
            <w:tcW w:w="2696" w:type="dxa"/>
            <w:tcBorders>
              <w:top w:val="single" w:sz="12" w:space="0" w:color="DDDDDD"/>
              <w:left w:val="single" w:sz="12" w:space="0" w:color="DDDDDD"/>
              <w:bottom w:val="single" w:sz="12" w:space="0" w:color="DDDDDD"/>
            </w:tcBorders>
          </w:tcPr>
          <w:p>
            <w:pPr>
              <w:pStyle w:val="TableParagraph"/>
              <w:ind w:left="188"/>
              <w:rPr>
                <w:sz w:val="21"/>
              </w:rPr>
            </w:pPr>
            <w:r>
              <w:rPr>
                <w:w w:val="105"/>
                <w:sz w:val="21"/>
              </w:rPr>
              <w:t>76%</w:t>
            </w:r>
          </w:p>
        </w:tc>
      </w:tr>
      <w:tr>
        <w:trPr>
          <w:trHeight w:val="556" w:hRule="atLeast"/>
        </w:trPr>
        <w:tc>
          <w:tcPr>
            <w:tcW w:w="1453" w:type="dxa"/>
            <w:tcBorders>
              <w:top w:val="single" w:sz="12" w:space="0" w:color="DDDDDD"/>
              <w:bottom w:val="single" w:sz="12" w:space="0" w:color="DDDDDD"/>
              <w:right w:val="single" w:sz="12" w:space="0" w:color="DDDDDD"/>
            </w:tcBorders>
          </w:tcPr>
          <w:p>
            <w:pPr>
              <w:pStyle w:val="TableParagraph"/>
              <w:spacing w:before="63"/>
              <w:rPr>
                <w:rFonts w:ascii="Microsoft JhengHei" w:eastAsia="Microsoft JhengHei" w:hint="eastAsia"/>
                <w:sz w:val="21"/>
              </w:rPr>
            </w:pPr>
            <w:r>
              <w:rPr>
                <w:sz w:val="21"/>
              </w:rPr>
              <w:t>12 </w:t>
            </w:r>
            <w:r>
              <w:rPr>
                <w:rFonts w:ascii="Microsoft JhengHei" w:eastAsia="Microsoft JhengHei" w:hint="eastAsia"/>
                <w:sz w:val="21"/>
              </w:rPr>
              <w:t>⼩时</w:t>
            </w:r>
          </w:p>
        </w:tc>
        <w:tc>
          <w:tcPr>
            <w:tcW w:w="2656" w:type="dxa"/>
            <w:tcBorders>
              <w:top w:val="single" w:sz="12" w:space="0" w:color="DDDDDD"/>
              <w:left w:val="single" w:sz="12" w:space="0" w:color="DDDDDD"/>
              <w:bottom w:val="single" w:sz="12" w:space="0" w:color="DDDDDD"/>
              <w:right w:val="single" w:sz="12" w:space="0" w:color="DDDDDD"/>
            </w:tcBorders>
          </w:tcPr>
          <w:p>
            <w:pPr>
              <w:pStyle w:val="TableParagraph"/>
              <w:rPr>
                <w:sz w:val="21"/>
              </w:rPr>
            </w:pPr>
            <w:r>
              <w:rPr>
                <w:w w:val="105"/>
                <w:sz w:val="21"/>
              </w:rPr>
              <w:t>38%</w:t>
            </w:r>
          </w:p>
        </w:tc>
        <w:tc>
          <w:tcPr>
            <w:tcW w:w="2699" w:type="dxa"/>
            <w:tcBorders>
              <w:top w:val="single" w:sz="12" w:space="0" w:color="DDDDDD"/>
              <w:left w:val="single" w:sz="12" w:space="0" w:color="DDDDDD"/>
              <w:bottom w:val="single" w:sz="12" w:space="0" w:color="DDDDDD"/>
              <w:right w:val="single" w:sz="12" w:space="0" w:color="DDDDDD"/>
            </w:tcBorders>
          </w:tcPr>
          <w:p>
            <w:pPr>
              <w:pStyle w:val="TableParagraph"/>
              <w:ind w:left="191"/>
              <w:rPr>
                <w:sz w:val="21"/>
              </w:rPr>
            </w:pPr>
            <w:r>
              <w:rPr>
                <w:sz w:val="21"/>
              </w:rPr>
              <w:t>51%</w:t>
            </w:r>
          </w:p>
        </w:tc>
        <w:tc>
          <w:tcPr>
            <w:tcW w:w="2696" w:type="dxa"/>
            <w:tcBorders>
              <w:top w:val="single" w:sz="12" w:space="0" w:color="DDDDDD"/>
              <w:left w:val="single" w:sz="12" w:space="0" w:color="DDDDDD"/>
              <w:bottom w:val="single" w:sz="12" w:space="0" w:color="DDDDDD"/>
            </w:tcBorders>
          </w:tcPr>
          <w:p>
            <w:pPr>
              <w:pStyle w:val="TableParagraph"/>
              <w:ind w:left="188"/>
              <w:rPr>
                <w:sz w:val="21"/>
              </w:rPr>
            </w:pPr>
            <w:r>
              <w:rPr>
                <w:sz w:val="21"/>
              </w:rPr>
              <w:t>57%</w:t>
            </w:r>
          </w:p>
        </w:tc>
      </w:tr>
      <w:tr>
        <w:trPr>
          <w:trHeight w:val="556" w:hRule="atLeast"/>
        </w:trPr>
        <w:tc>
          <w:tcPr>
            <w:tcW w:w="1453" w:type="dxa"/>
            <w:tcBorders>
              <w:top w:val="single" w:sz="12" w:space="0" w:color="DDDDDD"/>
              <w:bottom w:val="single" w:sz="12" w:space="0" w:color="DDDDDD"/>
              <w:right w:val="single" w:sz="12" w:space="0" w:color="DDDDDD"/>
            </w:tcBorders>
          </w:tcPr>
          <w:p>
            <w:pPr>
              <w:pStyle w:val="TableParagraph"/>
              <w:spacing w:before="63"/>
              <w:rPr>
                <w:rFonts w:ascii="Microsoft JhengHei" w:eastAsia="Microsoft JhengHei" w:hint="eastAsia"/>
                <w:sz w:val="21"/>
              </w:rPr>
            </w:pPr>
            <w:r>
              <w:rPr>
                <w:w w:val="105"/>
                <w:sz w:val="21"/>
              </w:rPr>
              <w:t>24 </w:t>
            </w:r>
            <w:r>
              <w:rPr>
                <w:rFonts w:ascii="Microsoft JhengHei" w:eastAsia="Microsoft JhengHei" w:hint="eastAsia"/>
                <w:w w:val="105"/>
                <w:sz w:val="21"/>
              </w:rPr>
              <w:t>⼩时</w:t>
            </w:r>
          </w:p>
        </w:tc>
        <w:tc>
          <w:tcPr>
            <w:tcW w:w="2656" w:type="dxa"/>
            <w:tcBorders>
              <w:top w:val="single" w:sz="12" w:space="0" w:color="DDDDDD"/>
              <w:left w:val="single" w:sz="12" w:space="0" w:color="DDDDDD"/>
              <w:bottom w:val="single" w:sz="12" w:space="0" w:color="DDDDDD"/>
              <w:right w:val="single" w:sz="12" w:space="0" w:color="DDDDDD"/>
            </w:tcBorders>
          </w:tcPr>
          <w:p>
            <w:pPr>
              <w:pStyle w:val="TableParagraph"/>
              <w:rPr>
                <w:sz w:val="21"/>
              </w:rPr>
            </w:pPr>
            <w:r>
              <w:rPr>
                <w:w w:val="105"/>
                <w:sz w:val="21"/>
              </w:rPr>
              <w:t>26%</w:t>
            </w:r>
          </w:p>
        </w:tc>
        <w:tc>
          <w:tcPr>
            <w:tcW w:w="2699" w:type="dxa"/>
            <w:tcBorders>
              <w:top w:val="single" w:sz="12" w:space="0" w:color="DDDDDD"/>
              <w:left w:val="single" w:sz="12" w:space="0" w:color="DDDDDD"/>
              <w:bottom w:val="single" w:sz="12" w:space="0" w:color="DDDDDD"/>
              <w:right w:val="single" w:sz="12" w:space="0" w:color="DDDDDD"/>
            </w:tcBorders>
          </w:tcPr>
          <w:p>
            <w:pPr>
              <w:pStyle w:val="TableParagraph"/>
              <w:ind w:left="191"/>
              <w:rPr>
                <w:sz w:val="21"/>
              </w:rPr>
            </w:pPr>
            <w:r>
              <w:rPr>
                <w:w w:val="105"/>
                <w:sz w:val="21"/>
              </w:rPr>
              <w:t>39%</w:t>
            </w:r>
          </w:p>
        </w:tc>
        <w:tc>
          <w:tcPr>
            <w:tcW w:w="2696" w:type="dxa"/>
            <w:tcBorders>
              <w:top w:val="single" w:sz="12" w:space="0" w:color="DDDDDD"/>
              <w:left w:val="single" w:sz="12" w:space="0" w:color="DDDDDD"/>
              <w:bottom w:val="single" w:sz="12" w:space="0" w:color="DDDDDD"/>
            </w:tcBorders>
          </w:tcPr>
          <w:p>
            <w:pPr>
              <w:pStyle w:val="TableParagraph"/>
              <w:ind w:left="188"/>
              <w:rPr>
                <w:sz w:val="21"/>
              </w:rPr>
            </w:pPr>
            <w:r>
              <w:rPr>
                <w:w w:val="105"/>
                <w:sz w:val="21"/>
              </w:rPr>
              <w:t>46%</w:t>
            </w:r>
          </w:p>
        </w:tc>
      </w:tr>
      <w:tr>
        <w:trPr>
          <w:trHeight w:val="558" w:hRule="atLeast"/>
        </w:trPr>
        <w:tc>
          <w:tcPr>
            <w:tcW w:w="1453" w:type="dxa"/>
            <w:tcBorders>
              <w:top w:val="single" w:sz="12" w:space="0" w:color="DDDDDD"/>
              <w:right w:val="single" w:sz="12" w:space="0" w:color="DDDDDD"/>
            </w:tcBorders>
          </w:tcPr>
          <w:p>
            <w:pPr>
              <w:pStyle w:val="TableParagraph"/>
              <w:spacing w:before="63"/>
              <w:rPr>
                <w:rFonts w:ascii="Microsoft JhengHei" w:eastAsia="Microsoft JhengHei" w:hint="eastAsia"/>
                <w:sz w:val="21"/>
              </w:rPr>
            </w:pPr>
            <w:r>
              <w:rPr>
                <w:w w:val="105"/>
                <w:sz w:val="21"/>
              </w:rPr>
              <w:t>48 </w:t>
            </w:r>
            <w:r>
              <w:rPr>
                <w:rFonts w:ascii="Microsoft JhengHei" w:eastAsia="Microsoft JhengHei" w:hint="eastAsia"/>
                <w:w w:val="105"/>
                <w:sz w:val="21"/>
              </w:rPr>
              <w:t>⼩时</w:t>
            </w:r>
          </w:p>
        </w:tc>
        <w:tc>
          <w:tcPr>
            <w:tcW w:w="2656" w:type="dxa"/>
            <w:tcBorders>
              <w:top w:val="single" w:sz="12" w:space="0" w:color="DDDDDD"/>
              <w:left w:val="single" w:sz="12" w:space="0" w:color="DDDDDD"/>
              <w:right w:val="single" w:sz="12" w:space="0" w:color="DDDDDD"/>
            </w:tcBorders>
          </w:tcPr>
          <w:p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18%</w:t>
            </w:r>
          </w:p>
        </w:tc>
        <w:tc>
          <w:tcPr>
            <w:tcW w:w="2699" w:type="dxa"/>
            <w:tcBorders>
              <w:top w:val="single" w:sz="12" w:space="0" w:color="DDDDDD"/>
              <w:left w:val="single" w:sz="12" w:space="0" w:color="DDDDDD"/>
              <w:right w:val="single" w:sz="12" w:space="0" w:color="DDDDDD"/>
            </w:tcBorders>
          </w:tcPr>
          <w:p>
            <w:pPr>
              <w:pStyle w:val="TableParagraph"/>
              <w:ind w:left="191"/>
              <w:rPr>
                <w:sz w:val="21"/>
              </w:rPr>
            </w:pPr>
            <w:r>
              <w:rPr>
                <w:w w:val="105"/>
                <w:sz w:val="21"/>
              </w:rPr>
              <w:t>30%</w:t>
            </w:r>
          </w:p>
        </w:tc>
        <w:tc>
          <w:tcPr>
            <w:tcW w:w="2696" w:type="dxa"/>
            <w:tcBorders>
              <w:top w:val="single" w:sz="12" w:space="0" w:color="DDDDDD"/>
              <w:left w:val="single" w:sz="12" w:space="0" w:color="DDDDDD"/>
            </w:tcBorders>
          </w:tcPr>
          <w:p>
            <w:pPr>
              <w:pStyle w:val="TableParagraph"/>
              <w:ind w:left="188"/>
              <w:rPr>
                <w:sz w:val="21"/>
              </w:rPr>
            </w:pPr>
            <w:r>
              <w:rPr>
                <w:w w:val="105"/>
                <w:sz w:val="21"/>
              </w:rPr>
              <w:t>36%</w:t>
            </w:r>
          </w:p>
        </w:tc>
      </w:tr>
    </w:tbl>
    <w:p>
      <w:pPr>
        <w:pStyle w:val="BodyText"/>
        <w:spacing w:before="14"/>
        <w:rPr>
          <w:b/>
          <w:sz w:val="18"/>
        </w:rPr>
      </w:pPr>
      <w:r>
        <w:rPr/>
        <w:pict>
          <v:shape style="position:absolute;margin-left:68pt;margin-top:19.6pt;width:476pt;height:.1pt;mso-position-horizontal-relative:page;mso-position-vertical-relative:paragraph;z-index:-251651072;mso-wrap-distance-left:0;mso-wrap-distance-right:0" coordorigin="1360,392" coordsize="9520,0" path="m1360,392l10880,392e" filled="false" stroked="true" strokeweight=".8pt" strokecolor="#dddddd">
            <v:path arrowok="t"/>
            <v:stroke dashstyle="solid"/>
            <w10:wrap type="topAndBottom"/>
          </v:shape>
        </w:pict>
      </w:r>
    </w:p>
    <w:p>
      <w:pPr>
        <w:pStyle w:val="BodyText"/>
        <w:spacing w:before="3"/>
        <w:rPr>
          <w:b/>
          <w:sz w:val="16"/>
        </w:rPr>
      </w:pPr>
    </w:p>
    <w:p>
      <w:pPr>
        <w:spacing w:before="0"/>
        <w:ind w:left="100" w:right="0" w:firstLine="0"/>
        <w:jc w:val="left"/>
        <w:rPr>
          <w:b/>
          <w:sz w:val="32"/>
        </w:rPr>
      </w:pPr>
      <w:r>
        <w:rPr>
          <w:b/>
          <w:sz w:val="32"/>
        </w:rPr>
        <w:t>三、</w:t>
      </w:r>
      <w:r>
        <w:rPr>
          <w:rFonts w:ascii="Arial" w:eastAsia="Arial"/>
          <w:sz w:val="32"/>
        </w:rPr>
        <w:t>PA/NA </w:t>
      </w:r>
      <w:r>
        <w:rPr>
          <w:b/>
          <w:sz w:val="32"/>
        </w:rPr>
        <w:t>软互抑（</w:t>
      </w:r>
      <w:r>
        <w:rPr>
          <w:rFonts w:ascii="Arial" w:eastAsia="Arial"/>
          <w:sz w:val="32"/>
        </w:rPr>
        <w:t>ESM</w:t>
      </w:r>
      <w:r>
        <w:rPr>
          <w:b/>
          <w:sz w:val="32"/>
        </w:rPr>
        <w:t>）</w:t>
      </w:r>
    </w:p>
    <w:p>
      <w:pPr>
        <w:pStyle w:val="Heading2"/>
        <w:numPr>
          <w:ilvl w:val="1"/>
          <w:numId w:val="4"/>
        </w:numPr>
        <w:tabs>
          <w:tab w:pos="515" w:val="left" w:leader="none"/>
        </w:tabs>
        <w:spacing w:line="240" w:lineRule="auto" w:before="257" w:after="0"/>
        <w:ind w:left="514" w:right="0" w:hanging="415"/>
        <w:jc w:val="left"/>
      </w:pPr>
      <w:r>
        <w:rPr>
          <w:spacing w:val="4"/>
        </w:rPr>
        <w:t>问题</w:t>
      </w:r>
    </w:p>
    <w:p>
      <w:pPr>
        <w:pStyle w:val="BodyText"/>
        <w:spacing w:line="378" w:lineRule="exact" w:before="76"/>
        <w:ind w:left="100"/>
      </w:pPr>
      <w:r>
        <w:rPr>
          <w:rFonts w:ascii="Tahoma" w:eastAsia="Tahoma"/>
          <w:spacing w:val="-7"/>
          <w:w w:val="105"/>
        </w:rPr>
        <w:t>PA </w:t>
      </w:r>
      <w:r>
        <w:rPr>
          <w:spacing w:val="-9"/>
          <w:w w:val="105"/>
        </w:rPr>
        <w:t>和 </w:t>
      </w:r>
      <w:r>
        <w:rPr>
          <w:rFonts w:ascii="Tahoma" w:eastAsia="Tahoma"/>
          <w:w w:val="105"/>
        </w:rPr>
        <w:t>NA </w:t>
      </w:r>
      <w:r>
        <w:rPr>
          <w:spacing w:val="-9"/>
          <w:w w:val="105"/>
        </w:rPr>
        <w:t>是 </w:t>
      </w:r>
      <w:r>
        <w:rPr>
          <w:rFonts w:ascii="Tahoma" w:eastAsia="Tahoma"/>
          <w:spacing w:val="-5"/>
          <w:w w:val="105"/>
        </w:rPr>
        <w:t>PANAS </w:t>
      </w:r>
      <w:r>
        <w:rPr>
          <w:spacing w:val="2"/>
          <w:w w:val="105"/>
        </w:rPr>
        <w:t>的两个独⽴维度，理论上可以同时⾼。但实际测试中出现 </w:t>
      </w:r>
      <w:r>
        <w:rPr>
          <w:rFonts w:ascii="Tahoma" w:eastAsia="Tahoma"/>
          <w:spacing w:val="-9"/>
          <w:w w:val="105"/>
        </w:rPr>
        <w:t>PA=1.0 </w:t>
      </w:r>
      <w:r>
        <w:rPr>
          <w:rFonts w:ascii="Tahoma" w:eastAsia="Tahoma"/>
          <w:spacing w:val="-7"/>
          <w:w w:val="105"/>
        </w:rPr>
        <w:t>NA=1.0 </w:t>
      </w:r>
      <w:r>
        <w:rPr>
          <w:w w:val="105"/>
        </w:rPr>
        <w:t>的</w:t>
      </w:r>
    </w:p>
    <w:p>
      <w:pPr>
        <w:pStyle w:val="BodyText"/>
        <w:spacing w:line="378" w:lineRule="exact"/>
        <w:ind w:left="100"/>
      </w:pPr>
      <w:r>
        <w:rPr/>
        <w:t>极端情况</w:t>
      </w:r>
      <w:r>
        <w:rPr>
          <w:rFonts w:ascii="Tahoma" w:hAnsi="Tahoma" w:cs="Tahoma" w:eastAsia="Tahoma"/>
        </w:rPr>
        <w:t>⸺</w:t>
      </w:r>
      <w:r>
        <w:rPr/>
        <w:t>⻆⾊同时极度开⼼⼜极度难过，⾏为指令⽭盾。</w:t>
      </w:r>
    </w:p>
    <w:p>
      <w:pPr>
        <w:pStyle w:val="BodyText"/>
        <w:spacing w:before="2"/>
        <w:rPr>
          <w:sz w:val="14"/>
        </w:rPr>
      </w:pPr>
    </w:p>
    <w:p>
      <w:pPr>
        <w:pStyle w:val="Heading2"/>
        <w:numPr>
          <w:ilvl w:val="1"/>
          <w:numId w:val="4"/>
        </w:numPr>
        <w:tabs>
          <w:tab w:pos="559" w:val="left" w:leader="none"/>
        </w:tabs>
        <w:spacing w:line="240" w:lineRule="auto" w:before="0" w:after="0"/>
        <w:ind w:left="558" w:right="0" w:hanging="459"/>
        <w:jc w:val="left"/>
      </w:pPr>
      <w:r>
        <w:rPr>
          <w:spacing w:val="4"/>
        </w:rPr>
        <w:t>解决⽅案</w:t>
      </w:r>
    </w:p>
    <w:p>
      <w:pPr>
        <w:pStyle w:val="BodyText"/>
        <w:spacing w:line="208" w:lineRule="auto" w:before="114"/>
        <w:ind w:left="100" w:right="258"/>
        <w:jc w:val="both"/>
      </w:pPr>
      <w:r>
        <w:rPr>
          <w:rFonts w:ascii="Tahoma" w:eastAsia="Tahoma"/>
          <w:spacing w:val="-3"/>
        </w:rPr>
        <w:t>Cacioppo </w:t>
      </w:r>
      <w:r>
        <w:rPr>
          <w:rFonts w:ascii="Tahoma" w:eastAsia="Tahoma"/>
        </w:rPr>
        <w:t>&amp; </w:t>
      </w:r>
      <w:r>
        <w:rPr>
          <w:rFonts w:ascii="Tahoma" w:eastAsia="Tahoma"/>
          <w:spacing w:val="-3"/>
        </w:rPr>
        <w:t>Berntson (1994) </w:t>
      </w:r>
      <w:r>
        <w:rPr/>
        <w:t>的 </w:t>
      </w:r>
      <w:r>
        <w:rPr>
          <w:rFonts w:ascii="Tahoma" w:eastAsia="Tahoma"/>
          <w:spacing w:val="-4"/>
        </w:rPr>
        <w:t>Evaluative </w:t>
      </w:r>
      <w:r>
        <w:rPr>
          <w:rFonts w:ascii="Tahoma" w:eastAsia="Tahoma"/>
          <w:spacing w:val="-3"/>
        </w:rPr>
        <w:t>Space Model (ESM) </w:t>
      </w:r>
      <w:r>
        <w:rPr/>
        <w:t>提 出  </w:t>
      </w:r>
      <w:r>
        <w:rPr>
          <w:rFonts w:ascii="Tahoma" w:eastAsia="Tahoma"/>
          <w:spacing w:val="-7"/>
        </w:rPr>
        <w:t>PA </w:t>
      </w:r>
      <w:r>
        <w:rPr/>
        <w:t>和  </w:t>
      </w:r>
      <w:r>
        <w:rPr>
          <w:rFonts w:ascii="Tahoma" w:eastAsia="Tahoma"/>
        </w:rPr>
        <w:t>NA </w:t>
      </w:r>
      <w:r>
        <w:rPr>
          <w:spacing w:val="4"/>
        </w:rPr>
        <w:t>有 四 种 运 ⾏ 模式：互抑</w:t>
      </w:r>
      <w:r>
        <w:rPr>
          <w:spacing w:val="-3"/>
        </w:rPr>
        <w:t>（</w:t>
      </w:r>
      <w:r>
        <w:rPr>
          <w:rFonts w:ascii="Tahoma" w:eastAsia="Tahoma"/>
          <w:spacing w:val="-3"/>
        </w:rPr>
        <w:t>reciprocal</w:t>
      </w:r>
      <w:r>
        <w:rPr>
          <w:spacing w:val="1"/>
        </w:rPr>
        <w:t>，最常⻅</w:t>
      </w:r>
      <w:r>
        <w:rPr>
          <w:spacing w:val="4"/>
        </w:rPr>
        <w:t>）、共激活</w:t>
      </w:r>
      <w:r>
        <w:rPr>
          <w:spacing w:val="-3"/>
        </w:rPr>
        <w:t>（</w:t>
      </w:r>
      <w:r>
        <w:rPr>
          <w:rFonts w:ascii="Tahoma" w:eastAsia="Tahoma"/>
          <w:spacing w:val="-3"/>
        </w:rPr>
        <w:t>coactivation</w:t>
      </w:r>
      <w:r>
        <w:rPr>
          <w:spacing w:val="1"/>
        </w:rPr>
        <w:t>，少⻅</w:t>
      </w:r>
      <w:r>
        <w:rPr>
          <w:spacing w:val="4"/>
        </w:rPr>
        <w:t>）、解耦、共抑制。</w:t>
      </w:r>
      <w:r>
        <w:rPr>
          <w:rFonts w:ascii="Tahoma" w:eastAsia="Tahoma"/>
          <w:spacing w:val="-3"/>
        </w:rPr>
        <w:t>Larsen</w:t>
      </w:r>
      <w:r>
        <w:rPr>
          <w:rFonts w:ascii="Tahoma" w:eastAsia="Tahoma"/>
          <w:spacing w:val="6"/>
        </w:rPr>
        <w:t>    </w:t>
      </w:r>
      <w:r>
        <w:rPr>
          <w:rFonts w:ascii="Tahoma" w:eastAsia="Tahoma"/>
          <w:spacing w:val="-3"/>
        </w:rPr>
        <w:t>et </w:t>
      </w:r>
      <w:r>
        <w:rPr>
          <w:rFonts w:ascii="Tahoma" w:eastAsia="Tahoma"/>
        </w:rPr>
        <w:t>al</w:t>
      </w:r>
      <w:r>
        <w:rPr>
          <w:rFonts w:ascii="Tahoma" w:eastAsia="Tahoma"/>
          <w:spacing w:val="-9"/>
        </w:rPr>
        <w:t>. </w:t>
      </w:r>
      <w:r>
        <w:rPr>
          <w:rFonts w:ascii="Tahoma" w:eastAsia="Tahoma"/>
          <w:spacing w:val="-3"/>
        </w:rPr>
        <w:t>(2001</w:t>
      </w:r>
      <w:r>
        <w:rPr>
          <w:rFonts w:ascii="Tahoma" w:eastAsia="Tahoma"/>
          <w:spacing w:val="-10"/>
        </w:rPr>
        <w:t>) </w:t>
      </w:r>
      <w:r>
        <w:rPr>
          <w:spacing w:val="3"/>
        </w:rPr>
        <w:t>的实验数据显示，仅约 </w:t>
      </w:r>
      <w:r>
        <w:rPr>
          <w:rFonts w:ascii="Tahoma" w:eastAsia="Tahoma"/>
        </w:rPr>
        <w:t>10</w:t>
      </w:r>
      <w:r>
        <w:rPr>
          <w:rFonts w:ascii="Tahoma" w:eastAsia="Tahoma"/>
          <w:spacing w:val="-9"/>
        </w:rPr>
        <w:t>% </w:t>
      </w:r>
      <w:r>
        <w:rPr>
          <w:spacing w:val="3"/>
        </w:rPr>
        <w:t>的被试能同时感到极度快乐和极度悲伤，且这种状态不稳</w:t>
      </w:r>
      <w:r>
        <w:rPr>
          <w:spacing w:val="4"/>
        </w:rPr>
        <w:t>定。</w:t>
      </w:r>
    </w:p>
    <w:p>
      <w:pPr>
        <w:pStyle w:val="BodyText"/>
        <w:spacing w:before="154"/>
        <w:ind w:left="100"/>
      </w:pPr>
      <w:r>
        <w:rPr>
          <w:w w:val="105"/>
        </w:rPr>
        <w:t>在 </w:t>
      </w:r>
      <w:r>
        <w:rPr>
          <w:rFonts w:ascii="Tahoma" w:eastAsia="Tahoma"/>
          <w:w w:val="105"/>
        </w:rPr>
        <w:t>PA/NA clamp</w:t>
      </w:r>
      <w:r>
        <w:rPr>
          <w:w w:val="105"/>
        </w:rPr>
        <w:t>（</w:t>
      </w:r>
      <w:r>
        <w:rPr>
          <w:rFonts w:ascii="Tahoma" w:eastAsia="Tahoma"/>
          <w:w w:val="105"/>
        </w:rPr>
        <w:t>0~1</w:t>
      </w:r>
      <w:r>
        <w:rPr>
          <w:w w:val="105"/>
        </w:rPr>
        <w:t>）之后，加⼀步软互抑：</w:t>
      </w:r>
    </w:p>
    <w:sectPr>
      <w:pgSz w:w="12240" w:h="15840"/>
      <w:pgMar w:top="680" w:bottom="280" w:left="1260" w:right="12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Tahoma">
    <w:altName w:val="Tahoma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Microsoft JhengHei">
    <w:altName w:val="Microsoft JhengHei"/>
    <w:charset w:val="0"/>
    <w:family w:val="swiss"/>
    <w:pitch w:val="variable"/>
  </w:font>
  <w:font w:name="Lucida Sans">
    <w:altName w:val="Lucida Sans"/>
    <w:charset w:val="0"/>
    <w:family w:val="swiss"/>
    <w:pitch w:val="variable"/>
  </w:font>
  <w:font w:name="Courier New">
    <w:altName w:val="Courier New"/>
    <w:charset w:val="0"/>
    <w:family w:val="modern"/>
    <w:pitch w:val="fixed"/>
  </w:font>
  <w:font w:name="Arial">
    <w:altName w:val="Arial"/>
    <w:charset w:val="0"/>
    <w:family w:val="swiss"/>
    <w:pitch w:val="variable"/>
  </w:font>
  <w:font w:name="Century Gothic">
    <w:altName w:val="Century Gothic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3"/>
      <w:numFmt w:val="decimal"/>
      <w:lvlText w:val="%1"/>
      <w:lvlJc w:val="left"/>
      <w:pPr>
        <w:ind w:left="514" w:hanging="415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14" w:hanging="415"/>
        <w:jc w:val="left"/>
      </w:pPr>
      <w:rPr>
        <w:rFonts w:hint="default" w:ascii="Lucida Sans" w:hAnsi="Lucida Sans" w:eastAsia="Lucida Sans" w:cs="Lucida Sans"/>
        <w:spacing w:val="-18"/>
        <w:w w:val="82"/>
        <w:sz w:val="25"/>
        <w:szCs w:val="25"/>
      </w:rPr>
    </w:lvl>
    <w:lvl w:ilvl="2">
      <w:start w:val="0"/>
      <w:numFmt w:val="bullet"/>
      <w:lvlText w:val="•"/>
      <w:lvlJc w:val="left"/>
      <w:pPr>
        <w:ind w:left="2364" w:hanging="415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286" w:hanging="415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208" w:hanging="415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130" w:hanging="415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052" w:hanging="415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974" w:hanging="415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896" w:hanging="415"/>
      </w:pPr>
      <w:rPr>
        <w:rFonts w:hint="default"/>
      </w:rPr>
    </w:lvl>
  </w:abstractNum>
  <w:abstractNum w:abstractNumId="2">
    <w:multiLevelType w:val="hybridMultilevel"/>
    <w:lvl w:ilvl="0">
      <w:start w:val="2"/>
      <w:numFmt w:val="decimal"/>
      <w:lvlText w:val="%1"/>
      <w:lvlJc w:val="left"/>
      <w:pPr>
        <w:ind w:left="561" w:hanging="462"/>
        <w:jc w:val="left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561" w:hanging="462"/>
        <w:jc w:val="left"/>
      </w:pPr>
      <w:rPr>
        <w:rFonts w:hint="default" w:ascii="Lucida Sans" w:hAnsi="Lucida Sans" w:eastAsia="Lucida Sans" w:cs="Lucida Sans"/>
        <w:spacing w:val="-13"/>
        <w:w w:val="106"/>
        <w:sz w:val="25"/>
        <w:szCs w:val="25"/>
      </w:rPr>
    </w:lvl>
    <w:lvl w:ilvl="2">
      <w:start w:val="0"/>
      <w:numFmt w:val="bullet"/>
      <w:lvlText w:val="•"/>
      <w:lvlJc w:val="left"/>
      <w:pPr>
        <w:ind w:left="2396" w:hanging="462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314" w:hanging="462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232" w:hanging="462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150" w:hanging="462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068" w:hanging="462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986" w:hanging="462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904" w:hanging="462"/>
      </w:pPr>
      <w:rPr>
        <w:rFonts w:hint="default"/>
      </w:rPr>
    </w:lvl>
  </w:abstractNum>
  <w:abstractNum w:abstractNumId="1">
    <w:multiLevelType w:val="hybridMultilevel"/>
    <w:lvl w:ilvl="0">
      <w:start w:val="2"/>
      <w:numFmt w:val="decimal"/>
      <w:lvlText w:val="%1"/>
      <w:lvlJc w:val="left"/>
      <w:pPr>
        <w:ind w:left="516" w:hanging="417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16" w:hanging="417"/>
        <w:jc w:val="left"/>
      </w:pPr>
      <w:rPr>
        <w:rFonts w:hint="default" w:ascii="Lucida Sans" w:hAnsi="Lucida Sans" w:eastAsia="Lucida Sans" w:cs="Lucida Sans"/>
        <w:spacing w:val="-18"/>
        <w:w w:val="82"/>
        <w:sz w:val="25"/>
        <w:szCs w:val="25"/>
      </w:rPr>
    </w:lvl>
    <w:lvl w:ilvl="2">
      <w:start w:val="0"/>
      <w:numFmt w:val="bullet"/>
      <w:lvlText w:val="•"/>
      <w:lvlJc w:val="left"/>
      <w:pPr>
        <w:ind w:left="2364" w:hanging="417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286" w:hanging="417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208" w:hanging="417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130" w:hanging="417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052" w:hanging="417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974" w:hanging="417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896" w:hanging="417"/>
      </w:pPr>
      <w:rPr>
        <w:rFonts w:hint="default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477" w:hanging="378"/>
        <w:jc w:val="left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77" w:hanging="378"/>
        <w:jc w:val="left"/>
      </w:pPr>
      <w:rPr>
        <w:rFonts w:hint="default" w:ascii="Lucida Sans" w:hAnsi="Lucida Sans" w:eastAsia="Lucida Sans" w:cs="Lucida Sans"/>
        <w:spacing w:val="-18"/>
        <w:w w:val="82"/>
        <w:sz w:val="25"/>
        <w:szCs w:val="25"/>
      </w:rPr>
    </w:lvl>
    <w:lvl w:ilvl="2">
      <w:start w:val="0"/>
      <w:numFmt w:val="bullet"/>
      <w:lvlText w:val="•"/>
      <w:lvlJc w:val="left"/>
      <w:pPr>
        <w:ind w:left="2332" w:hanging="378"/>
      </w:pPr>
      <w:rPr>
        <w:rFonts w:hint="default"/>
      </w:rPr>
    </w:lvl>
    <w:lvl w:ilvl="3">
      <w:start w:val="0"/>
      <w:numFmt w:val="bullet"/>
      <w:lvlText w:val="•"/>
      <w:lvlJc w:val="left"/>
      <w:pPr>
        <w:ind w:left="3258" w:hanging="378"/>
      </w:pPr>
      <w:rPr>
        <w:rFonts w:hint="default"/>
      </w:rPr>
    </w:lvl>
    <w:lvl w:ilvl="4">
      <w:start w:val="0"/>
      <w:numFmt w:val="bullet"/>
      <w:lvlText w:val="•"/>
      <w:lvlJc w:val="left"/>
      <w:pPr>
        <w:ind w:left="4184" w:hanging="378"/>
      </w:pPr>
      <w:rPr>
        <w:rFonts w:hint="default"/>
      </w:rPr>
    </w:lvl>
    <w:lvl w:ilvl="5">
      <w:start w:val="0"/>
      <w:numFmt w:val="bullet"/>
      <w:lvlText w:val="•"/>
      <w:lvlJc w:val="left"/>
      <w:pPr>
        <w:ind w:left="5110" w:hanging="378"/>
      </w:pPr>
      <w:rPr>
        <w:rFonts w:hint="default"/>
      </w:rPr>
    </w:lvl>
    <w:lvl w:ilvl="6">
      <w:start w:val="0"/>
      <w:numFmt w:val="bullet"/>
      <w:lvlText w:val="•"/>
      <w:lvlJc w:val="left"/>
      <w:pPr>
        <w:ind w:left="6036" w:hanging="378"/>
      </w:pPr>
      <w:rPr>
        <w:rFonts w:hint="default"/>
      </w:rPr>
    </w:lvl>
    <w:lvl w:ilvl="7">
      <w:start w:val="0"/>
      <w:numFmt w:val="bullet"/>
      <w:lvlText w:val="•"/>
      <w:lvlJc w:val="left"/>
      <w:pPr>
        <w:ind w:left="6962" w:hanging="378"/>
      </w:pPr>
      <w:rPr>
        <w:rFonts w:hint="default"/>
      </w:rPr>
    </w:lvl>
    <w:lvl w:ilvl="8">
      <w:start w:val="0"/>
      <w:numFmt w:val="bullet"/>
      <w:lvlText w:val="•"/>
      <w:lvlJc w:val="left"/>
      <w:pPr>
        <w:ind w:left="7888" w:hanging="378"/>
      </w:pPr>
      <w:rPr>
        <w:rFonts w:hint="default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Microsoft JhengHei" w:hAnsi="Microsoft JhengHei" w:eastAsia="Microsoft JhengHei" w:cs="Microsoft JhengHei"/>
    </w:rPr>
  </w:style>
  <w:style w:styleId="BodyText" w:type="paragraph">
    <w:name w:val="Body Text"/>
    <w:basedOn w:val="Normal"/>
    <w:uiPriority w:val="1"/>
    <w:qFormat/>
    <w:pPr/>
    <w:rPr>
      <w:rFonts w:ascii="Microsoft JhengHei" w:hAnsi="Microsoft JhengHei" w:eastAsia="Microsoft JhengHei" w:cs="Microsoft JhengHei"/>
      <w:sz w:val="22"/>
      <w:szCs w:val="22"/>
    </w:rPr>
  </w:style>
  <w:style w:styleId="Heading1" w:type="paragraph">
    <w:name w:val="Heading 1"/>
    <w:basedOn w:val="Normal"/>
    <w:uiPriority w:val="1"/>
    <w:qFormat/>
    <w:pPr>
      <w:ind w:left="100"/>
      <w:outlineLvl w:val="1"/>
    </w:pPr>
    <w:rPr>
      <w:rFonts w:ascii="Microsoft JhengHei" w:hAnsi="Microsoft JhengHei" w:eastAsia="Microsoft JhengHei" w:cs="Microsoft JhengHei"/>
      <w:b/>
      <w:bCs/>
      <w:sz w:val="32"/>
      <w:szCs w:val="32"/>
    </w:rPr>
  </w:style>
  <w:style w:styleId="Heading2" w:type="paragraph">
    <w:name w:val="Heading 2"/>
    <w:basedOn w:val="Normal"/>
    <w:uiPriority w:val="1"/>
    <w:qFormat/>
    <w:pPr>
      <w:ind w:left="559" w:hanging="460"/>
      <w:outlineLvl w:val="2"/>
    </w:pPr>
    <w:rPr>
      <w:rFonts w:ascii="Microsoft JhengHei" w:hAnsi="Microsoft JhengHei" w:eastAsia="Microsoft JhengHei" w:cs="Microsoft JhengHei"/>
      <w:b/>
      <w:bCs/>
      <w:sz w:val="25"/>
      <w:szCs w:val="25"/>
    </w:rPr>
  </w:style>
  <w:style w:styleId="ListParagraph" w:type="paragraph">
    <w:name w:val="List Paragraph"/>
    <w:basedOn w:val="Normal"/>
    <w:uiPriority w:val="1"/>
    <w:qFormat/>
    <w:pPr>
      <w:ind w:left="559" w:hanging="460"/>
    </w:pPr>
    <w:rPr>
      <w:rFonts w:ascii="Microsoft JhengHei" w:hAnsi="Microsoft JhengHei" w:eastAsia="Microsoft JhengHei" w:cs="Microsoft JhengHei"/>
    </w:rPr>
  </w:style>
  <w:style w:styleId="TableParagraph" w:type="paragraph">
    <w:name w:val="Table Paragraph"/>
    <w:basedOn w:val="Normal"/>
    <w:uiPriority w:val="1"/>
    <w:qFormat/>
    <w:pPr>
      <w:spacing w:before="132"/>
      <w:ind w:left="192"/>
    </w:pPr>
    <w:rPr>
      <w:rFonts w:ascii="Tahoma" w:hAnsi="Tahoma" w:eastAsia="Tahoma" w:cs="Tahom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2026-10-15T17:22:57Z</dcterms:created>
  <dcterms:modified xsi:type="dcterms:W3CDTF">2026-10-15T17:22:57Z</dcterms:modified>
</cp:coreProperties>
</file>