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spacing w:before="0" w:after="120"/>
        <w:jc w:val="center"/>
      </w:pPr>
      <w:r>
        <w:rPr>
          <w:rFonts w:ascii="Arial" w:cs="Arial" w:eastAsia="Arial" w:hAnsi="Arial"/>
          <w:b/>
          <w:bCs/>
          <w:color w:val="1B4F72"/>
          <w:sz w:val="56"/>
          <w:szCs w:val="56"/>
        </w:rPr>
        <w:t xml:space="preserve">Contract Management</w:t>
      </w:r>
    </w:p>
    <w:p>
      <w:pPr>
        <w:spacing w:before="0" w:after="200"/>
        <w:jc w:val="center"/>
      </w:pPr>
      <w:r>
        <w:rPr>
          <w:rFonts w:ascii="Arial" w:cs="Arial" w:eastAsia="Arial" w:hAnsi="Arial"/>
          <w:b/>
          <w:bCs/>
          <w:color w:val="1B4F72"/>
          <w:sz w:val="56"/>
          <w:szCs w:val="56"/>
        </w:rPr>
        <w:t xml:space="preserve">Web Application</w:t>
      </w:r>
    </w:p>
    <w:p>
      <w:pPr>
        <w:spacing w:before="0" w:after="80"/>
        <w:jc w:val="center"/>
      </w:pPr>
      <w:r>
        <w:rPr>
          <w:rFonts w:ascii="Arial" w:cs="Arial" w:eastAsia="Arial" w:hAnsi="Arial"/>
          <w:color w:val="888888"/>
          <w:sz w:val="26"/>
          <w:szCs w:val="26"/>
        </w:rPr>
        <w:t xml:space="preserve">Technical Specification — Draft v1.0</w:t>
      </w:r>
    </w:p>
    <w:p>
      <w:pPr>
        <w:spacing w:before="0" w:after="600"/>
        <w:jc w:val="center"/>
      </w:pPr>
      <w:r>
        <w:rPr>
          <w:rFonts w:ascii="Arial" w:cs="Arial" w:eastAsia="Arial" w:hAnsi="Arial"/>
          <w:color w:val="888888"/>
          <w:sz w:val="22"/>
          <w:szCs w:val="22"/>
        </w:rPr>
        <w:t xml:space="preserve">29 March 2026</w:t>
      </w:r>
    </w:p>
    <w:p>
      <w:pPr>
        <w:spacing w:before="0" w:after="0"/>
      </w:pPr>
      <w:r>
        <w:br w:type="page"/>
      </w:r>
    </w:p>
    <w:p>
      <w:pPr>
        <w:pStyle w:val="Heading1"/>
        <w:pBdr>
          <w:bottom w:val="single" w:color="1B4F72" w:sz="6" w:space="4"/>
        </w:pBdr>
        <w:spacing w:before="360" w:after="180"/>
      </w:pPr>
      <w:r>
        <w:rPr>
          <w:rFonts w:ascii="Arial" w:cs="Arial" w:eastAsia="Arial" w:hAnsi="Arial"/>
          <w:b/>
          <w:bCs/>
          <w:color w:val="1B4F72"/>
          <w:sz w:val="32"/>
          <w:szCs w:val="32"/>
        </w:rPr>
        <w:t xml:space="preserve">1. Purpose &amp; Scope</w:t>
      </w:r>
    </w:p>
    <w:p>
      <w:pPr>
        <w:spacing w:before="60" w:after="60"/>
      </w:pPr>
      <w:r>
        <w:rPr>
          <w:rFonts w:ascii="Arial" w:cs="Arial" w:eastAsia="Arial" w:hAnsi="Arial"/>
          <w:color w:val="444444"/>
          <w:sz w:val="22"/>
          <w:szCs w:val="22"/>
        </w:rPr>
        <w:t xml:space="preserve">This document captures the technical decisions made during the initial planning phase of the Contract Management Web Application. It defines the system's purpose, the entity model derived from the flow diagram, the agreed technology stack, and the security posture that will guide implementation.</w:t>
      </w:r>
    </w:p>
    <w:p>
      <w:pPr>
        <w:spacing w:before="80" w:after="0"/>
      </w:pPr>
    </w:p>
    <w:p>
      <w:pPr>
        <w:spacing w:before="60" w:after="60"/>
      </w:pPr>
      <w:r>
        <w:rPr>
          <w:rFonts w:ascii="Arial" w:cs="Arial" w:eastAsia="Arial" w:hAnsi="Arial"/>
          <w:color w:val="444444"/>
          <w:sz w:val="22"/>
          <w:szCs w:val="22"/>
        </w:rPr>
        <w:t xml:space="preserve">This is a living document. It will be updated as the database schema, API design, and component architecture are defined in subsequent planning sessions.</w:t>
      </w:r>
    </w:p>
    <w:p>
      <w:pPr>
        <w:spacing w:before="160" w:after="0"/>
      </w:pPr>
    </w:p>
    <w:p>
      <w:pPr>
        <w:pStyle w:val="Heading1"/>
        <w:pBdr>
          <w:bottom w:val="single" w:color="1B4F72" w:sz="6" w:space="4"/>
        </w:pBdr>
        <w:spacing w:before="360" w:after="180"/>
      </w:pPr>
      <w:r>
        <w:rPr>
          <w:rFonts w:ascii="Arial" w:cs="Arial" w:eastAsia="Arial" w:hAnsi="Arial"/>
          <w:b/>
          <w:bCs/>
          <w:color w:val="1B4F72"/>
          <w:sz w:val="32"/>
          <w:szCs w:val="32"/>
        </w:rPr>
        <w:t xml:space="preserve">2. System Overview</w:t>
      </w:r>
    </w:p>
    <w:p>
      <w:pPr>
        <w:spacing w:before="60" w:after="60"/>
      </w:pPr>
      <w:r>
        <w:rPr>
          <w:rFonts w:ascii="Arial" w:cs="Arial" w:eastAsia="Arial" w:hAnsi="Arial"/>
          <w:color w:val="444444"/>
          <w:sz w:val="22"/>
          <w:szCs w:val="22"/>
        </w:rPr>
        <w:t xml:space="preserve">The application is a multi-role contract and project management platform. It supports two primary user roles — Manager and Subscriber — and enables structured workflows around contract requests, notifications, project collaboration, and AI-assisted email responses.</w:t>
      </w:r>
    </w:p>
    <w:p>
      <w:pPr>
        <w:spacing w:before="80" w:after="0"/>
      </w:pPr>
    </w:p>
    <w:p>
      <w:pPr>
        <w:pStyle w:val="Heading2"/>
        <w:spacing w:before="280" w:after="120"/>
      </w:pPr>
      <w:r>
        <w:rPr>
          <w:rFonts w:ascii="Arial" w:cs="Arial" w:eastAsia="Arial" w:hAnsi="Arial"/>
          <w:b/>
          <w:bCs/>
          <w:color w:val="1A6B55"/>
          <w:sz w:val="26"/>
          <w:szCs w:val="26"/>
        </w:rPr>
        <w:t xml:space="preserve">2.1 Key Capabilities</w:t>
      </w:r>
    </w:p>
    <w:p>
      <w:pPr>
        <w:pStyle w:val="ListParagraph"/>
        <w:numPr>
          <w:ilvl w:val="0"/>
          <w:numId w:val="2"/>
        </w:numPr>
        <w:spacing w:before="40" w:after="40"/>
      </w:pPr>
      <w:r>
        <w:rPr>
          <w:rFonts w:ascii="Arial" w:cs="Arial" w:eastAsia="Arial" w:hAnsi="Arial"/>
          <w:color w:val="444444"/>
          <w:sz w:val="22"/>
          <w:szCs w:val="22"/>
        </w:rPr>
        <w:t xml:space="preserve">Managers create and manage dashboards, contracts, and notifications</w:t>
      </w:r>
    </w:p>
    <w:p>
      <w:pPr>
        <w:pStyle w:val="ListParagraph"/>
        <w:numPr>
          <w:ilvl w:val="0"/>
          <w:numId w:val="2"/>
        </w:numPr>
        <w:spacing w:before="40" w:after="40"/>
      </w:pPr>
      <w:r>
        <w:rPr>
          <w:rFonts w:ascii="Arial" w:cs="Arial" w:eastAsia="Arial" w:hAnsi="Arial"/>
          <w:color w:val="444444"/>
          <w:sz w:val="22"/>
          <w:szCs w:val="22"/>
        </w:rPr>
        <w:t xml:space="preserve">Subscribers sign up, create accounts, and initiate projects</w:t>
      </w:r>
    </w:p>
    <w:p>
      <w:pPr>
        <w:pStyle w:val="ListParagraph"/>
        <w:numPr>
          <w:ilvl w:val="0"/>
          <w:numId w:val="2"/>
        </w:numPr>
        <w:spacing w:before="40" w:after="40"/>
      </w:pPr>
      <w:r>
        <w:rPr>
          <w:rFonts w:ascii="Arial" w:cs="Arial" w:eastAsia="Arial" w:hAnsi="Arial"/>
          <w:color w:val="444444"/>
          <w:sz w:val="22"/>
          <w:szCs w:val="22"/>
        </w:rPr>
        <w:t xml:space="preserve">Projects provide a workspace with chat, timeline, email organiser, and dashboard</w:t>
      </w:r>
    </w:p>
    <w:p>
      <w:pPr>
        <w:pStyle w:val="ListParagraph"/>
        <w:numPr>
          <w:ilvl w:val="0"/>
          <w:numId w:val="2"/>
        </w:numPr>
        <w:spacing w:before="40" w:after="40"/>
      </w:pPr>
      <w:r>
        <w:rPr>
          <w:rFonts w:ascii="Arial" w:cs="Arial" w:eastAsia="Arial" w:hAnsi="Arial"/>
          <w:color w:val="444444"/>
          <w:sz w:val="22"/>
          <w:szCs w:val="22"/>
        </w:rPr>
        <w:t xml:space="preserve">Contract requests flow through notification and activation workflows</w:t>
      </w:r>
    </w:p>
    <w:p>
      <w:pPr>
        <w:pStyle w:val="ListParagraph"/>
        <w:numPr>
          <w:ilvl w:val="0"/>
          <w:numId w:val="2"/>
        </w:numPr>
        <w:spacing w:before="40" w:after="40"/>
      </w:pPr>
      <w:r>
        <w:rPr>
          <w:rFonts w:ascii="Arial" w:cs="Arial" w:eastAsia="Arial" w:hAnsi="Arial"/>
          <w:color w:val="444444"/>
          <w:sz w:val="22"/>
          <w:szCs w:val="22"/>
        </w:rPr>
        <w:t xml:space="preserve">An AI-assisted email organiser advises on suitable responses based on contract context</w:t>
      </w:r>
    </w:p>
    <w:p>
      <w:pPr>
        <w:pStyle w:val="ListParagraph"/>
        <w:numPr>
          <w:ilvl w:val="0"/>
          <w:numId w:val="2"/>
        </w:numPr>
        <w:spacing w:before="40" w:after="40"/>
      </w:pPr>
      <w:r>
        <w:rPr>
          <w:rFonts w:ascii="Arial" w:cs="Arial" w:eastAsia="Arial" w:hAnsi="Arial"/>
          <w:color w:val="444444"/>
          <w:sz w:val="22"/>
          <w:szCs w:val="22"/>
        </w:rPr>
        <w:t xml:space="preserve">External invitees can collaborate on projects and send final responses to recipients</w:t>
      </w:r>
    </w:p>
    <w:p>
      <w:pPr>
        <w:spacing w:before="160" w:after="0"/>
      </w:pPr>
    </w:p>
    <w:p>
      <w:pPr>
        <w:pStyle w:val="Heading1"/>
        <w:pBdr>
          <w:bottom w:val="single" w:color="1B4F72" w:sz="6" w:space="4"/>
        </w:pBdr>
        <w:spacing w:before="360" w:after="180"/>
      </w:pPr>
      <w:r>
        <w:rPr>
          <w:rFonts w:ascii="Arial" w:cs="Arial" w:eastAsia="Arial" w:hAnsi="Arial"/>
          <w:b/>
          <w:bCs/>
          <w:color w:val="1B4F72"/>
          <w:sz w:val="32"/>
          <w:szCs w:val="32"/>
        </w:rPr>
        <w:t xml:space="preserve">3. Entity Model</w:t>
      </w:r>
    </w:p>
    <w:p>
      <w:pPr>
        <w:spacing w:before="60" w:after="60"/>
      </w:pPr>
      <w:r>
        <w:rPr>
          <w:rFonts w:ascii="Arial" w:cs="Arial" w:eastAsia="Arial" w:hAnsi="Arial"/>
          <w:color w:val="444444"/>
          <w:sz w:val="22"/>
          <w:szCs w:val="22"/>
        </w:rPr>
        <w:t xml:space="preserve">The following entities were identified from the flow diagram. Each will map to one or more database tables in the implementation phase.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MANAGER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with elevated privileges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Manages dashboard, writes messages, activates notifications, updates contract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SUBSCRIBER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End user / client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Signs up, creates account, creates projects, accesses contract page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ACCOUNT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 account record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Owned by subscriber; accesses contract page; creates contract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PROJECT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 client engagement or workspace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Created by account; contains members, contract, reference, generic email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CONTRACT REQUEST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Raised by account, reviewed by manager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Triggers notification and contract activation workflow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System-generated alert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Activated by manager or contract request; generates email; displays on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EMAIL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Outbound transactional email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Generated by notification; delivered via email 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Overview UI page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Managed by manager; displays notifications; links to contract page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MESSAGE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In-system communication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Written by manager or account; part of project chat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CONTRACT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Contract detail 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Updated by manager; linked from dashboard; accessed by account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PROJECT MANAGEMENT PAGE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Main project workspace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Displays dashboard, chat, email organiser, 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EMAIL ORGANISER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AI-assisted email tool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Displays in project management page; notifies invited accounts; trained AI advises responses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INVITED ACCOUNT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External collaborator on a project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Invited by project; can analyse and edit final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FINAL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Reviewed outbound email/message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Edited by invited account; sent to recipient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RECIPIENT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External party receiving communication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Receives the final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CHAT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Real-time messaging within a project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Accessible by subscribers and invitees via project management page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TIMELINE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Project schedule view</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Displayed on project management page</w:t>
            </w:r>
          </w:p>
        </w:tc>
      </w:tr>
    </w:tbl>
    <w:p>
      <w:pPr>
        <w:spacing w:before="200" w:after="0"/>
      </w:pPr>
    </w:p>
    <w:p>
      <w:pPr>
        <w:spacing w:before="0" w:after="0"/>
      </w:pPr>
      <w:r>
        <w:br w:type="page"/>
      </w:r>
    </w:p>
    <w:p>
      <w:pPr>
        <w:pStyle w:val="Heading1"/>
        <w:pBdr>
          <w:bottom w:val="single" w:color="1B4F72" w:sz="6" w:space="4"/>
        </w:pBdr>
        <w:spacing w:before="360" w:after="180"/>
      </w:pPr>
      <w:r>
        <w:rPr>
          <w:rFonts w:ascii="Arial" w:cs="Arial" w:eastAsia="Arial" w:hAnsi="Arial"/>
          <w:b/>
          <w:bCs/>
          <w:color w:val="1B4F72"/>
          <w:sz w:val="32"/>
          <w:szCs w:val="32"/>
        </w:rPr>
        <w:t xml:space="preserve">4. Technology Stack</w:t>
      </w:r>
    </w:p>
    <w:p>
      <w:pPr>
        <w:spacing w:before="60" w:after="60"/>
      </w:pPr>
      <w:r>
        <w:rPr>
          <w:rFonts w:ascii="Arial" w:cs="Arial" w:eastAsia="Arial" w:hAnsi="Arial"/>
          <w:color w:val="444444"/>
          <w:sz w:val="22"/>
          <w:szCs w:val="22"/>
        </w:rPr>
        <w:t xml:space="preserve">The stack was selected with Python as the backend language, prioritising security guarantees, team familiarity, and cloud-native deployment on AWS, GCP, or Azure.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Concern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Frontend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Next.js + TypeScript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File-based routing, SSR, React component ecosystem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Django + Django REST Framework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Secure by default: CSRF, XSS, SQL injection protection built-in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Real-time (chat)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Django Channels + Redis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WebSocket support for chat between subscribers and invitees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Async tasks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Celery + Redis broker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Non-blocking email dispatch, notifications, contract activations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Database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PostgreSQL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Relational model maps directly to entities; row-level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Email dispatch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AWS SES (or SendGrid)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Transactional email for notifications and contract requests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django-allauth + DRF SimpleJWT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httpOnly cookie token storage; role-based access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Backend hosting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AWS ECS Fargate / GCP Cloud Run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Containerised, auto-scaling, managed infrastructure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Frontend hosting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Vercel or AWS Amplify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Edge-optimised Next.js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Secrets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AWS Secrets 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 credentials in codebase or environment files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Monitoring / logging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Sentry + CloudWatch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Error tracking and infrastructure observability</w:t>
            </w:r>
          </w:p>
        </w:tc>
      </w:tr>
    </w:tbl>
    <w:p>
      <w:pPr>
        <w:spacing w:before="200" w:after="0"/>
      </w:pPr>
    </w:p>
    <w:p>
      <w:pPr>
        <w:pStyle w:val="Heading2"/>
        <w:spacing w:before="280" w:after="120"/>
      </w:pPr>
      <w:r>
        <w:rPr>
          <w:rFonts w:ascii="Arial" w:cs="Arial" w:eastAsia="Arial" w:hAnsi="Arial"/>
          <w:b/>
          <w:bCs/>
          <w:color w:val="1A6B55"/>
          <w:sz w:val="26"/>
          <w:szCs w:val="26"/>
        </w:rPr>
        <w:t xml:space="preserve">4.1 Architecture Layers</w:t>
      </w:r>
    </w:p>
    <w:p>
      <w:pPr>
        <w:spacing w:before="200" w:after="80"/>
      </w:pPr>
      <w:r>
        <w:rPr>
          <w:rFonts w:ascii="Arial" w:cs="Arial" w:eastAsia="Arial" w:hAnsi="Arial"/>
          <w:b/>
          <w:bCs/>
          <w:color w:val="444444"/>
          <w:sz w:val="22"/>
          <w:szCs w:val="22"/>
        </w:rPr>
        <w:t xml:space="preserve">Client layer</w:t>
      </w:r>
    </w:p>
    <w:p>
      <w:pPr>
        <w:spacing w:before="60" w:after="60"/>
      </w:pPr>
      <w:r>
        <w:rPr>
          <w:rFonts w:ascii="Arial" w:cs="Arial" w:eastAsia="Arial" w:hAnsi="Arial"/>
          <w:color w:val="444444"/>
          <w:sz w:val="22"/>
          <w:szCs w:val="22"/>
        </w:rPr>
        <w:t xml:space="preserve">Next.js (React + TypeScript) serves all frontend pages: the Dashboard, Project Management Page, Contract Page, Chat, and Timeline. Tokens are stored in httpOnly cookies only — never in localStorage. Content Security Policy headers are configured at the Next.js layer.</w:t>
      </w:r>
    </w:p>
    <w:p>
      <w:pPr>
        <w:spacing w:before="200" w:after="80"/>
      </w:pPr>
      <w:r>
        <w:rPr>
          <w:rFonts w:ascii="Arial" w:cs="Arial" w:eastAsia="Arial" w:hAnsi="Arial"/>
          <w:b/>
          <w:bCs/>
          <w:color w:val="444444"/>
          <w:sz w:val="22"/>
          <w:szCs w:val="22"/>
        </w:rPr>
        <w:t xml:space="preserve">API layer</w:t>
      </w:r>
    </w:p>
    <w:p>
      <w:pPr>
        <w:spacing w:before="60" w:after="60"/>
      </w:pPr>
      <w:r>
        <w:rPr>
          <w:rFonts w:ascii="Arial" w:cs="Arial" w:eastAsia="Arial" w:hAnsi="Arial"/>
          <w:color w:val="444444"/>
          <w:sz w:val="22"/>
          <w:szCs w:val="22"/>
        </w:rPr>
        <w:t xml:space="preserve">Django with Django REST Framework handles all business logic. Django Channels provides WebSocket support for real-time chat. Celery processes asynchronous tasks (email dispatch, notification generation, contract activations) using Redis as the message broker.</w:t>
      </w:r>
    </w:p>
    <w:p>
      <w:pPr>
        <w:spacing w:before="200" w:after="80"/>
      </w:pPr>
      <w:r>
        <w:rPr>
          <w:rFonts w:ascii="Arial" w:cs="Arial" w:eastAsia="Arial" w:hAnsi="Arial"/>
          <w:b/>
          <w:bCs/>
          <w:color w:val="444444"/>
          <w:sz w:val="22"/>
          <w:szCs w:val="22"/>
        </w:rPr>
        <w:t xml:space="preserve">Data layer</w:t>
      </w:r>
    </w:p>
    <w:p>
      <w:pPr>
        <w:spacing w:before="60" w:after="60"/>
      </w:pPr>
      <w:r>
        <w:rPr>
          <w:rFonts w:ascii="Arial" w:cs="Arial" w:eastAsia="Arial" w:hAnsi="Arial"/>
          <w:color w:val="444444"/>
          <w:sz w:val="22"/>
          <w:szCs w:val="22"/>
        </w:rPr>
        <w:t xml:space="preserve">PostgreSQL is the primary relational database, hosted on a managed cloud service (AWS RDS, Cloud SQL, or Azure Database for PostgreSQL). Redis (AWS ElastiCache or Upstash) serves as the Celery broker and session store.</w:t>
      </w:r>
    </w:p>
    <w:p>
      <w:pPr>
        <w:spacing w:before="200" w:after="80"/>
      </w:pPr>
      <w:r>
        <w:rPr>
          <w:rFonts w:ascii="Arial" w:cs="Arial" w:eastAsia="Arial" w:hAnsi="Arial"/>
          <w:b/>
          <w:bCs/>
          <w:color w:val="444444"/>
          <w:sz w:val="22"/>
          <w:szCs w:val="22"/>
        </w:rPr>
        <w:t xml:space="preserve">Infrastructure layer</w:t>
      </w:r>
    </w:p>
    <w:p>
      <w:pPr>
        <w:spacing w:before="60" w:after="60"/>
      </w:pPr>
      <w:r>
        <w:rPr>
          <w:rFonts w:ascii="Arial" w:cs="Arial" w:eastAsia="Arial" w:hAnsi="Arial"/>
          <w:color w:val="444444"/>
          <w:sz w:val="22"/>
          <w:szCs w:val="22"/>
        </w:rPr>
        <w:t xml:space="preserve">The Django backend runs as a container on AWS ECS Fargate or GCP Cloud Run. The Next.js frontend deploys to Vercel or AWS Amplify. All secrets (database credentials, API keys, email credentials) are stored in AWS Secrets Manager — never in code or committed environment files.</w:t>
      </w:r>
    </w:p>
    <w:p>
      <w:pPr>
        <w:spacing w:before="200" w:after="0"/>
      </w:pPr>
    </w:p>
    <w:p>
      <w:pPr>
        <w:spacing w:before="0" w:after="0"/>
      </w:pPr>
      <w:r>
        <w:br w:type="page"/>
      </w:r>
    </w:p>
    <w:p>
      <w:pPr>
        <w:pStyle w:val="Heading1"/>
        <w:pBdr>
          <w:bottom w:val="single" w:color="1B4F72" w:sz="6" w:space="4"/>
        </w:pBdr>
        <w:spacing w:before="360" w:after="180"/>
      </w:pPr>
      <w:r>
        <w:rPr>
          <w:rFonts w:ascii="Arial" w:cs="Arial" w:eastAsia="Arial" w:hAnsi="Arial"/>
          <w:b/>
          <w:bCs/>
          <w:color w:val="1B4F72"/>
          <w:sz w:val="32"/>
          <w:szCs w:val="32"/>
        </w:rPr>
        <w:t xml:space="preserve">5. Security Posture</w:t>
      </w:r>
    </w:p>
    <w:p>
      <w:pPr>
        <w:spacing w:before="60" w:after="60"/>
      </w:pPr>
      <w:r>
        <w:rPr>
          <w:rFonts w:ascii="Arial" w:cs="Arial" w:eastAsia="Arial" w:hAnsi="Arial"/>
          <w:color w:val="444444"/>
          <w:sz w:val="22"/>
          <w:szCs w:val="22"/>
        </w:rPr>
        <w:t xml:space="preserve">Security is the primary architectural driver for backend technology selection. The following table documents each security decision, the mechanism chosen, and its justification.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Concern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Mechanism</w:t>
            </w:r>
          </w:p>
        </w:tc>
        <w:tc>
          <w:tcPr>
            <w:tcW w:type="dxa" w:w="47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Authentication tokens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Stored in httpOnly cookies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JavaScript cannot read them — eliminates XSS-based token theft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CSRF protection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Django middleware (default 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Every state-changing request requires a valid CSRF token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SQL injection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Django ORM parameterised queries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Raw SQL is never constructed from user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XSS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Django auto-escapes HTML output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Template rendering is safe by default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Role-based access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DRF object-level permissions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Subscribers see only their own accounts, projects, and contracts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Secrets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AWS Secrets Manager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API keys, DB passwords, email credentials never committed to git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Transport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TLS 1.2+ enforced everywhere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HTTPS for all HTTP traffic; WSS for WebSocket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Database at 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Encrypted via RDS / Cloud 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Data encrypted at the storage layer by the cloud provider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Rate limiting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django-ratelimit on sensitive endpoints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Protects login, signup, and contract submission from abuse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DDoS / WAF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AWS WAF + API Gateway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Network-layer protection before requests reach the application</w:t>
            </w:r>
          </w:p>
        </w:tc>
      </w:tr>
    </w:tbl>
    <w:p>
      <w:pPr>
        <w:spacing w:before="200" w:after="0"/>
      </w:pPr>
    </w:p>
    <w:p>
      <w:pPr>
        <w:pStyle w:val="Heading2"/>
        <w:spacing w:before="280" w:after="120"/>
      </w:pPr>
      <w:r>
        <w:rPr>
          <w:rFonts w:ascii="Arial" w:cs="Arial" w:eastAsia="Arial" w:hAnsi="Arial"/>
          <w:b/>
          <w:bCs/>
          <w:color w:val="1A6B55"/>
          <w:sz w:val="26"/>
          <w:szCs w:val="26"/>
        </w:rPr>
        <w:t xml:space="preserve">5.1 Role-Based Access Control</w:t>
      </w:r>
    </w:p>
    <w:p>
      <w:pPr>
        <w:spacing w:before="60" w:after="60"/>
      </w:pPr>
      <w:r>
        <w:rPr>
          <w:rFonts w:ascii="Arial" w:cs="Arial" w:eastAsia="Arial" w:hAnsi="Arial"/>
          <w:color w:val="444444"/>
          <w:sz w:val="22"/>
          <w:szCs w:val="22"/>
        </w:rPr>
        <w:t xml:space="preserve">The system defines two primary roles at the application level:</w:t>
      </w:r>
    </w:p>
    <w:p>
      <w:pPr>
        <w:spacing w:before="40" w:after="0"/>
      </w:pPr>
    </w:p>
    <w:p>
      <w:pPr>
        <w:pStyle w:val="ListParagraph"/>
        <w:numPr>
          <w:ilvl w:val="0"/>
          <w:numId w:val="2"/>
        </w:numPr>
        <w:spacing w:before="40" w:after="40"/>
      </w:pPr>
      <w:r>
        <w:rPr>
          <w:rFonts w:ascii="Arial" w:cs="Arial" w:eastAsia="Arial" w:hAnsi="Arial"/>
          <w:color w:val="444444"/>
          <w:sz w:val="22"/>
          <w:szCs w:val="22"/>
        </w:rPr>
        <w:t xml:space="preserve">Manager — full access to dashboard management, contract activation, notification control, and message creation</w:t>
      </w:r>
    </w:p>
    <w:p>
      <w:pPr>
        <w:pStyle w:val="ListParagraph"/>
        <w:numPr>
          <w:ilvl w:val="0"/>
          <w:numId w:val="2"/>
        </w:numPr>
        <w:spacing w:before="40" w:after="40"/>
      </w:pPr>
      <w:r>
        <w:rPr>
          <w:rFonts w:ascii="Arial" w:cs="Arial" w:eastAsia="Arial" w:hAnsi="Arial"/>
          <w:color w:val="444444"/>
          <w:sz w:val="22"/>
          <w:szCs w:val="22"/>
        </w:rPr>
        <w:t xml:space="preserve">Subscriber — access scoped to their own account, projects, contract pages, and project management pages</w:t>
      </w:r>
    </w:p>
    <w:p>
      <w:pPr>
        <w:pStyle w:val="ListParagraph"/>
        <w:numPr>
          <w:ilvl w:val="0"/>
          <w:numId w:val="2"/>
        </w:numPr>
        <w:spacing w:before="40" w:after="40"/>
      </w:pPr>
      <w:r>
        <w:rPr>
          <w:rFonts w:ascii="Arial" w:cs="Arial" w:eastAsia="Arial" w:hAnsi="Arial"/>
          <w:color w:val="444444"/>
          <w:sz w:val="22"/>
          <w:szCs w:val="22"/>
        </w:rPr>
        <w:t xml:space="preserve">Invited Account — read and edit access to specific projects they have been invited to; can send final responses</w:t>
      </w:r>
    </w:p>
    <w:p>
      <w:pPr>
        <w:spacing w:before="80" w:after="0"/>
      </w:pPr>
    </w:p>
    <w:p>
      <w:pPr>
        <w:spacing w:before="60" w:after="60"/>
      </w:pPr>
      <w:r>
        <w:rPr>
          <w:rFonts w:ascii="Arial" w:cs="Arial" w:eastAsia="Arial" w:hAnsi="Arial"/>
          <w:color w:val="444444"/>
          <w:sz w:val="22"/>
          <w:szCs w:val="22"/>
        </w:rPr>
        <w:t xml:space="preserve">Row-level permissions are enforced at the Django REST Framework layer, not just at the frontend routing level. Every API request is authenticated and authorised against the requesting user's role and object ownership before data is returned.</w:t>
      </w:r>
    </w:p>
    <w:p>
      <w:pPr>
        <w:spacing w:before="200" w:after="0"/>
      </w:pPr>
    </w:p>
    <w:p>
      <w:pPr>
        <w:pStyle w:val="Heading1"/>
        <w:pBdr>
          <w:bottom w:val="single" w:color="1B4F72" w:sz="6" w:space="4"/>
        </w:pBdr>
        <w:spacing w:before="360" w:after="180"/>
      </w:pPr>
      <w:r>
        <w:rPr>
          <w:rFonts w:ascii="Arial" w:cs="Arial" w:eastAsia="Arial" w:hAnsi="Arial"/>
          <w:b/>
          <w:bCs/>
          <w:color w:val="1B4F72"/>
          <w:sz w:val="32"/>
          <w:szCs w:val="32"/>
        </w:rPr>
        <w:t xml:space="preserve">6. Next Steps</w:t>
      </w:r>
    </w:p>
    <w:p>
      <w:pPr>
        <w:spacing w:before="60" w:after="60"/>
      </w:pPr>
      <w:r>
        <w:rPr>
          <w:rFonts w:ascii="Arial" w:cs="Arial" w:eastAsia="Arial" w:hAnsi="Arial"/>
          <w:color w:val="444444"/>
          <w:sz w:val="22"/>
          <w:szCs w:val="22"/>
        </w:rPr>
        <w:t xml:space="preserve">The following items are planned for the next sessions:</w:t>
      </w:r>
    </w:p>
    <w:p>
      <w:pPr>
        <w:spacing w:before="40" w:after="0"/>
      </w:pPr>
    </w:p>
    <w:p>
      <w:pPr>
        <w:pStyle w:val="ListParagraph"/>
        <w:numPr>
          <w:ilvl w:val="0"/>
          <w:numId w:val="2"/>
        </w:numPr>
        <w:spacing w:before="40" w:after="40"/>
      </w:pPr>
      <w:r>
        <w:rPr>
          <w:rFonts w:ascii="Arial" w:cs="Arial" w:eastAsia="Arial" w:hAnsi="Arial"/>
          <w:color w:val="444444"/>
          <w:sz w:val="22"/>
          <w:szCs w:val="22"/>
        </w:rPr>
        <w:t xml:space="preserve">Database schema design — map every entity to concrete PostgreSQL tables with field types, constraints, and foreign key relationships</w:t>
      </w:r>
    </w:p>
    <w:p>
      <w:pPr>
        <w:pStyle w:val="ListParagraph"/>
        <w:numPr>
          <w:ilvl w:val="0"/>
          <w:numId w:val="2"/>
        </w:numPr>
        <w:spacing w:before="40" w:after="40"/>
      </w:pPr>
      <w:r>
        <w:rPr>
          <w:rFonts w:ascii="Arial" w:cs="Arial" w:eastAsia="Arial" w:hAnsi="Arial"/>
          <w:color w:val="444444"/>
          <w:sz w:val="22"/>
          <w:szCs w:val="22"/>
        </w:rPr>
        <w:t xml:space="preserve">API surface design — define REST endpoints for each entity, including HTTP methods, request/response shapes, and permission requirements</w:t>
      </w:r>
    </w:p>
    <w:p>
      <w:pPr>
        <w:pStyle w:val="ListParagraph"/>
        <w:numPr>
          <w:ilvl w:val="0"/>
          <w:numId w:val="2"/>
        </w:numPr>
        <w:spacing w:before="40" w:after="40"/>
      </w:pPr>
      <w:r>
        <w:rPr>
          <w:rFonts w:ascii="Arial" w:cs="Arial" w:eastAsia="Arial" w:hAnsi="Arial"/>
          <w:color w:val="444444"/>
          <w:sz w:val="22"/>
          <w:szCs w:val="22"/>
        </w:rPr>
        <w:t xml:space="preserve">Project scaffolding — initialise the Django project structure, configure settings for security middleware, and set up the Next.js application</w:t>
      </w:r>
    </w:p>
    <w:p>
      <w:pPr>
        <w:pStyle w:val="ListParagraph"/>
        <w:numPr>
          <w:ilvl w:val="0"/>
          <w:numId w:val="2"/>
        </w:numPr>
        <w:spacing w:before="40" w:after="40"/>
      </w:pPr>
      <w:r>
        <w:rPr>
          <w:rFonts w:ascii="Arial" w:cs="Arial" w:eastAsia="Arial" w:hAnsi="Arial"/>
          <w:color w:val="444444"/>
          <w:sz w:val="22"/>
          <w:szCs w:val="22"/>
        </w:rPr>
        <w:t xml:space="preserve">Authentication flow implementation — sign-up, login, token refresh, and role assignment</w:t>
      </w:r>
    </w:p>
    <w:p>
      <w:pPr>
        <w:pStyle w:val="ListParagraph"/>
        <w:numPr>
          <w:ilvl w:val="0"/>
          <w:numId w:val="2"/>
        </w:numPr>
        <w:spacing w:before="40" w:after="40"/>
      </w:pPr>
      <w:r>
        <w:rPr>
          <w:rFonts w:ascii="Arial" w:cs="Arial" w:eastAsia="Arial" w:hAnsi="Arial"/>
          <w:color w:val="444444"/>
          <w:sz w:val="22"/>
          <w:szCs w:val="22"/>
        </w:rPr>
        <w:t xml:space="preserve">Contract request workflow — the core flow from subscriber account through contract request, notification, and manager activation</w:t>
      </w:r>
    </w:p>
    <w:p>
      <w:pPr>
        <w:spacing w:before="200" w:after="0"/>
      </w:pPr>
    </w:p>
    <w:p>
      <w:pPr>
        <w:pStyle w:val="Heading1"/>
        <w:pBdr>
          <w:bottom w:val="single" w:color="1B4F72" w:sz="6" w:space="4"/>
        </w:pBdr>
        <w:spacing w:before="360" w:after="180"/>
      </w:pPr>
      <w:r>
        <w:rPr>
          <w:rFonts w:ascii="Arial" w:cs="Arial" w:eastAsia="Arial" w:hAnsi="Arial"/>
          <w:b/>
          <w:bCs/>
          <w:color w:val="1B4F72"/>
          <w:sz w:val="32"/>
          <w:szCs w:val="32"/>
        </w:rPr>
        <w:t xml:space="preserve">7. Open Questions</w:t>
      </w:r>
    </w:p>
    <w:p>
      <w:pPr>
        <w:spacing w:before="60" w:after="60"/>
      </w:pPr>
      <w:r>
        <w:rPr>
          <w:rFonts w:ascii="Arial" w:cs="Arial" w:eastAsia="Arial" w:hAnsi="Arial"/>
          <w:color w:val="444444"/>
          <w:sz w:val="22"/>
          <w:szCs w:val="22"/>
        </w:rPr>
        <w:t xml:space="preserve">The following decisions have not yet been made and should be resolved before or during implementation:</w:t>
      </w:r>
    </w:p>
    <w:p>
      <w:pPr>
        <w:spacing w:before="40" w:after="0"/>
      </w:pPr>
    </w:p>
    <w:p>
      <w:pPr>
        <w:pStyle w:val="ListParagraph"/>
        <w:numPr>
          <w:ilvl w:val="0"/>
          <w:numId w:val="2"/>
        </w:numPr>
        <w:spacing w:before="40" w:after="40"/>
      </w:pPr>
      <w:r>
        <w:rPr>
          <w:rFonts w:ascii="Arial" w:cs="Arial" w:eastAsia="Arial" w:hAnsi="Arial"/>
          <w:color w:val="444444"/>
          <w:sz w:val="22"/>
          <w:szCs w:val="22"/>
        </w:rPr>
        <w:t xml:space="preserve">Which cloud provider will be used: AWS, GCP, or Azure?</w:t>
      </w:r>
    </w:p>
    <w:p>
      <w:pPr>
        <w:pStyle w:val="ListParagraph"/>
        <w:numPr>
          <w:ilvl w:val="0"/>
          <w:numId w:val="2"/>
        </w:numPr>
        <w:spacing w:before="40" w:after="40"/>
      </w:pPr>
      <w:r>
        <w:rPr>
          <w:rFonts w:ascii="Arial" w:cs="Arial" w:eastAsia="Arial" w:hAnsi="Arial"/>
          <w:color w:val="444444"/>
          <w:sz w:val="22"/>
          <w:szCs w:val="22"/>
        </w:rPr>
        <w:t xml:space="preserve">Will email be handled via AWS SES (lower cost, tighter AWS integration) or SendGrid (richer template tooling)?</w:t>
      </w:r>
    </w:p>
    <w:p>
      <w:pPr>
        <w:pStyle w:val="ListParagraph"/>
        <w:numPr>
          <w:ilvl w:val="0"/>
          <w:numId w:val="2"/>
        </w:numPr>
        <w:spacing w:before="40" w:after="40"/>
      </w:pPr>
      <w:r>
        <w:rPr>
          <w:rFonts w:ascii="Arial" w:cs="Arial" w:eastAsia="Arial" w:hAnsi="Arial"/>
          <w:color w:val="444444"/>
          <w:sz w:val="22"/>
          <w:szCs w:val="22"/>
        </w:rPr>
        <w:t xml:space="preserve">What AI model or service will power the email organiser adviser feature? (e.g., Claude API, OpenAI, or a fine-tuned internal model)</w:t>
      </w:r>
    </w:p>
    <w:p>
      <w:pPr>
        <w:pStyle w:val="ListParagraph"/>
        <w:numPr>
          <w:ilvl w:val="0"/>
          <w:numId w:val="2"/>
        </w:numPr>
        <w:spacing w:before="40" w:after="40"/>
      </w:pPr>
      <w:r>
        <w:rPr>
          <w:rFonts w:ascii="Arial" w:cs="Arial" w:eastAsia="Arial" w:hAnsi="Arial"/>
          <w:color w:val="444444"/>
          <w:sz w:val="22"/>
          <w:szCs w:val="22"/>
        </w:rPr>
        <w:t xml:space="preserve">Are there regulatory or data residency requirements that constrain where data is stored?</w:t>
      </w:r>
    </w:p>
    <w:p>
      <w:pPr>
        <w:pStyle w:val="ListParagraph"/>
        <w:numPr>
          <w:ilvl w:val="0"/>
          <w:numId w:val="2"/>
        </w:numPr>
        <w:spacing w:before="40" w:after="40"/>
      </w:pPr>
      <w:r>
        <w:rPr>
          <w:rFonts w:ascii="Arial" w:cs="Arial" w:eastAsia="Arial" w:hAnsi="Arial"/>
          <w:color w:val="444444"/>
          <w:sz w:val="22"/>
          <w:szCs w:val="22"/>
        </w:rPr>
        <w:t xml:space="preserve">Will the application support multi-tenancy (multiple organisations) from day one, or single-tenant initially?</w:t>
      </w:r>
    </w:p>
    <w:p>
      <w:pPr>
        <w:spacing w:before="8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Confidential — Draft v1.0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Contract Management Web Application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6B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2026-03-29T21:04:27.454Z</dcterms:created>
  <dcterms:modified xsi:type="dcterms:W3CDTF">2026-03-29T21:04:27.454Z</dcterms:modified>
</cp:coreProperties>
</file>

<file path=docProps/custom.xml><?xml version="1.0" encoding="utf-8"?>
<Properties xmlns="http://schemas.openxmlformats.org/officeDocument/2006/custom-properties" xmlns:vt="http://schemas.openxmlformats.org/officeDocument/2006/docPropsVTypes"/>
</file>