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A3F63"/>
          <w:sz w:val="44"/>
        </w:rPr>
        <w:t>Latest Public Work on Next-App Recommendation</w:t>
      </w:r>
    </w:p>
    <w:p>
      <w:pPr>
        <w:jc w:val="center"/>
      </w:pPr>
      <w:r>
        <w:rPr>
          <w:i/>
          <w:color w:val="545454"/>
          <w:sz w:val="24"/>
        </w:rPr>
        <w:t>Literature report and approach synthesis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624"/>
      </w:tblGrid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</w:tcPr>
          <w:p>
            <w:r>
              <w:rPr>
                <w:b/>
                <w:sz w:val="20"/>
              </w:rPr>
              <w:t>Prepared</w:t>
            </w:r>
          </w:p>
        </w:tc>
        <w:tc>
          <w:tcPr>
            <w:tcW w:type="dxa" w:w="66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sz w:val="20"/>
              </w:rPr>
              <w:t>April 21, 2026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</w:tcPr>
          <w:p>
            <w:r>
              <w:rPr>
                <w:b/>
                <w:sz w:val="20"/>
              </w:rPr>
              <w:t>Scope</w:t>
            </w:r>
          </w:p>
        </w:tc>
        <w:tc>
          <w:tcPr>
            <w:tcW w:type="dxa" w:w="66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sz w:val="20"/>
              </w:rPr>
              <w:t>Public literature search focused on next mobile app prediction/recommendation, with emphasis on the most recent papers and the linked MISApp preprint.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72"/>
            <w:shd w:fill="EEF4FB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4E79"/>
                <w:sz w:val="23"/>
              </w:rPr>
              <w:t>Bottom line</w:t>
            </w:r>
          </w:p>
          <w:p>
            <w:pPr>
              <w:pStyle w:val="ListBullet"/>
              <w:spacing w:after="40"/>
              <w:ind w:left="259"/>
            </w:pPr>
            <w:r>
              <w:rPr>
                <w:sz w:val="20"/>
              </w:rPr>
              <w:t>The newest dedicated next-app paper found is MISApp (March 2026), which models multi-hop session structure and evolving user intent without relying on long user profiles.</w:t>
            </w:r>
          </w:p>
          <w:p>
            <w:pPr>
              <w:pStyle w:val="ListBullet"/>
              <w:spacing w:after="40"/>
              <w:ind w:left="259"/>
            </w:pPr>
            <w:r>
              <w:rPr>
                <w:sz w:val="20"/>
              </w:rPr>
              <w:t>Recent work is moving away from plain next-step sequence models toward session graphs, temporal gating, context fusion, and stronger cold-start handling.</w:t>
            </w:r>
          </w:p>
          <w:p>
            <w:pPr>
              <w:pStyle w:val="ListBullet"/>
              <w:spacing w:after="40"/>
              <w:ind w:left="259"/>
            </w:pPr>
            <w:r>
              <w:rPr>
                <w:sz w:val="20"/>
              </w:rPr>
              <w:t>The strongest practical direction today is a hybrid stack: sessionization + graph/intent modeling + explicit temporal conditioning + cold-start backoff.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40" w:line="276" w:lineRule="auto"/>
      </w:pPr>
      <w:r>
        <w:t>This report reviews the latest public work on predicting or recommending the next mobile app a user will open. The search prioritized papers from 2024 to April 2026, while also including a small number of earlier papers that remain important baselines for understanding the field’s technical evolution.</w:t>
      </w:r>
    </w:p>
    <w:p>
      <w:pPr>
        <w:spacing w:after="140" w:line="276" w:lineRule="auto"/>
      </w:pPr>
      <w:r>
        <w:t>The clearest recent shift is from linear sequence prediction toward richer modeling of app sessions, higher-order app relations, temporal rhythm, and limited-history users. The most recent paper identified, MISApp, frames next-app prediction as a profile-free session-intent problem rather than only a sequential forecasting task. Other strong lines of work include temporal transformers, dynamic graph and hypergraph models, hybrid graph-plus-self-attention systems, and LLM-based semantic encoders.</w:t>
      </w:r>
    </w:p>
    <w:p>
      <w:pPr>
        <w:spacing w:after="140" w:line="276" w:lineRule="auto"/>
      </w:pPr>
      <w:r>
        <w:t>Across the literature, four themes recur: app usage is sessional rather than purely sequential; time changes the meaning of the same app history; cold start is a first-class requirement; and models that depend too heavily on fixed user-profile embeddings are giving way to context- and session-driven approaches.</w:t>
      </w:r>
    </w:p>
    <w:p>
      <w:pPr>
        <w:pStyle w:val="Heading1"/>
      </w:pPr>
      <w:r>
        <w:t>2. Scope and search method</w:t>
      </w:r>
    </w:p>
    <w:p>
      <w:pPr>
        <w:spacing w:after="80"/>
      </w:pPr>
      <w:r>
        <w:rPr>
          <w:b/>
        </w:rPr>
        <w:t xml:space="preserve">Time window. </w:t>
      </w:r>
      <w:r>
        <w:t>Primary focus on 2024-April 2026, with selected earlier baselines when they clarify major methodological branches.</w:t>
      </w:r>
    </w:p>
    <w:p>
      <w:pPr>
        <w:spacing w:after="80"/>
      </w:pPr>
      <w:r>
        <w:rPr>
          <w:b/>
        </w:rPr>
        <w:t xml:space="preserve">Problem scope. </w:t>
      </w:r>
      <w:r>
        <w:t>Next-app prediction, next mobile app recommendation, app usage prediction, cold-start app prediction, and context-aware mobile app usage modeling.</w:t>
      </w:r>
    </w:p>
    <w:p>
      <w:pPr>
        <w:spacing w:after="160"/>
      </w:pPr>
      <w:r>
        <w:rPr>
          <w:b/>
        </w:rPr>
        <w:t xml:space="preserve">Sources used. </w:t>
      </w:r>
      <w:r>
        <w:t>arXiv, journal and publisher abstracts, DOI/metadata pages, DBLP entries, and accessible article summaries. Some newer papers are preprints and may not yet be peer reviewed.</w:t>
      </w:r>
    </w:p>
    <w:p>
      <w:pPr>
        <w:pStyle w:val="Heading1"/>
      </w:pPr>
      <w:r>
        <w:t>3. Shortlist of the most relevant papers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096"/>
        <w:gridCol w:w="2232"/>
        <w:gridCol w:w="2376"/>
      </w:tblGrid>
      <w:tr>
        <w:tc>
          <w:tcPr>
            <w:tcW w:type="dxa" w:w="244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Paper</w:t>
            </w:r>
          </w:p>
        </w:tc>
        <w:tc>
          <w:tcPr>
            <w:tcW w:type="dxa" w:w="244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Core idea</w:t>
            </w:r>
          </w:p>
        </w:tc>
        <w:tc>
          <w:tcPr>
            <w:tcW w:type="dxa" w:w="244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Why it matters</w:t>
            </w:r>
          </w:p>
        </w:tc>
        <w:tc>
          <w:tcPr>
            <w:tcW w:type="dxa" w:w="244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Main limitations / caveats</w:t>
            </w:r>
          </w:p>
        </w:tc>
      </w:tr>
      <w:tr>
        <w:tc>
          <w:tcPr>
            <w:tcW w:type="dxa" w:w="194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MISApp (2026)</w:t>
            </w:r>
          </w:p>
        </w:tc>
        <w:tc>
          <w:tcPr>
            <w:tcW w:type="dxa" w:w="30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Multi-hop session graph + intent modeling + temporal/spatial fusion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Best current example of session-structured, cold-start-aware prediction</w:t>
            </w:r>
          </w:p>
        </w:tc>
        <w:tc>
          <w:tcPr>
            <w:tcW w:type="dxa" w:w="237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Preprint; evidence currently limited to reported benchmark results</w:t>
            </w:r>
          </w:p>
        </w:tc>
      </w:tr>
      <w:tr>
        <w:tc>
          <w:tcPr>
            <w:tcW w:type="dxa" w:w="194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Atten-Transformer / TGT (2025)</w:t>
            </w:r>
          </w:p>
        </w:tc>
        <w:tc>
          <w:tcPr>
            <w:tcW w:type="dxa" w:w="30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Transformer with temporal attention/gating over app histories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Strong case that time should be modeled explicitly, not only app order</w:t>
            </w:r>
          </w:p>
        </w:tc>
        <w:tc>
          <w:tcPr>
            <w:tcW w:type="dxa" w:w="237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Title inconsistency across arXiv surfaces; results need independent replication</w:t>
            </w:r>
          </w:p>
        </w:tc>
      </w:tr>
      <w:tr>
        <w:tc>
          <w:tcPr>
            <w:tcW w:type="dxa" w:w="194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Scientific Reports model (2025)</w:t>
            </w:r>
          </w:p>
        </w:tc>
        <w:tc>
          <w:tcPr>
            <w:tcW w:type="dxa" w:w="30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Dual-scale temporal features + personalized graph learning + self-attention fusion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Good hybrid design for long-term habits plus short-term session dynamics</w:t>
            </w:r>
          </w:p>
        </w:tc>
        <w:tc>
          <w:tcPr>
            <w:tcW w:type="dxa" w:w="237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Less lightweight than purely profile-free session models</w:t>
            </w:r>
          </w:p>
        </w:tc>
      </w:tr>
      <w:tr>
        <w:tc>
          <w:tcPr>
            <w:tcW w:type="dxa" w:w="194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Appformer (2024)</w:t>
            </w:r>
          </w:p>
        </w:tc>
        <w:tc>
          <w:tcPr>
            <w:tcW w:type="dxa" w:w="30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Progressive multimodal fusion of app, time, and location/POI features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Shows the value of careful multimodal context fusion</w:t>
            </w:r>
          </w:p>
        </w:tc>
        <w:tc>
          <w:tcPr>
            <w:tcW w:type="dxa" w:w="237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Abstract-level evidence available here is high level rather than deeply diagnostic</w:t>
            </w:r>
          </w:p>
        </w:tc>
      </w:tr>
      <w:tr>
        <w:tc>
          <w:tcPr>
            <w:tcW w:type="dxa" w:w="194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MAPLE (2024)</w:t>
            </w:r>
          </w:p>
        </w:tc>
        <w:tc>
          <w:tcPr>
            <w:tcW w:type="dxa" w:w="30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LLM-based semantic embeddings + installed-app similarity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Useful cold-start strategy and strong semantic context encoding</w:t>
            </w:r>
          </w:p>
        </w:tc>
        <w:tc>
          <w:tcPr>
            <w:tcW w:type="dxa" w:w="237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Semantic priors alone do not fully solve session-intent modeling</w:t>
            </w:r>
          </w:p>
        </w:tc>
      </w:tr>
    </w:tbl>
    <w:p/>
    <w:p>
      <w:pPr>
        <w:pStyle w:val="Heading1"/>
      </w:pPr>
      <w:r>
        <w:t>4. Detailed reading of the latest approaches</w:t>
      </w:r>
    </w:p>
    <w:p>
      <w:pPr>
        <w:pStyle w:val="Heading2"/>
      </w:pPr>
      <w:r>
        <w:t>4.1 MISApp (2026): multi-hop intent-aware session graphs</w:t>
      </w:r>
    </w:p>
    <w:p>
      <w:pPr>
        <w:spacing w:after="140" w:line="276" w:lineRule="auto"/>
      </w:pPr>
      <w:r>
        <w:t>MISApp is the newest dedicated next-app paper located in this search. It models app launches inside a session as a multi-hop graph rather than a simple list. The design explicitly separates short-range and higher-order dependencies, learns session intent from recent interactions, and fuses temporal and spatial signals before decoding the next app. The paper emphasizes profile-free prediction, which is important when user history is sparse or unavailable.</w:t>
      </w:r>
    </w:p>
    <w:p>
      <w:pPr>
        <w:spacing w:after="140" w:line="276" w:lineRule="auto"/>
      </w:pPr>
      <w:r>
        <w:t>Why it matters: this is one of the clearest formulations of next-app prediction as a short-horizon intent inference problem. Reported results show MISApp outperforming several baselines under both standard and cold-start settings, while also reporting practical efficiency statistics. The model is especially relevant for systems that cannot count on rich long-term user profiles.</w:t>
      </w:r>
    </w:p>
    <w:p>
      <w:pPr>
        <w:pStyle w:val="Heading2"/>
      </w:pPr>
      <w:r>
        <w:t>4.2 Temporal attention / temporal gating transformers</w:t>
      </w:r>
    </w:p>
    <w:p>
      <w:pPr>
        <w:spacing w:after="140" w:line="276" w:lineRule="auto"/>
      </w:pPr>
      <w:r>
        <w:t>A parallel line of work argues that next-app prediction should be treated as a temporally conditioned forecasting problem. The 2025 Atten-Transformer / TGT paper adds temporal attention to a transformer backbone so the model can weight the most informative moments in app history. This is not only about position encoding; it is about making the same app sequence mean different things at different times of day or under different temporal patterns.</w:t>
      </w:r>
    </w:p>
    <w:p>
      <w:pPr>
        <w:spacing w:after="140" w:line="276" w:lineRule="auto"/>
      </w:pPr>
      <w:r>
        <w:t>Why it matters: daily rhythm is strong in app behavior. A user opening messaging after transit at 8:30 AM means something different from the same sequence at 11:30 PM. Temporal-gating models are therefore compelling when the application must reason over day-part, recurring patterns, or irregular timing.</w:t>
      </w:r>
    </w:p>
    <w:p>
      <w:pPr>
        <w:pStyle w:val="Heading2"/>
      </w:pPr>
      <w:r>
        <w:t>4.3 Hybrid graph plus self-attention personalization</w:t>
      </w:r>
    </w:p>
    <w:p>
      <w:pPr>
        <w:spacing w:after="140" w:line="276" w:lineRule="auto"/>
      </w:pPr>
      <w:r>
        <w:t>The 2025 Scientific Reports paper proposes a temporal-personalized framework that combines short-term graph modeling, long-term self-attention, and a context-aware fusion stage. The authors explicitly separate evolving session behavior from longer-term preference dynamics, then combine both into final user and app embeddings.</w:t>
      </w:r>
    </w:p>
    <w:p>
      <w:pPr>
        <w:spacing w:after="140" w:line="276" w:lineRule="auto"/>
      </w:pPr>
      <w:r>
        <w:t>Why it matters: this approach offers a practical middle ground between purely profile-free session models and heavily profile-driven recommenders. It is especially useful when a system has enough history to model habits, but still needs strong short-term reactivity.</w:t>
      </w:r>
    </w:p>
    <w:p>
      <w:pPr>
        <w:pStyle w:val="Heading2"/>
      </w:pPr>
      <w:r>
        <w:t>4.4 Multimodal context fusion</w:t>
      </w:r>
    </w:p>
    <w:p>
      <w:pPr>
        <w:spacing w:after="140" w:line="276" w:lineRule="auto"/>
      </w:pPr>
      <w:r>
        <w:t>Appformer shows a different design choice: instead of focusing only on app IDs and time, it progressively fuses multiple modalities such as app history, temporal units, and POI/location information. The paper argues that raw mobility or station data must be structured carefully before fusion, otherwise the extra modalities add noise rather than signal.</w:t>
      </w:r>
    </w:p>
    <w:p>
      <w:pPr>
        <w:spacing w:after="140" w:line="276" w:lineRule="auto"/>
      </w:pPr>
      <w:r>
        <w:t>Why it matters: many phone-side recommendations depend on where the user is and what kind of place they are near, but naive location features are often messy. Appformer is a useful reference for building structured context pipelines.</w:t>
      </w:r>
    </w:p>
    <w:p>
      <w:pPr>
        <w:pStyle w:val="Heading2"/>
      </w:pPr>
      <w:r>
        <w:t>4.5 LLM-semantic encoders for cold start</w:t>
      </w:r>
    </w:p>
    <w:p>
      <w:pPr>
        <w:spacing w:after="140" w:line="276" w:lineRule="auto"/>
      </w:pPr>
      <w:r>
        <w:t>MAPLE uses large language model embeddings to encode contextual information and app semantics, then adds installed-app similarity as a cold-start mechanism. This reflects a broader idea: semantic priors can help when there is not enough behavior history to learn high-quality embeddings from scratch.</w:t>
      </w:r>
    </w:p>
    <w:p>
      <w:pPr>
        <w:spacing w:after="140" w:line="276" w:lineRule="auto"/>
      </w:pPr>
      <w:r>
        <w:t>Why it matters: semantic encoding is attractive for bootstrapping new users, new app ecosystems, or sparse contexts. However, the newest graph/session work suggests that semantic context works best when combined with explicit modeling of session structure and intent.</w:t>
      </w:r>
    </w:p>
    <w:p>
      <w:pPr>
        <w:pStyle w:val="Heading1"/>
      </w:pPr>
      <w:r>
        <w:t>5. Approach families across the literature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3240"/>
        <w:gridCol w:w="3168"/>
      </w:tblGrid>
      <w:tr>
        <w:tc>
          <w:tcPr>
            <w:tcW w:type="dxa" w:w="326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Family</w:t>
            </w:r>
          </w:p>
        </w:tc>
        <w:tc>
          <w:tcPr>
            <w:tcW w:type="dxa" w:w="326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Representative papers</w:t>
            </w:r>
          </w:p>
        </w:tc>
        <w:tc>
          <w:tcPr>
            <w:tcW w:type="dxa" w:w="326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Best use case</w:t>
            </w:r>
          </w:p>
        </w:tc>
      </w:tr>
      <w:tr>
        <w:tc>
          <w:tcPr>
            <w:tcW w:type="dxa" w:w="26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8"/>
              </w:rPr>
              <w:t>Session graph / hypergraph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8"/>
              </w:rPr>
              <w:t>MISApp (2026); Context-Aware Dynamic Hypergraphs (2025)</w:t>
            </w:r>
          </w:p>
        </w:tc>
        <w:tc>
          <w:tcPr>
            <w:tcW w:type="dxa" w:w="31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8"/>
              </w:rPr>
              <w:t>Best when higher-order co-usage and session intent matter</w:t>
            </w:r>
          </w:p>
        </w:tc>
      </w:tr>
      <w:tr>
        <w:tc>
          <w:tcPr>
            <w:tcW w:type="dxa" w:w="26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8"/>
              </w:rPr>
              <w:t>Temporal transformer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8"/>
              </w:rPr>
              <w:t>Atten-Transformer / TGT (2025)</w:t>
            </w:r>
          </w:p>
        </w:tc>
        <w:tc>
          <w:tcPr>
            <w:tcW w:type="dxa" w:w="31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8"/>
              </w:rPr>
              <w:t>Best when day-part, periodicity, and irregular timing are central</w:t>
            </w:r>
          </w:p>
        </w:tc>
      </w:tr>
      <w:tr>
        <w:tc>
          <w:tcPr>
            <w:tcW w:type="dxa" w:w="26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8"/>
              </w:rPr>
              <w:t>Hybrid graph + self-attention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8"/>
              </w:rPr>
              <w:t>Scientific Reports model (2025); DUGN (2023)</w:t>
            </w:r>
          </w:p>
        </w:tc>
        <w:tc>
          <w:tcPr>
            <w:tcW w:type="dxa" w:w="31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8"/>
              </w:rPr>
              <w:t>Best when both habits and short-term dynamics must be retained</w:t>
            </w:r>
          </w:p>
        </w:tc>
      </w:tr>
      <w:tr>
        <w:tc>
          <w:tcPr>
            <w:tcW w:type="dxa" w:w="26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8"/>
              </w:rPr>
              <w:t>Multimodal context fusion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8"/>
              </w:rPr>
              <w:t>Appformer (2024); AppUsageOTM (2022)</w:t>
            </w:r>
          </w:p>
        </w:tc>
        <w:tc>
          <w:tcPr>
            <w:tcW w:type="dxa" w:w="31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8"/>
              </w:rPr>
              <w:t>Best when location, POI, commute, or place context is strong</w:t>
            </w:r>
          </w:p>
        </w:tc>
      </w:tr>
      <w:tr>
        <w:tc>
          <w:tcPr>
            <w:tcW w:type="dxa" w:w="26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8"/>
              </w:rPr>
              <w:t>Semantic / cold-start models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8"/>
              </w:rPr>
              <w:t>MAPLE (2024)</w:t>
            </w:r>
          </w:p>
        </w:tc>
        <w:tc>
          <w:tcPr>
            <w:tcW w:type="dxa" w:w="31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8"/>
              </w:rPr>
              <w:t>Best for sparse history, new users, and installed-app priors</w:t>
            </w:r>
          </w:p>
        </w:tc>
      </w:tr>
      <w:tr>
        <w:tc>
          <w:tcPr>
            <w:tcW w:type="dxa" w:w="26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8"/>
              </w:rPr>
              <w:t>Continuous-time event models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8"/>
              </w:rPr>
              <w:t>ATPP (2021/2023 publication surfaces)</w:t>
            </w:r>
          </w:p>
        </w:tc>
        <w:tc>
          <w:tcPr>
            <w:tcW w:type="dxa" w:w="31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8"/>
              </w:rPr>
              <w:t>Best when app identity and event timing should be predicted jointly</w:t>
            </w:r>
          </w:p>
        </w:tc>
      </w:tr>
    </w:tbl>
    <w:p/>
    <w:p>
      <w:pPr>
        <w:spacing w:after="140" w:line="276" w:lineRule="auto"/>
      </w:pPr>
      <w:r>
        <w:t>Two broad patterns stand out. First, session-graph and hypergraph methods are increasingly preferred when the goal is to capture short-term intent and higher-order relations among apps. Second, temporal transformers and hybrid graph-attention models remain attractive when the recommender must also preserve long-term routines and strong daily periodicity.</w:t>
      </w:r>
    </w:p>
    <w:p>
      <w:pPr>
        <w:spacing w:after="140" w:line="276" w:lineRule="auto"/>
      </w:pPr>
      <w:r>
        <w:t>Cold-start robustness is no longer treated as an add-on. Both MAPLE and MISApp make it central, but they solve it differently: MAPLE injects semantic priors and installed-app similarity, while MISApp reduces dependence on long-term user profiles by predicting directly from current-session structure.</w:t>
      </w:r>
    </w:p>
    <w:p>
      <w:pPr>
        <w:pStyle w:val="Heading1"/>
      </w:pPr>
      <w:r>
        <w:t>6. Implications for building a next-app recommender today</w:t>
      </w:r>
    </w:p>
    <w:p>
      <w:pPr>
        <w:pStyle w:val="ListBullet"/>
        <w:spacing w:after="60"/>
        <w:ind w:left="259"/>
      </w:pPr>
      <w:r>
        <w:rPr>
          <w:b/>
          <w:sz w:val="20"/>
        </w:rPr>
        <w:t xml:space="preserve">Use sessionization explicitly. </w:t>
      </w:r>
      <w:r>
        <w:rPr>
          <w:sz w:val="20"/>
        </w:rPr>
        <w:t>Most recent gains come from modeling contiguous app sessions rather than treating the full history as one undifferentiated stream.</w:t>
      </w:r>
    </w:p>
    <w:p>
      <w:pPr>
        <w:pStyle w:val="ListBullet"/>
        <w:spacing w:after="60"/>
        <w:ind w:left="259"/>
      </w:pPr>
      <w:r>
        <w:rPr>
          <w:b/>
          <w:sz w:val="20"/>
        </w:rPr>
        <w:t xml:space="preserve">Model higher-order structure, not only one-step transitions. </w:t>
      </w:r>
      <w:r>
        <w:rPr>
          <w:sz w:val="20"/>
        </w:rPr>
        <w:t>Users often move through sets of apps that reflect tasks or intent bundles. Multi-hop graphs and hypergraphs capture this better than plain sequence models.</w:t>
      </w:r>
    </w:p>
    <w:p>
      <w:pPr>
        <w:pStyle w:val="ListBullet"/>
        <w:spacing w:after="60"/>
        <w:ind w:left="259"/>
      </w:pPr>
      <w:r>
        <w:rPr>
          <w:b/>
          <w:sz w:val="20"/>
        </w:rPr>
        <w:t xml:space="preserve">Add strong temporal features. </w:t>
      </w:r>
      <w:r>
        <w:rPr>
          <w:sz w:val="20"/>
        </w:rPr>
        <w:t>Time-of-day, elapsed time, and periodic usage signatures change the meaning of the same app sequence.</w:t>
      </w:r>
    </w:p>
    <w:p>
      <w:pPr>
        <w:pStyle w:val="ListBullet"/>
        <w:spacing w:after="60"/>
        <w:ind w:left="259"/>
      </w:pPr>
      <w:r>
        <w:rPr>
          <w:b/>
          <w:sz w:val="20"/>
        </w:rPr>
        <w:t xml:space="preserve">Keep a cold-start backoff path. </w:t>
      </w:r>
      <w:r>
        <w:rPr>
          <w:sz w:val="20"/>
        </w:rPr>
        <w:t>New users and sparse histories remain common. Installed-app similarity, semantic app metadata, or profile-free session models provide a safer starting point.</w:t>
      </w:r>
    </w:p>
    <w:p>
      <w:pPr>
        <w:pStyle w:val="ListBullet"/>
        <w:spacing w:after="60"/>
        <w:ind w:left="259"/>
      </w:pPr>
      <w:r>
        <w:rPr>
          <w:b/>
          <w:sz w:val="20"/>
        </w:rPr>
        <w:t xml:space="preserve">Separate short-term intent from long-term preference. </w:t>
      </w:r>
      <w:r>
        <w:rPr>
          <w:sz w:val="20"/>
        </w:rPr>
        <w:t>The literature increasingly distinguishes immediate task intent from stable habits; one model or one feature pool should not be forced to represent both in the same way.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7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F4E79"/>
                <w:sz w:val="23"/>
              </w:rPr>
              <w:t>Recommended modern stack</w:t>
            </w:r>
          </w:p>
          <w:p>
            <w:pPr>
              <w:pStyle w:val="ListBullet"/>
              <w:spacing w:after="40"/>
              <w:ind w:left="259"/>
            </w:pPr>
            <w:r>
              <w:rPr>
                <w:sz w:val="20"/>
              </w:rPr>
              <w:t>Sessionization with a short rolling window.</w:t>
            </w:r>
          </w:p>
          <w:p>
            <w:pPr>
              <w:pStyle w:val="ListBullet"/>
              <w:spacing w:after="40"/>
              <w:ind w:left="259"/>
            </w:pPr>
            <w:r>
              <w:rPr>
                <w:sz w:val="20"/>
              </w:rPr>
              <w:t>A session-graph or hypergraph encoder to model direct and higher-order app relations.</w:t>
            </w:r>
          </w:p>
          <w:p>
            <w:pPr>
              <w:pStyle w:val="ListBullet"/>
              <w:spacing w:after="40"/>
              <w:ind w:left="259"/>
            </w:pPr>
            <w:r>
              <w:rPr>
                <w:sz w:val="20"/>
              </w:rPr>
              <w:t>Explicit temporal conditioning (hour, recency, elapsed-time signals, periodic encodings).</w:t>
            </w:r>
          </w:p>
          <w:p>
            <w:pPr>
              <w:pStyle w:val="ListBullet"/>
              <w:spacing w:after="40"/>
              <w:ind w:left="259"/>
            </w:pPr>
            <w:r>
              <w:rPr>
                <w:sz w:val="20"/>
              </w:rPr>
              <w:t>A lightweight fusion layer for location/POI or scenario context when available.</w:t>
            </w:r>
          </w:p>
          <w:p>
            <w:pPr>
              <w:pStyle w:val="ListBullet"/>
              <w:spacing w:after="40"/>
              <w:ind w:left="259"/>
            </w:pPr>
            <w:r>
              <w:rPr>
                <w:sz w:val="20"/>
              </w:rPr>
              <w:t>A cold-start fallback using installed-app similarity or semantic app/context embeddings.</w:t>
            </w:r>
          </w:p>
          <w:p>
            <w:pPr>
              <w:pStyle w:val="ListBullet"/>
              <w:spacing w:after="40"/>
              <w:ind w:left="259"/>
            </w:pPr>
            <w:r>
              <w:rPr>
                <w:sz w:val="20"/>
              </w:rPr>
              <w:t>Optional long-term habit channel if the product has enough stable user history.</w:t>
            </w:r>
          </w:p>
        </w:tc>
      </w:tr>
    </w:tbl>
    <w:p>
      <w:pPr>
        <w:pStyle w:val="Heading1"/>
      </w:pPr>
      <w:r>
        <w:t>7. Caveats and evaluation notes</w:t>
      </w:r>
    </w:p>
    <w:p>
      <w:pPr>
        <w:spacing w:after="140" w:line="276" w:lineRule="auto"/>
      </w:pPr>
      <w:r>
        <w:t>Some of the newest works are preprints, so reported improvements should be treated as promising but not yet fully settled. Independent reproduction, dataset transparency, and latency measurements are still important.</w:t>
      </w:r>
    </w:p>
    <w:p>
      <w:pPr>
        <w:spacing w:after="140" w:line="276" w:lineRule="auto"/>
      </w:pPr>
      <w:r>
        <w:t>Benchmark differences matter. Many reported gains depend on dataset split choice, especially standard versus cold-start protocols. Comparing models only by one headline metric can hide important tradeoffs.</w:t>
      </w:r>
    </w:p>
    <w:p>
      <w:pPr>
        <w:spacing w:after="140" w:line="276" w:lineRule="auto"/>
      </w:pPr>
      <w:r>
        <w:t>A strong product system may not need the single most complex architecture. If deployment is on-device or latency-sensitive, a simpler temporal model plus a lightweight session graph can sometimes be preferable to a heavier fully personalized model.</w:t>
      </w:r>
    </w:p>
    <w:p>
      <w:pPr>
        <w:pStyle w:val="Heading1"/>
      </w:pPr>
      <w:r>
        <w:t>8. References</w:t>
      </w:r>
    </w:p>
    <w:p>
      <w:pPr>
        <w:pStyle w:val="ListNumber"/>
        <w:spacing w:after="60"/>
        <w:ind w:left="173"/>
      </w:pPr>
      <w:r>
        <w:rPr>
          <w:sz w:val="19"/>
        </w:rPr>
        <w:t xml:space="preserve">[1] MISApp: Multi-Hop Intent-Aware Session Graph Learning for Next App Prediction (arXiv:2603.21653, 2026). </w:t>
      </w:r>
      <w:hyperlink r:id="rId10">
        <w:r>
          <w:rPr>
            <w:color w:val="1F4E79"/>
            <w:u w:val="single"/>
          </w:rPr>
          <w:t>Link</w:t>
        </w:r>
      </w:hyperlink>
    </w:p>
    <w:p>
      <w:pPr>
        <w:pStyle w:val="ListNumber"/>
        <w:spacing w:after="60"/>
        <w:ind w:left="173"/>
      </w:pPr>
      <w:r>
        <w:rPr>
          <w:sz w:val="19"/>
        </w:rPr>
        <w:t xml:space="preserve">[2] Atten-Transformer: A Deep Learning Framework for User App Usage Prediction (arXiv:2502.16957, 2025). The PDF/search surfaces also reference the title TGT: A Temporal Gating Transformer for Smartphone App Usage Prediction. </w:t>
      </w:r>
      <w:hyperlink r:id="rId11">
        <w:r>
          <w:rPr>
            <w:color w:val="1F4E79"/>
            <w:u w:val="single"/>
          </w:rPr>
          <w:t>Link</w:t>
        </w:r>
      </w:hyperlink>
    </w:p>
    <w:p>
      <w:pPr>
        <w:pStyle w:val="ListNumber"/>
        <w:spacing w:after="60"/>
        <w:ind w:left="173"/>
      </w:pPr>
      <w:r>
        <w:rPr>
          <w:sz w:val="19"/>
        </w:rPr>
        <w:t xml:space="preserve">[3] Next app prediction based on graph neural networks and self-attention enhancement, Scientific Reports (2025). </w:t>
      </w:r>
      <w:hyperlink r:id="rId12">
        <w:r>
          <w:rPr>
            <w:color w:val="1F4E79"/>
            <w:u w:val="single"/>
          </w:rPr>
          <w:t>Link</w:t>
        </w:r>
      </w:hyperlink>
    </w:p>
    <w:p>
      <w:pPr>
        <w:pStyle w:val="ListNumber"/>
        <w:spacing w:after="60"/>
        <w:ind w:left="173"/>
      </w:pPr>
      <w:r>
        <w:rPr>
          <w:sz w:val="19"/>
        </w:rPr>
        <w:t xml:space="preserve">[4] Appformer: A Novel Framework for Mobile App Usage Prediction Leveraging Progressive Multi-Modal Data Fusion and Feature Extraction (arXiv:2407.19414, 2024). </w:t>
      </w:r>
      <w:hyperlink r:id="rId13">
        <w:r>
          <w:rPr>
            <w:color w:val="1F4E79"/>
            <w:u w:val="single"/>
          </w:rPr>
          <w:t>Link</w:t>
        </w:r>
      </w:hyperlink>
    </w:p>
    <w:p>
      <w:pPr>
        <w:pStyle w:val="ListNumber"/>
        <w:spacing w:after="60"/>
        <w:ind w:left="173"/>
      </w:pPr>
      <w:r>
        <w:rPr>
          <w:sz w:val="19"/>
        </w:rPr>
        <w:t xml:space="preserve">[5] MAPLE: Mobile App Prediction Leveraging Large Language Model Embeddings, Proc. ACM IMWUT 8(1) (2024). </w:t>
      </w:r>
      <w:hyperlink r:id="rId14">
        <w:r>
          <w:rPr>
            <w:color w:val="1F4E79"/>
            <w:u w:val="single"/>
          </w:rPr>
          <w:t>Link</w:t>
        </w:r>
      </w:hyperlink>
    </w:p>
    <w:p>
      <w:pPr>
        <w:pStyle w:val="ListNumber"/>
        <w:spacing w:after="60"/>
        <w:ind w:left="173"/>
      </w:pPr>
      <w:r>
        <w:rPr>
          <w:sz w:val="19"/>
        </w:rPr>
        <w:t xml:space="preserve">[6] Predicting Mobile App Usage With Context-Aware Dynamic Hypergraphs, IEEE Transactions on Mobile Computing (2025). </w:t>
      </w:r>
      <w:hyperlink r:id="rId15">
        <w:r>
          <w:rPr>
            <w:color w:val="1F4E79"/>
            <w:u w:val="single"/>
          </w:rPr>
          <w:t>Link</w:t>
        </w:r>
      </w:hyperlink>
    </w:p>
    <w:p>
      <w:pPr>
        <w:pStyle w:val="ListNumber"/>
        <w:spacing w:after="60"/>
        <w:ind w:left="173"/>
      </w:pPr>
      <w:r>
        <w:rPr>
          <w:sz w:val="19"/>
        </w:rPr>
        <w:t xml:space="preserve">[7] Learning Dynamic App Usage Graph for Next Mobile App Recommendation, IEEE Transactions on Mobile Computing 22(8) (2023 publication surface; DOI 10.1109/TMC.2022.3161114). </w:t>
      </w:r>
      <w:hyperlink r:id="rId16">
        <w:r>
          <w:rPr>
            <w:color w:val="1F4E79"/>
            <w:u w:val="single"/>
          </w:rPr>
          <w:t>Link</w:t>
        </w:r>
      </w:hyperlink>
    </w:p>
    <w:p>
      <w:pPr>
        <w:pStyle w:val="ListNumber"/>
        <w:spacing w:after="60"/>
        <w:ind w:left="173"/>
      </w:pPr>
      <w:r>
        <w:rPr>
          <w:sz w:val="19"/>
        </w:rPr>
        <w:t xml:space="preserve">[8] ATPP: A Mobile App Prediction System Based on Deep Marked Temporal Point Processes, DCOSS (2021; later ACM surface 2023). </w:t>
      </w:r>
      <w:hyperlink r:id="rId17">
        <w:r>
          <w:rPr>
            <w:color w:val="1F4E79"/>
            <w:u w:val="single"/>
          </w:rPr>
          <w:t>Link</w:t>
        </w:r>
      </w:hyperlink>
    </w:p>
    <w:p>
      <w:pPr>
        <w:pStyle w:val="ListNumber"/>
        <w:spacing w:after="60"/>
        <w:ind w:left="173"/>
      </w:pPr>
      <w:r>
        <w:rPr>
          <w:sz w:val="19"/>
        </w:rPr>
        <w:t xml:space="preserve">[9] App usage on-the-move: Context- and commute-aware next app prediction, Pervasive and Mobile Computing 87 (2022). </w:t>
      </w:r>
      <w:hyperlink r:id="rId18">
        <w:r>
          <w:rPr>
            <w:color w:val="1F4E79"/>
            <w:u w:val="single"/>
          </w:rPr>
          <w:t>Link</w:t>
        </w:r>
      </w:hyperlink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arxiv.org/abs/2603.21653" TargetMode="External"/><Relationship Id="rId11" Type="http://schemas.openxmlformats.org/officeDocument/2006/relationships/hyperlink" Target="https://arxiv.org/abs/2502.16957" TargetMode="External"/><Relationship Id="rId12" Type="http://schemas.openxmlformats.org/officeDocument/2006/relationships/hyperlink" Target="https://www.nature.com/articles/s41598-025-05260-1" TargetMode="External"/><Relationship Id="rId13" Type="http://schemas.openxmlformats.org/officeDocument/2006/relationships/hyperlink" Target="https://arxiv.org/abs/2407.19414" TargetMode="External"/><Relationship Id="rId14" Type="http://schemas.openxmlformats.org/officeDocument/2006/relationships/hyperlink" Target="https://arxiv.org/abs/2309.08648" TargetMode="External"/><Relationship Id="rId15" Type="http://schemas.openxmlformats.org/officeDocument/2006/relationships/hyperlink" Target="https://dl.acm.org/doi/10.1109/TMC.2025.3532992" TargetMode="External"/><Relationship Id="rId16" Type="http://schemas.openxmlformats.org/officeDocument/2006/relationships/hyperlink" Target="https://www.computer.org/csdl/journal/tm/2023/08/09739893/1BWZffloPWU" TargetMode="External"/><Relationship Id="rId17" Type="http://schemas.openxmlformats.org/officeDocument/2006/relationships/hyperlink" Target="https://dl.acm.org/doi/10.1145/3582555" TargetMode="External"/><Relationship Id="rId18" Type="http://schemas.openxmlformats.org/officeDocument/2006/relationships/hyperlink" Target="https://doi.org/10.1016/j.pmcj.2022.1017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