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1AD2664" w14:textId="77777777" w:rsidR="00D30F4F" w:rsidRDefault="00D30F4F">
      <w:pPr>
        <w:pStyle w:val="Heading1"/>
        <w:rPr>
          <w:rFonts w:eastAsia="Times New Roman"/>
          <w:color w:val="111111"/>
          <w:lang w:val="en"/>
        </w:rPr>
      </w:pPr>
      <w:r>
        <w:rPr>
          <w:rFonts w:eastAsia="Times New Roman"/>
          <w:color w:val="111111"/>
          <w:lang w:val="en"/>
        </w:rPr>
        <w:t>TipJar: A Secure Solana Creator Economy Platform Using MPC-Assisted Threshold Signing, Atomic Revenue Splits, and Integrated Staking</w:t>
      </w:r>
    </w:p>
    <w:p w14:paraId="1AA6B122" w14:textId="77777777" w:rsidR="00D30F4F" w:rsidRDefault="00D30F4F">
      <w:pPr>
        <w:jc w:val="center"/>
        <w:divId w:val="783690197"/>
        <w:rPr>
          <w:rFonts w:eastAsia="Times New Roman"/>
          <w:color w:val="111111"/>
          <w:sz w:val="20"/>
          <w:szCs w:val="20"/>
          <w:lang w:val="en"/>
        </w:rPr>
      </w:pPr>
      <w:r>
        <w:rPr>
          <w:rFonts w:eastAsia="Times New Roman"/>
          <w:b/>
          <w:bCs/>
          <w:color w:val="111111"/>
          <w:sz w:val="22"/>
          <w:szCs w:val="22"/>
          <w:lang w:val="en"/>
        </w:rPr>
        <w:t>Author 1</w:t>
      </w:r>
      <w:r>
        <w:rPr>
          <w:rFonts w:eastAsia="Times New Roman"/>
          <w:color w:val="111111"/>
          <w:sz w:val="20"/>
          <w:szCs w:val="20"/>
          <w:lang w:val="en"/>
        </w:rPr>
        <w:t xml:space="preserve"> Department / Institution City, Country email@example.com</w:t>
      </w:r>
    </w:p>
    <w:p w14:paraId="07E620EC" w14:textId="77777777" w:rsidR="00D30F4F" w:rsidRDefault="00D30F4F">
      <w:pPr>
        <w:jc w:val="center"/>
        <w:divId w:val="1843810278"/>
        <w:rPr>
          <w:rFonts w:eastAsia="Times New Roman"/>
          <w:color w:val="111111"/>
          <w:sz w:val="20"/>
          <w:szCs w:val="20"/>
          <w:lang w:val="en"/>
        </w:rPr>
      </w:pPr>
      <w:r>
        <w:rPr>
          <w:rFonts w:eastAsia="Times New Roman"/>
          <w:b/>
          <w:bCs/>
          <w:color w:val="111111"/>
          <w:sz w:val="22"/>
          <w:szCs w:val="22"/>
          <w:lang w:val="en"/>
        </w:rPr>
        <w:t>Author 2</w:t>
      </w:r>
      <w:r>
        <w:rPr>
          <w:rFonts w:eastAsia="Times New Roman"/>
          <w:color w:val="111111"/>
          <w:sz w:val="20"/>
          <w:szCs w:val="20"/>
          <w:lang w:val="en"/>
        </w:rPr>
        <w:t xml:space="preserve"> Department / Institution City, Country email@example.com</w:t>
      </w:r>
    </w:p>
    <w:p w14:paraId="2289C0B9" w14:textId="77777777" w:rsidR="00D30F4F" w:rsidRDefault="00D30F4F">
      <w:pPr>
        <w:rPr>
          <w:rFonts w:eastAsia="Times New Roman"/>
          <w:color w:val="111111"/>
          <w:sz w:val="22"/>
          <w:szCs w:val="22"/>
          <w:lang w:val="en"/>
        </w:rPr>
      </w:pPr>
      <w:r>
        <w:rPr>
          <w:rStyle w:val="label1"/>
          <w:rFonts w:eastAsia="Times New Roman"/>
          <w:color w:val="111111"/>
          <w:sz w:val="22"/>
          <w:szCs w:val="22"/>
          <w:lang w:val="en"/>
        </w:rPr>
        <w:t>Abstract:</w:t>
      </w:r>
      <w:r>
        <w:rPr>
          <w:rFonts w:eastAsia="Times New Roman"/>
          <w:color w:val="111111"/>
          <w:sz w:val="22"/>
          <w:szCs w:val="22"/>
          <w:lang w:val="en"/>
        </w:rPr>
        <w:t xml:space="preserve"> </w:t>
      </w:r>
    </w:p>
    <w:p w14:paraId="19B33B85" w14:textId="77777777" w:rsidR="00D30F4F" w:rsidRDefault="00D30F4F">
      <w:pPr>
        <w:pStyle w:val="NormalWeb"/>
        <w:rPr>
          <w:color w:val="111111"/>
          <w:sz w:val="22"/>
          <w:szCs w:val="22"/>
          <w:lang w:val="en"/>
        </w:rPr>
      </w:pPr>
      <w:r>
        <w:rPr>
          <w:color w:val="111111"/>
          <w:sz w:val="22"/>
          <w:szCs w:val="22"/>
          <w:lang w:val="en"/>
        </w:rPr>
        <w:t>This paper presents TipJar, a full-stack prototype for creator monetization on Solana that combines wallet management, creator tipping, revenue-sharing, and staking within a unified application architecture. The project addresses a practical limitation in creator economy platforms: funds are often controlled by single-key wallets, payout splitting is handled off-chain or manually, and users are forced to move across disconnected interfaces for support, treasury management, and yield participation. TipJar pr</w:t>
      </w:r>
      <w:r>
        <w:rPr>
          <w:color w:val="111111"/>
          <w:sz w:val="22"/>
          <w:szCs w:val="22"/>
          <w:lang w:val="en"/>
        </w:rPr>
        <w:t>oposes a repository-validated design in which wallet provisioning and transaction authorization are mediated through a multi-party computation (MPC) inspired threshold-signing workflow, while creator payouts are executed as atomic multi-recipient Solana transfers. The system is implemented as a Turborepo monorepo with a Next.js frontend, Express-based backend services, Prisma-managed PostgreSQL databases, and a reusable TypeScript package for Solana MPC/TSS operations. In addition, the frontend integrates a</w:t>
      </w:r>
      <w:r>
        <w:rPr>
          <w:color w:val="111111"/>
          <w:sz w:val="22"/>
          <w:szCs w:val="22"/>
          <w:lang w:val="en"/>
        </w:rPr>
        <w:t xml:space="preserve"> staking terminal that interacts with an Anchor-compatible staking program, allowing the same user environment to support both creator payments and asset deployment. Our analysis shows that the project contributes a strong application-level orchestration pattern for secure creator payments, especially through lamport-precise split calculation and unified wallet abstraction. At the same time, the current repository should be understood as a prototype rather than a production-grade threshold cryptography depl</w:t>
      </w:r>
      <w:r>
        <w:rPr>
          <w:color w:val="111111"/>
          <w:sz w:val="22"/>
          <w:szCs w:val="22"/>
          <w:lang w:val="en"/>
        </w:rPr>
        <w:t>oyment, because several cryptographic and operational components remain simplified. The paper therefore contributes both a system design and a critical implementation analysis suitable for future academic or product refinement.</w:t>
      </w:r>
    </w:p>
    <w:p w14:paraId="0BFF2DA5" w14:textId="77777777" w:rsidR="00D30F4F" w:rsidRDefault="00D30F4F">
      <w:pPr>
        <w:rPr>
          <w:rFonts w:eastAsia="Times New Roman"/>
          <w:color w:val="111111"/>
          <w:sz w:val="22"/>
          <w:szCs w:val="22"/>
          <w:lang w:val="en"/>
        </w:rPr>
      </w:pPr>
      <w:r>
        <w:rPr>
          <w:rStyle w:val="label1"/>
          <w:rFonts w:eastAsia="Times New Roman"/>
          <w:color w:val="111111"/>
          <w:sz w:val="22"/>
          <w:szCs w:val="22"/>
          <w:lang w:val="en"/>
        </w:rPr>
        <w:t>Index Terms:</w:t>
      </w:r>
      <w:r>
        <w:rPr>
          <w:rFonts w:eastAsia="Times New Roman"/>
          <w:color w:val="111111"/>
          <w:sz w:val="22"/>
          <w:szCs w:val="22"/>
          <w:lang w:val="en"/>
        </w:rPr>
        <w:t xml:space="preserve"> </w:t>
      </w:r>
    </w:p>
    <w:p w14:paraId="5786BBA0" w14:textId="77777777" w:rsidR="00D30F4F" w:rsidRDefault="00D30F4F">
      <w:pPr>
        <w:pStyle w:val="NormalWeb"/>
        <w:rPr>
          <w:color w:val="111111"/>
          <w:sz w:val="22"/>
          <w:szCs w:val="22"/>
          <w:lang w:val="en"/>
        </w:rPr>
      </w:pPr>
      <w:r>
        <w:rPr>
          <w:color w:val="111111"/>
          <w:sz w:val="22"/>
          <w:szCs w:val="22"/>
          <w:lang w:val="en"/>
        </w:rPr>
        <w:t>Solana, creator economy, multi-party computation, threshold signatures, wallet security, atomic payouts, staking, Web3 applications</w:t>
      </w:r>
    </w:p>
    <w:p w14:paraId="2D7B1469" w14:textId="77777777" w:rsidR="00D8027F" w:rsidRDefault="00D8027F">
      <w:pPr>
        <w:pStyle w:val="Heading2"/>
        <w:rPr>
          <w:rFonts w:eastAsia="Times New Roman"/>
          <w:color w:val="111111"/>
          <w:lang w:val="en"/>
        </w:rPr>
        <w:sectPr w:rsidR="00D8027F">
          <w:pgSz w:w="12240" w:h="15840"/>
          <w:pgMar w:top="1440" w:right="1440" w:bottom="1440" w:left="1440" w:header="720" w:footer="720" w:gutter="0"/>
          <w:cols w:space="720"/>
          <w:docGrid w:linePitch="360"/>
        </w:sectPr>
      </w:pPr>
    </w:p>
    <w:p w14:paraId="66D8DB2A" w14:textId="77777777" w:rsidR="00D30F4F" w:rsidRDefault="00D30F4F">
      <w:pPr>
        <w:pStyle w:val="Heading2"/>
        <w:rPr>
          <w:rFonts w:eastAsia="Times New Roman"/>
          <w:color w:val="111111"/>
          <w:lang w:val="en"/>
        </w:rPr>
      </w:pPr>
      <w:r>
        <w:rPr>
          <w:rFonts w:eastAsia="Times New Roman"/>
          <w:color w:val="111111"/>
          <w:lang w:val="en"/>
        </w:rPr>
        <w:t>I. Introduction</w:t>
      </w:r>
    </w:p>
    <w:p w14:paraId="285CC5A2" w14:textId="77777777" w:rsidR="00D30F4F" w:rsidRDefault="00D30F4F">
      <w:pPr>
        <w:pStyle w:val="NormalWeb"/>
        <w:rPr>
          <w:color w:val="111111"/>
          <w:sz w:val="22"/>
          <w:szCs w:val="22"/>
          <w:lang w:val="en"/>
        </w:rPr>
      </w:pPr>
      <w:r>
        <w:rPr>
          <w:color w:val="111111"/>
          <w:sz w:val="22"/>
          <w:szCs w:val="22"/>
          <w:lang w:val="en"/>
        </w:rPr>
        <w:t>Blockchain-based creator platforms promise transparent payments, direct audience support, and programmable revenue distribution. In practice, however, most implementations still rely on single private keys, manual payout coordination, and fragmented user experiences. These gaps reduce trust and usability, especially for creators who collaborate with managers, editors, and co-producers that expect automated and verifiable revenue distribution.</w:t>
      </w:r>
    </w:p>
    <w:p w14:paraId="0A16967F" w14:textId="77777777" w:rsidR="00D30F4F" w:rsidRDefault="00D30F4F">
      <w:pPr>
        <w:pStyle w:val="NormalWeb"/>
        <w:rPr>
          <w:color w:val="111111"/>
          <w:sz w:val="22"/>
          <w:szCs w:val="22"/>
          <w:lang w:val="en"/>
        </w:rPr>
      </w:pPr>
      <w:r>
        <w:rPr>
          <w:color w:val="111111"/>
          <w:sz w:val="22"/>
          <w:szCs w:val="22"/>
          <w:lang w:val="en"/>
        </w:rPr>
        <w:t>TipJar was designed to address these issues through a unified Solana application that supports four high-value workflows: secure wallet creation, creator tipping, multi-recipient payout distribution, and staking-based asset deployment. Instead of exposing a single wallet key to one service, the system separates wallet responsibility across backend and MPC-oriented services. Instead of transferring a tip to only one recipient and reconciling splits later, the platform calculates a platform fee and collaborat</w:t>
      </w:r>
      <w:r>
        <w:rPr>
          <w:color w:val="111111"/>
          <w:sz w:val="22"/>
          <w:szCs w:val="22"/>
          <w:lang w:val="en"/>
        </w:rPr>
        <w:t>or shares in lamports, then constructs a single atomic on-chain transaction. Instead of forcing users to switch platforms for treasury activity, the application also exposes a staking dashboard tied to an Anchor-compatible program interface.</w:t>
      </w:r>
    </w:p>
    <w:p w14:paraId="1F9833EC" w14:textId="77777777" w:rsidR="00D30F4F" w:rsidRDefault="00D30F4F">
      <w:pPr>
        <w:pStyle w:val="NormalWeb"/>
        <w:rPr>
          <w:color w:val="111111"/>
          <w:sz w:val="22"/>
          <w:szCs w:val="22"/>
          <w:lang w:val="en"/>
        </w:rPr>
      </w:pPr>
      <w:r>
        <w:rPr>
          <w:color w:val="111111"/>
          <w:sz w:val="22"/>
          <w:szCs w:val="22"/>
          <w:lang w:val="en"/>
        </w:rPr>
        <w:t xml:space="preserve">The central contribution of this work is not merely the existence of these features, but the way they are composed into a coherent, developer-operable architecture. The repository shows a clear attempt to combine application security, creator monetization logic, and Web3 usability in one system. This paper </w:t>
      </w:r>
      <w:r>
        <w:rPr>
          <w:color w:val="111111"/>
          <w:sz w:val="22"/>
          <w:szCs w:val="22"/>
          <w:lang w:val="en"/>
        </w:rPr>
        <w:lastRenderedPageBreak/>
        <w:t>analyzes that design, explains its workflow, evaluates its prototype maturity, and identifies the changes required to move from hackathon-quality innovation toward publishable and deployable infrastructure.</w:t>
      </w:r>
    </w:p>
    <w:p w14:paraId="2D0C978A" w14:textId="77777777" w:rsidR="00D30F4F" w:rsidRDefault="00D30F4F">
      <w:pPr>
        <w:pStyle w:val="Heading2"/>
        <w:rPr>
          <w:rFonts w:eastAsia="Times New Roman"/>
          <w:color w:val="111111"/>
          <w:lang w:val="en"/>
        </w:rPr>
      </w:pPr>
      <w:r>
        <w:rPr>
          <w:rFonts w:eastAsia="Times New Roman"/>
          <w:color w:val="111111"/>
          <w:lang w:val="en"/>
        </w:rPr>
        <w:t>II. Problem Statement and Motivation</w:t>
      </w:r>
    </w:p>
    <w:p w14:paraId="571E4274" w14:textId="77777777" w:rsidR="00D30F4F" w:rsidRDefault="00D30F4F">
      <w:pPr>
        <w:pStyle w:val="NormalWeb"/>
        <w:rPr>
          <w:color w:val="111111"/>
          <w:sz w:val="22"/>
          <w:szCs w:val="22"/>
          <w:lang w:val="en"/>
        </w:rPr>
      </w:pPr>
      <w:r>
        <w:rPr>
          <w:color w:val="111111"/>
          <w:sz w:val="22"/>
          <w:szCs w:val="22"/>
          <w:lang w:val="en"/>
        </w:rPr>
        <w:t>The target problem is the secure management of creator-directed payments in a decentralized environment. Conventional creator platforms suffer from at least three shortcomings.</w:t>
      </w:r>
    </w:p>
    <w:p w14:paraId="3EE83442" w14:textId="77777777" w:rsidR="00D30F4F" w:rsidRDefault="00D30F4F">
      <w:pPr>
        <w:pStyle w:val="NormalWeb"/>
        <w:rPr>
          <w:color w:val="111111"/>
          <w:sz w:val="22"/>
          <w:szCs w:val="22"/>
          <w:lang w:val="en"/>
        </w:rPr>
      </w:pPr>
      <w:r>
        <w:rPr>
          <w:color w:val="111111"/>
          <w:sz w:val="22"/>
          <w:szCs w:val="22"/>
          <w:lang w:val="en"/>
        </w:rPr>
        <w:t>First, custodial or single-key wallet models introduce key concentration risk. If one server, device, or operator is compromised, assets become vulnerable. Second, creator teams frequently require split payments among multiple parties, but many systems handle these splits off-chain, increasing accounting overhead and trust assumptions. Third, user journeys across discovery, payment, wallet management, and staking are often fragmented, weakening adoption even when the underlying blockchain capabilities are s</w:t>
      </w:r>
      <w:r>
        <w:rPr>
          <w:color w:val="111111"/>
          <w:sz w:val="22"/>
          <w:szCs w:val="22"/>
          <w:lang w:val="en"/>
        </w:rPr>
        <w:t>trong.</w:t>
      </w:r>
    </w:p>
    <w:p w14:paraId="6D2992D4" w14:textId="77777777" w:rsidR="00D30F4F" w:rsidRDefault="00D30F4F">
      <w:pPr>
        <w:pStyle w:val="NormalWeb"/>
        <w:rPr>
          <w:color w:val="111111"/>
          <w:sz w:val="22"/>
          <w:szCs w:val="22"/>
          <w:lang w:val="en"/>
        </w:rPr>
      </w:pPr>
      <w:r>
        <w:rPr>
          <w:color w:val="111111"/>
          <w:sz w:val="22"/>
          <w:szCs w:val="22"/>
          <w:lang w:val="en"/>
        </w:rPr>
        <w:t>TipJar responds by treating creator support as a systems problem rather than only a payment problem. The project attempts to secure wallet authority, minimize payout friction, preserve on-chain transparency, and offer a modern interface that lowers cognitive overhead for creators and supporters.</w:t>
      </w:r>
    </w:p>
    <w:p w14:paraId="6EF2BA76" w14:textId="77777777" w:rsidR="00D30F4F" w:rsidRDefault="00D30F4F">
      <w:pPr>
        <w:pStyle w:val="Heading2"/>
        <w:rPr>
          <w:rFonts w:eastAsia="Times New Roman"/>
          <w:color w:val="111111"/>
          <w:lang w:val="en"/>
        </w:rPr>
      </w:pPr>
      <w:r>
        <w:rPr>
          <w:rFonts w:eastAsia="Times New Roman"/>
          <w:color w:val="111111"/>
          <w:lang w:val="en"/>
        </w:rPr>
        <w:t>III. System Architecture</w:t>
      </w:r>
    </w:p>
    <w:p w14:paraId="70E82CFC" w14:textId="77777777" w:rsidR="00D30F4F" w:rsidRDefault="00D30F4F">
      <w:pPr>
        <w:pStyle w:val="NormalWeb"/>
        <w:rPr>
          <w:color w:val="111111"/>
          <w:sz w:val="22"/>
          <w:szCs w:val="22"/>
          <w:lang w:val="en"/>
        </w:rPr>
      </w:pPr>
      <w:r>
        <w:rPr>
          <w:color w:val="111111"/>
          <w:sz w:val="22"/>
          <w:szCs w:val="22"/>
          <w:lang w:val="en"/>
        </w:rPr>
        <w:t>The repository is organized as a monorepo with multiple apps and shared packages. This separation is important because it maps cleanly onto the paper's system model.</w:t>
      </w:r>
    </w:p>
    <w:p w14:paraId="1612C3F3" w14:textId="77777777" w:rsidR="00D30F4F" w:rsidRDefault="00D30F4F">
      <w:pPr>
        <w:pStyle w:val="Heading3"/>
        <w:rPr>
          <w:rFonts w:eastAsia="Times New Roman"/>
          <w:color w:val="111111"/>
          <w:lang w:val="en"/>
        </w:rPr>
      </w:pPr>
      <w:r>
        <w:rPr>
          <w:rFonts w:eastAsia="Times New Roman"/>
          <w:color w:val="111111"/>
          <w:lang w:val="en"/>
        </w:rPr>
        <w:t>A. Frontend Layer</w:t>
      </w:r>
    </w:p>
    <w:p w14:paraId="68F3F341" w14:textId="77777777" w:rsidR="00D30F4F" w:rsidRDefault="00D30F4F">
      <w:pPr>
        <w:pStyle w:val="NormalWeb"/>
        <w:rPr>
          <w:color w:val="111111"/>
          <w:sz w:val="22"/>
          <w:szCs w:val="22"/>
          <w:lang w:val="en"/>
        </w:rPr>
      </w:pPr>
      <w:r>
        <w:rPr>
          <w:color w:val="111111"/>
          <w:sz w:val="22"/>
          <w:szCs w:val="22"/>
          <w:lang w:val="en"/>
        </w:rPr>
        <w:t>The frontend is implemented in Next.js and provides authenticated user flows for landing, sign-in, creator discovery, creator profile exploration, tipping, wallet management, transaction history, and staking. The interface positions secure wallet operations behind a user-friendly dashboard abstraction rather than exposing low-level transaction tooling. This is especially visible in the creator dashboard, wallet page, and staking terminal, which collectively treat Web3 actions as application tasks instead of</w:t>
      </w:r>
      <w:r>
        <w:rPr>
          <w:color w:val="111111"/>
          <w:sz w:val="22"/>
          <w:szCs w:val="22"/>
          <w:lang w:val="en"/>
        </w:rPr>
        <w:t xml:space="preserve"> raw cryptographic events.</w:t>
      </w:r>
    </w:p>
    <w:p w14:paraId="71C7E45E" w14:textId="77777777" w:rsidR="00D30F4F" w:rsidRDefault="00D30F4F">
      <w:pPr>
        <w:pStyle w:val="Heading3"/>
        <w:rPr>
          <w:rFonts w:eastAsia="Times New Roman"/>
          <w:color w:val="111111"/>
          <w:lang w:val="en"/>
        </w:rPr>
      </w:pPr>
      <w:r>
        <w:rPr>
          <w:rFonts w:eastAsia="Times New Roman"/>
          <w:color w:val="111111"/>
          <w:lang w:val="en"/>
        </w:rPr>
        <w:t>B. Application Backend</w:t>
      </w:r>
    </w:p>
    <w:p w14:paraId="1C90EF99" w14:textId="77777777" w:rsidR="00D30F4F" w:rsidRDefault="00D30F4F">
      <w:pPr>
        <w:pStyle w:val="NormalWeb"/>
        <w:rPr>
          <w:color w:val="111111"/>
          <w:sz w:val="22"/>
          <w:szCs w:val="22"/>
          <w:lang w:val="en"/>
        </w:rPr>
      </w:pPr>
      <w:r>
        <w:rPr>
          <w:color w:val="111111"/>
          <w:sz w:val="22"/>
          <w:szCs w:val="22"/>
          <w:lang w:val="en"/>
        </w:rPr>
        <w:t>The primary backend is an Express service that manages authentication, profile operations, creator listing, tip orchestration, wallet inspection, transaction history retrieval, and administrative creator setup. It also computes payout distributions and coordinates multi-step signing with MPC servers. JWT-based middleware separates regular user access from admin routes.</w:t>
      </w:r>
    </w:p>
    <w:p w14:paraId="7F448763" w14:textId="77777777" w:rsidR="00D30F4F" w:rsidRDefault="00D30F4F">
      <w:pPr>
        <w:pStyle w:val="Heading3"/>
        <w:rPr>
          <w:rFonts w:eastAsia="Times New Roman"/>
          <w:color w:val="111111"/>
          <w:lang w:val="en"/>
        </w:rPr>
      </w:pPr>
      <w:r>
        <w:rPr>
          <w:rFonts w:eastAsia="Times New Roman"/>
          <w:color w:val="111111"/>
          <w:lang w:val="en"/>
        </w:rPr>
        <w:t>C. MPC-Oriented Backend Node</w:t>
      </w:r>
    </w:p>
    <w:p w14:paraId="030AD3C2" w14:textId="77777777" w:rsidR="00D30F4F" w:rsidRDefault="00D30F4F">
      <w:pPr>
        <w:pStyle w:val="NormalWeb"/>
        <w:rPr>
          <w:color w:val="111111"/>
          <w:sz w:val="22"/>
          <w:szCs w:val="22"/>
          <w:lang w:val="en"/>
        </w:rPr>
      </w:pPr>
      <w:r>
        <w:rPr>
          <w:color w:val="111111"/>
          <w:sz w:val="22"/>
          <w:szCs w:val="22"/>
          <w:lang w:val="en"/>
        </w:rPr>
        <w:t>A separate backend service stores one key share per user and participates in signing workflows. During user creation, this service generates a participant keypair and persists the corresponding share. During transfer or tipping requests, it produces step-one nonce material and step-two partial signatures for the parent service to aggregate.</w:t>
      </w:r>
    </w:p>
    <w:p w14:paraId="516A7771" w14:textId="77777777" w:rsidR="00D30F4F" w:rsidRDefault="00D30F4F">
      <w:pPr>
        <w:pStyle w:val="Heading3"/>
        <w:rPr>
          <w:rFonts w:eastAsia="Times New Roman"/>
          <w:color w:val="111111"/>
          <w:lang w:val="en"/>
        </w:rPr>
      </w:pPr>
      <w:r>
        <w:rPr>
          <w:rFonts w:eastAsia="Times New Roman"/>
          <w:color w:val="111111"/>
          <w:lang w:val="en"/>
        </w:rPr>
        <w:t>D. Shared Libraries and Data Layer</w:t>
      </w:r>
    </w:p>
    <w:p w14:paraId="7C750C35" w14:textId="77777777" w:rsidR="00D30F4F" w:rsidRDefault="00D30F4F">
      <w:pPr>
        <w:pStyle w:val="NormalWeb"/>
        <w:rPr>
          <w:color w:val="111111"/>
          <w:sz w:val="22"/>
          <w:szCs w:val="22"/>
          <w:lang w:val="en"/>
        </w:rPr>
      </w:pPr>
      <w:r>
        <w:rPr>
          <w:color w:val="111111"/>
          <w:sz w:val="22"/>
          <w:szCs w:val="22"/>
          <w:lang w:val="en"/>
        </w:rPr>
        <w:t xml:space="preserve">The monorepo includes shared validation schemas, Solana configuration, database packages, and a reusable </w:t>
      </w:r>
      <w:r>
        <w:rPr>
          <w:rStyle w:val="HTMLCode"/>
          <w:color w:val="111111"/>
          <w:lang w:val="en"/>
        </w:rPr>
        <w:t>solana-mpc-tss</w:t>
      </w:r>
      <w:r>
        <w:rPr>
          <w:color w:val="111111"/>
          <w:sz w:val="22"/>
          <w:szCs w:val="22"/>
          <w:lang w:val="en"/>
        </w:rPr>
        <w:t xml:space="preserve"> package. Prisma is used for the main application database and the separate key-share database. This split is architecturally meaningful because it reduces direct coupling between user metadata and MPC share storage. The main database stores user identities, creator roles, tip history, and revenue split rules, while the MPC database stores key-share material required for signing participation.</w:t>
      </w:r>
    </w:p>
    <w:p w14:paraId="31623C26" w14:textId="77777777" w:rsidR="00D30F4F" w:rsidRDefault="00D30F4F">
      <w:pPr>
        <w:pStyle w:val="Heading2"/>
        <w:rPr>
          <w:rFonts w:eastAsia="Times New Roman"/>
          <w:color w:val="111111"/>
          <w:lang w:val="en"/>
        </w:rPr>
      </w:pPr>
      <w:r>
        <w:rPr>
          <w:rFonts w:eastAsia="Times New Roman"/>
          <w:color w:val="111111"/>
          <w:lang w:val="en"/>
        </w:rPr>
        <w:t>IV. Methodology and Transaction Workflow</w:t>
      </w:r>
    </w:p>
    <w:p w14:paraId="20AA510D" w14:textId="77777777" w:rsidR="00D30F4F" w:rsidRDefault="00D30F4F">
      <w:pPr>
        <w:pStyle w:val="NormalWeb"/>
        <w:rPr>
          <w:color w:val="111111"/>
          <w:sz w:val="22"/>
          <w:szCs w:val="22"/>
          <w:lang w:val="en"/>
        </w:rPr>
      </w:pPr>
      <w:r>
        <w:rPr>
          <w:color w:val="111111"/>
          <w:sz w:val="22"/>
          <w:szCs w:val="22"/>
          <w:lang w:val="en"/>
        </w:rPr>
        <w:t>This section describes how TipJar implements its principal workflows.</w:t>
      </w:r>
    </w:p>
    <w:p w14:paraId="40F431FF" w14:textId="77777777" w:rsidR="00D30F4F" w:rsidRDefault="00D30F4F">
      <w:pPr>
        <w:pStyle w:val="Heading3"/>
        <w:rPr>
          <w:rFonts w:eastAsia="Times New Roman"/>
          <w:color w:val="111111"/>
          <w:lang w:val="en"/>
        </w:rPr>
      </w:pPr>
      <w:r>
        <w:rPr>
          <w:rFonts w:eastAsia="Times New Roman"/>
          <w:color w:val="111111"/>
          <w:lang w:val="en"/>
        </w:rPr>
        <w:lastRenderedPageBreak/>
        <w:t>A. Wallet Provisioning</w:t>
      </w:r>
    </w:p>
    <w:p w14:paraId="732EC80B" w14:textId="77777777" w:rsidR="00D30F4F" w:rsidRDefault="00D30F4F">
      <w:pPr>
        <w:pStyle w:val="NormalWeb"/>
        <w:rPr>
          <w:color w:val="111111"/>
          <w:sz w:val="22"/>
          <w:szCs w:val="22"/>
          <w:lang w:val="en"/>
        </w:rPr>
      </w:pPr>
      <w:r>
        <w:rPr>
          <w:color w:val="111111"/>
          <w:sz w:val="22"/>
          <w:szCs w:val="22"/>
          <w:lang w:val="en"/>
        </w:rPr>
        <w:t xml:space="preserve">Administrative user creation initiates wallet provisioning. The backend creates a user record, then sends a </w:t>
      </w:r>
      <w:r>
        <w:rPr>
          <w:rStyle w:val="HTMLCode"/>
          <w:color w:val="111111"/>
          <w:lang w:val="en"/>
        </w:rPr>
        <w:t>create-user</w:t>
      </w:r>
      <w:r>
        <w:rPr>
          <w:color w:val="111111"/>
          <w:sz w:val="22"/>
          <w:szCs w:val="22"/>
          <w:lang w:val="en"/>
        </w:rPr>
        <w:t xml:space="preserve"> request to the configured MPC server set. Each node generates a participant keypair and stores a secret share. The backend aggregates the returned public keys into a single user-facing public key and stores it in the primary user record. In the current repository, a devnet airdrop is attempted after wallet setup to simplify testing and onboarding.</w:t>
      </w:r>
    </w:p>
    <w:p w14:paraId="64BD47FA" w14:textId="77777777" w:rsidR="00D30F4F" w:rsidRDefault="00D30F4F">
      <w:pPr>
        <w:pStyle w:val="NormalWeb"/>
        <w:rPr>
          <w:color w:val="111111"/>
          <w:sz w:val="22"/>
          <w:szCs w:val="22"/>
          <w:lang w:val="en"/>
        </w:rPr>
      </w:pPr>
      <w:r>
        <w:rPr>
          <w:color w:val="111111"/>
          <w:sz w:val="22"/>
          <w:szCs w:val="22"/>
          <w:lang w:val="en"/>
        </w:rPr>
        <w:t>This flow is valuable because it embeds wallet creation into identity provisioning. Users do not separately create and import wallets; the platform provisions a secure-feeling wallet abstraction as part of account lifecycle management.</w:t>
      </w:r>
    </w:p>
    <w:p w14:paraId="4C7F36EF" w14:textId="77777777" w:rsidR="00D30F4F" w:rsidRDefault="00D30F4F">
      <w:pPr>
        <w:pStyle w:val="Heading3"/>
        <w:rPr>
          <w:rFonts w:eastAsia="Times New Roman"/>
          <w:color w:val="111111"/>
          <w:lang w:val="en"/>
        </w:rPr>
      </w:pPr>
      <w:r>
        <w:rPr>
          <w:rFonts w:eastAsia="Times New Roman"/>
          <w:color w:val="111111"/>
          <w:lang w:val="en"/>
        </w:rPr>
        <w:t>B. Atomic Tipping With Revenue Splits</w:t>
      </w:r>
    </w:p>
    <w:p w14:paraId="476B44FE" w14:textId="77777777" w:rsidR="00D30F4F" w:rsidRDefault="00D30F4F">
      <w:pPr>
        <w:pStyle w:val="NormalWeb"/>
        <w:rPr>
          <w:color w:val="111111"/>
          <w:sz w:val="22"/>
          <w:szCs w:val="22"/>
          <w:lang w:val="en"/>
        </w:rPr>
      </w:pPr>
      <w:r>
        <w:rPr>
          <w:color w:val="111111"/>
          <w:sz w:val="22"/>
          <w:szCs w:val="22"/>
          <w:lang w:val="en"/>
        </w:rPr>
        <w:t>The most technically interesting workflow in the project is creator tipping. When a fan submits a tip, the backend retrieves the sender, the target creator, and any collaborator split rules. The total amount is converted into lamports, the platform fee is deducted, and remaining funds are distributed across collaborators and the creator. Importantly, the code explicitly handles rounding dust by assigning the remainder to the creator. This prevents inconsistent arithmetic and strengthens accounting determini</w:t>
      </w:r>
      <w:r>
        <w:rPr>
          <w:color w:val="111111"/>
          <w:sz w:val="22"/>
          <w:szCs w:val="22"/>
          <w:lang w:val="en"/>
        </w:rPr>
        <w:t>sm.</w:t>
      </w:r>
    </w:p>
    <w:p w14:paraId="794299C3" w14:textId="77777777" w:rsidR="00D30F4F" w:rsidRDefault="00D30F4F">
      <w:pPr>
        <w:pStyle w:val="NormalWeb"/>
        <w:rPr>
          <w:color w:val="111111"/>
          <w:sz w:val="22"/>
          <w:szCs w:val="22"/>
          <w:lang w:val="en"/>
        </w:rPr>
      </w:pPr>
      <w:r>
        <w:rPr>
          <w:color w:val="111111"/>
          <w:sz w:val="22"/>
          <w:szCs w:val="22"/>
          <w:lang w:val="en"/>
        </w:rPr>
        <w:t>After payout computation, the backend initiates a two-step signing workflow across MPC servers. In step one, each server creates nonce-related data for the same transaction context. In step two, each server generates a partial signature using its stored share and the aggregated public nonce set. The backend then aggregates the returned signatures and broadcasts one multi-recipient Solana transaction. Finally, a tip record with the resulting transaction signature is persisted in the database.</w:t>
      </w:r>
    </w:p>
    <w:p w14:paraId="0B11D7B6" w14:textId="77777777" w:rsidR="00D30F4F" w:rsidRDefault="00D30F4F">
      <w:pPr>
        <w:pStyle w:val="NormalWeb"/>
        <w:rPr>
          <w:color w:val="111111"/>
          <w:sz w:val="22"/>
          <w:szCs w:val="22"/>
          <w:lang w:val="en"/>
        </w:rPr>
      </w:pPr>
      <w:r>
        <w:rPr>
          <w:color w:val="111111"/>
          <w:sz w:val="22"/>
          <w:szCs w:val="22"/>
          <w:lang w:val="en"/>
        </w:rPr>
        <w:t>This design is significant because it achieves platform fee extraction, collaborator compensation, and creator payment in a single on-chain action. Compared with manual post-settlement sharing, this approach improves transparency, reduces operational latency, and removes a major trust bottleneck.</w:t>
      </w:r>
    </w:p>
    <w:p w14:paraId="468D1CFC" w14:textId="77777777" w:rsidR="00D30F4F" w:rsidRDefault="00D30F4F">
      <w:pPr>
        <w:pStyle w:val="Heading3"/>
        <w:rPr>
          <w:rFonts w:eastAsia="Times New Roman"/>
          <w:color w:val="111111"/>
          <w:lang w:val="en"/>
        </w:rPr>
      </w:pPr>
      <w:r>
        <w:rPr>
          <w:rFonts w:eastAsia="Times New Roman"/>
          <w:color w:val="111111"/>
          <w:lang w:val="en"/>
        </w:rPr>
        <w:t>C. General Wallet Transfer</w:t>
      </w:r>
    </w:p>
    <w:p w14:paraId="2E9DCE68" w14:textId="77777777" w:rsidR="00D30F4F" w:rsidRDefault="00D30F4F">
      <w:pPr>
        <w:pStyle w:val="NormalWeb"/>
        <w:rPr>
          <w:color w:val="111111"/>
          <w:sz w:val="22"/>
          <w:szCs w:val="22"/>
          <w:lang w:val="en"/>
        </w:rPr>
      </w:pPr>
      <w:r>
        <w:rPr>
          <w:color w:val="111111"/>
          <w:sz w:val="22"/>
          <w:szCs w:val="22"/>
          <w:lang w:val="en"/>
        </w:rPr>
        <w:t>The wallet page exposes a general transfer flow using the same two-step signing model. This demonstrates that the system is not limited to creator tipping; rather, tipping is one domain-specific transaction pattern built on top of a broader wallet orchestration layer.</w:t>
      </w:r>
    </w:p>
    <w:p w14:paraId="770443F8" w14:textId="77777777" w:rsidR="00D30F4F" w:rsidRDefault="00D30F4F">
      <w:pPr>
        <w:pStyle w:val="Heading3"/>
        <w:rPr>
          <w:rFonts w:eastAsia="Times New Roman"/>
          <w:color w:val="111111"/>
          <w:lang w:val="en"/>
        </w:rPr>
      </w:pPr>
      <w:r>
        <w:rPr>
          <w:rFonts w:eastAsia="Times New Roman"/>
          <w:color w:val="111111"/>
          <w:lang w:val="en"/>
        </w:rPr>
        <w:t>D. Integrated Staking</w:t>
      </w:r>
    </w:p>
    <w:p w14:paraId="79B07947" w14:textId="77777777" w:rsidR="00D30F4F" w:rsidRDefault="00D30F4F">
      <w:pPr>
        <w:pStyle w:val="NormalWeb"/>
        <w:rPr>
          <w:color w:val="111111"/>
          <w:sz w:val="22"/>
          <w:szCs w:val="22"/>
          <w:lang w:val="en"/>
        </w:rPr>
      </w:pPr>
      <w:r>
        <w:rPr>
          <w:color w:val="111111"/>
          <w:sz w:val="22"/>
          <w:szCs w:val="22"/>
          <w:lang w:val="en"/>
        </w:rPr>
        <w:t>TipJar also includes a staking terminal on the frontend. The staking hooks interact with an Anchor-compatible program interface to fetch pool state, user stake state, reward balances, and to submit stake, unstake, withdraw, and reward-claim actions. This broadens the platform from a payment application into a lightweight treasury interface, allowing users to hold, transfer, and deploy assets from one environment.</w:t>
      </w:r>
    </w:p>
    <w:p w14:paraId="02298020" w14:textId="77777777" w:rsidR="00D30F4F" w:rsidRDefault="00D30F4F">
      <w:pPr>
        <w:pStyle w:val="Heading2"/>
        <w:rPr>
          <w:rFonts w:eastAsia="Times New Roman"/>
          <w:color w:val="111111"/>
          <w:lang w:val="en"/>
        </w:rPr>
      </w:pPr>
      <w:r>
        <w:rPr>
          <w:rFonts w:eastAsia="Times New Roman"/>
          <w:color w:val="111111"/>
          <w:lang w:val="en"/>
        </w:rPr>
        <w:t>V. Prototype Evaluation</w:t>
      </w:r>
    </w:p>
    <w:p w14:paraId="0D24EB53" w14:textId="77777777" w:rsidR="00D30F4F" w:rsidRDefault="00D30F4F">
      <w:pPr>
        <w:pStyle w:val="NormalWeb"/>
        <w:rPr>
          <w:color w:val="111111"/>
          <w:sz w:val="22"/>
          <w:szCs w:val="22"/>
          <w:lang w:val="en"/>
        </w:rPr>
      </w:pPr>
      <w:r>
        <w:rPr>
          <w:color w:val="111111"/>
          <w:sz w:val="22"/>
          <w:szCs w:val="22"/>
          <w:lang w:val="en"/>
        </w:rPr>
        <w:t>The present work evaluates TipJar as an implementation-backed prototype rather than as a completed production deployment. The evaluation is therefore based on repository analysis, architectural inspection, and available unit tests.</w:t>
      </w:r>
    </w:p>
    <w:p w14:paraId="5C647C43" w14:textId="77777777" w:rsidR="00D30F4F" w:rsidRDefault="00D30F4F">
      <w:pPr>
        <w:pStyle w:val="Heading3"/>
        <w:rPr>
          <w:rFonts w:eastAsia="Times New Roman"/>
          <w:color w:val="111111"/>
          <w:lang w:val="en"/>
        </w:rPr>
      </w:pPr>
      <w:r>
        <w:rPr>
          <w:rFonts w:eastAsia="Times New Roman"/>
          <w:color w:val="111111"/>
          <w:lang w:val="en"/>
        </w:rPr>
        <w:t>A. Functional Coverage</w:t>
      </w:r>
    </w:p>
    <w:p w14:paraId="15FFEE26" w14:textId="77777777" w:rsidR="00D30F4F" w:rsidRDefault="00D30F4F">
      <w:pPr>
        <w:pStyle w:val="NormalWeb"/>
        <w:rPr>
          <w:color w:val="111111"/>
          <w:sz w:val="22"/>
          <w:szCs w:val="22"/>
          <w:lang w:val="en"/>
        </w:rPr>
      </w:pPr>
      <w:r>
        <w:rPr>
          <w:color w:val="111111"/>
          <w:sz w:val="22"/>
          <w:szCs w:val="22"/>
          <w:lang w:val="en"/>
        </w:rPr>
        <w:t>The repository demonstrates end-to-end support for:</w:t>
      </w:r>
    </w:p>
    <w:p w14:paraId="165FEDDE" w14:textId="77777777" w:rsidR="00D30F4F" w:rsidRDefault="00D30F4F">
      <w:pPr>
        <w:numPr>
          <w:ilvl w:val="0"/>
          <w:numId w:val="1"/>
        </w:numPr>
        <w:spacing w:after="68"/>
        <w:ind w:left="947"/>
        <w:jc w:val="both"/>
        <w:rPr>
          <w:rFonts w:eastAsia="Times New Roman"/>
          <w:color w:val="111111"/>
          <w:sz w:val="22"/>
          <w:szCs w:val="22"/>
          <w:lang w:val="en"/>
        </w:rPr>
      </w:pPr>
      <w:r>
        <w:rPr>
          <w:rFonts w:eastAsia="Times New Roman"/>
          <w:color w:val="111111"/>
          <w:sz w:val="22"/>
          <w:szCs w:val="22"/>
          <w:lang w:val="en"/>
        </w:rPr>
        <w:t>creator discovery and profile viewing;</w:t>
      </w:r>
    </w:p>
    <w:p w14:paraId="79350AC1" w14:textId="77777777" w:rsidR="00D30F4F" w:rsidRDefault="00D30F4F">
      <w:pPr>
        <w:numPr>
          <w:ilvl w:val="0"/>
          <w:numId w:val="1"/>
        </w:numPr>
        <w:spacing w:after="68"/>
        <w:ind w:left="947"/>
        <w:jc w:val="both"/>
        <w:rPr>
          <w:rFonts w:eastAsia="Times New Roman"/>
          <w:color w:val="111111"/>
          <w:sz w:val="22"/>
          <w:szCs w:val="22"/>
          <w:lang w:val="en"/>
        </w:rPr>
      </w:pPr>
      <w:r>
        <w:rPr>
          <w:rFonts w:eastAsia="Times New Roman"/>
          <w:color w:val="111111"/>
          <w:sz w:val="22"/>
          <w:szCs w:val="22"/>
          <w:lang w:val="en"/>
        </w:rPr>
        <w:t>JWT-protected authentication and profile management;</w:t>
      </w:r>
    </w:p>
    <w:p w14:paraId="02EA754B" w14:textId="77777777" w:rsidR="00D30F4F" w:rsidRDefault="00D30F4F">
      <w:pPr>
        <w:numPr>
          <w:ilvl w:val="0"/>
          <w:numId w:val="1"/>
        </w:numPr>
        <w:spacing w:after="68"/>
        <w:ind w:left="947"/>
        <w:jc w:val="both"/>
        <w:rPr>
          <w:rFonts w:eastAsia="Times New Roman"/>
          <w:color w:val="111111"/>
          <w:sz w:val="22"/>
          <w:szCs w:val="22"/>
          <w:lang w:val="en"/>
        </w:rPr>
      </w:pPr>
      <w:r>
        <w:rPr>
          <w:rFonts w:eastAsia="Times New Roman"/>
          <w:color w:val="111111"/>
          <w:sz w:val="22"/>
          <w:szCs w:val="22"/>
          <w:lang w:val="en"/>
        </w:rPr>
        <w:t>MPC-assisted wallet provisioning;</w:t>
      </w:r>
    </w:p>
    <w:p w14:paraId="77A2765D" w14:textId="77777777" w:rsidR="00D30F4F" w:rsidRDefault="00D30F4F">
      <w:pPr>
        <w:numPr>
          <w:ilvl w:val="0"/>
          <w:numId w:val="1"/>
        </w:numPr>
        <w:spacing w:after="68"/>
        <w:ind w:left="947"/>
        <w:jc w:val="both"/>
        <w:rPr>
          <w:rFonts w:eastAsia="Times New Roman"/>
          <w:color w:val="111111"/>
          <w:sz w:val="22"/>
          <w:szCs w:val="22"/>
          <w:lang w:val="en"/>
        </w:rPr>
      </w:pPr>
      <w:r>
        <w:rPr>
          <w:rFonts w:eastAsia="Times New Roman"/>
          <w:color w:val="111111"/>
          <w:sz w:val="22"/>
          <w:szCs w:val="22"/>
          <w:lang w:val="en"/>
        </w:rPr>
        <w:t>atomic creator tipping with platform fee and collaborator splits;</w:t>
      </w:r>
    </w:p>
    <w:p w14:paraId="2EA3CFDD" w14:textId="77777777" w:rsidR="00D30F4F" w:rsidRDefault="00D30F4F">
      <w:pPr>
        <w:numPr>
          <w:ilvl w:val="0"/>
          <w:numId w:val="1"/>
        </w:numPr>
        <w:spacing w:after="68"/>
        <w:ind w:left="947"/>
        <w:jc w:val="both"/>
        <w:rPr>
          <w:rFonts w:eastAsia="Times New Roman"/>
          <w:color w:val="111111"/>
          <w:sz w:val="22"/>
          <w:szCs w:val="22"/>
          <w:lang w:val="en"/>
        </w:rPr>
      </w:pPr>
      <w:r>
        <w:rPr>
          <w:rFonts w:eastAsia="Times New Roman"/>
          <w:color w:val="111111"/>
          <w:sz w:val="22"/>
          <w:szCs w:val="22"/>
          <w:lang w:val="en"/>
        </w:rPr>
        <w:lastRenderedPageBreak/>
        <w:t>wallet balance and transaction lookup;</w:t>
      </w:r>
    </w:p>
    <w:p w14:paraId="5D6A286D" w14:textId="77777777" w:rsidR="00D30F4F" w:rsidRDefault="00D30F4F">
      <w:pPr>
        <w:numPr>
          <w:ilvl w:val="0"/>
          <w:numId w:val="1"/>
        </w:numPr>
        <w:spacing w:after="68"/>
        <w:ind w:left="947"/>
        <w:jc w:val="both"/>
        <w:rPr>
          <w:rFonts w:eastAsia="Times New Roman"/>
          <w:color w:val="111111"/>
          <w:sz w:val="22"/>
          <w:szCs w:val="22"/>
          <w:lang w:val="en"/>
        </w:rPr>
      </w:pPr>
      <w:r>
        <w:rPr>
          <w:rFonts w:eastAsia="Times New Roman"/>
          <w:color w:val="111111"/>
          <w:sz w:val="22"/>
          <w:szCs w:val="22"/>
          <w:lang w:val="en"/>
        </w:rPr>
        <w:t>general SOL transfer flows; and</w:t>
      </w:r>
    </w:p>
    <w:p w14:paraId="4C9DC0F4" w14:textId="77777777" w:rsidR="00D30F4F" w:rsidRDefault="00D30F4F">
      <w:pPr>
        <w:numPr>
          <w:ilvl w:val="0"/>
          <w:numId w:val="1"/>
        </w:numPr>
        <w:spacing w:after="68"/>
        <w:ind w:left="947"/>
        <w:jc w:val="both"/>
        <w:rPr>
          <w:rFonts w:eastAsia="Times New Roman"/>
          <w:color w:val="111111"/>
          <w:sz w:val="22"/>
          <w:szCs w:val="22"/>
          <w:lang w:val="en"/>
        </w:rPr>
      </w:pPr>
      <w:r>
        <w:rPr>
          <w:rFonts w:eastAsia="Times New Roman"/>
          <w:color w:val="111111"/>
          <w:sz w:val="22"/>
          <w:szCs w:val="22"/>
          <w:lang w:val="en"/>
        </w:rPr>
        <w:t>frontend staking interactions through an Anchor-compatible IDL.</w:t>
      </w:r>
    </w:p>
    <w:p w14:paraId="5B0024EF" w14:textId="77777777" w:rsidR="00D30F4F" w:rsidRDefault="00D30F4F">
      <w:pPr>
        <w:pStyle w:val="NormalWeb"/>
        <w:rPr>
          <w:color w:val="111111"/>
          <w:sz w:val="22"/>
          <w:szCs w:val="22"/>
          <w:lang w:val="en"/>
        </w:rPr>
      </w:pPr>
      <w:r>
        <w:rPr>
          <w:color w:val="111111"/>
          <w:sz w:val="22"/>
          <w:szCs w:val="22"/>
          <w:lang w:val="en"/>
        </w:rPr>
        <w:t>This breadth is notable because many student or hackathon systems implement only one of these flows in isolation.</w:t>
      </w:r>
    </w:p>
    <w:p w14:paraId="2F95CBED" w14:textId="77777777" w:rsidR="00D30F4F" w:rsidRDefault="00D30F4F">
      <w:pPr>
        <w:pStyle w:val="Heading3"/>
        <w:rPr>
          <w:rFonts w:eastAsia="Times New Roman"/>
          <w:color w:val="111111"/>
          <w:lang w:val="en"/>
        </w:rPr>
      </w:pPr>
      <w:r>
        <w:rPr>
          <w:rFonts w:eastAsia="Times New Roman"/>
          <w:color w:val="111111"/>
          <w:lang w:val="en"/>
        </w:rPr>
        <w:t>B. Test Evidence</w:t>
      </w:r>
    </w:p>
    <w:p w14:paraId="20BD1A8B" w14:textId="77777777" w:rsidR="00D30F4F" w:rsidRDefault="00D30F4F">
      <w:pPr>
        <w:pStyle w:val="NormalWeb"/>
        <w:rPr>
          <w:color w:val="111111"/>
          <w:sz w:val="22"/>
          <w:szCs w:val="22"/>
          <w:lang w:val="en"/>
        </w:rPr>
      </w:pPr>
      <w:r>
        <w:rPr>
          <w:color w:val="111111"/>
          <w:sz w:val="22"/>
          <w:szCs w:val="22"/>
          <w:lang w:val="en"/>
        </w:rPr>
        <w:t xml:space="preserve">The </w:t>
      </w:r>
      <w:r>
        <w:rPr>
          <w:rStyle w:val="HTMLCode"/>
          <w:color w:val="111111"/>
          <w:lang w:val="en"/>
        </w:rPr>
        <w:t>packages/solana-mpc-tss</w:t>
      </w:r>
      <w:r>
        <w:rPr>
          <w:color w:val="111111"/>
          <w:sz w:val="22"/>
          <w:szCs w:val="22"/>
          <w:lang w:val="en"/>
        </w:rPr>
        <w:t xml:space="preserve"> package contains local Jest tests for MPC signing, keypair behavior, transaction creation, key aggregation, recent blockhash retrieval, airdrop logic, aggregate signing steps, and insufficient-signature handling. A local test run on March 29, 2026 completed with </w:t>
      </w:r>
      <w:r>
        <w:rPr>
          <w:rStyle w:val="Strong"/>
          <w:color w:val="111111"/>
          <w:sz w:val="22"/>
          <w:szCs w:val="22"/>
          <w:lang w:val="en"/>
        </w:rPr>
        <w:t>29 passing tests out of 30</w:t>
      </w:r>
      <w:r>
        <w:rPr>
          <w:color w:val="111111"/>
          <w:sz w:val="22"/>
          <w:szCs w:val="22"/>
          <w:lang w:val="en"/>
        </w:rPr>
        <w:t>. The single failing test expects a 32-byte secret key, while the current wallet implementation returns a 64-byte secret key from the Solana keypair generator. This result suggests that the package i</w:t>
      </w:r>
      <w:r>
        <w:rPr>
          <w:color w:val="111111"/>
          <w:sz w:val="22"/>
          <w:szCs w:val="22"/>
          <w:lang w:val="en"/>
        </w:rPr>
        <w:t>s actively exercised, but still has interface consistency issues that should be resolved before claiming production maturity.</w:t>
      </w:r>
    </w:p>
    <w:p w14:paraId="11AFF900" w14:textId="77777777" w:rsidR="00D30F4F" w:rsidRDefault="00D30F4F">
      <w:pPr>
        <w:pStyle w:val="Heading3"/>
        <w:rPr>
          <w:rFonts w:eastAsia="Times New Roman"/>
          <w:color w:val="111111"/>
          <w:lang w:val="en"/>
        </w:rPr>
      </w:pPr>
      <w:r>
        <w:rPr>
          <w:rFonts w:eastAsia="Times New Roman"/>
          <w:color w:val="111111"/>
          <w:lang w:val="en"/>
        </w:rPr>
        <w:t>C. Design Strengths</w:t>
      </w:r>
    </w:p>
    <w:p w14:paraId="26F038D0" w14:textId="77777777" w:rsidR="00D30F4F" w:rsidRDefault="00D30F4F">
      <w:pPr>
        <w:pStyle w:val="NormalWeb"/>
        <w:rPr>
          <w:color w:val="111111"/>
          <w:sz w:val="22"/>
          <w:szCs w:val="22"/>
          <w:lang w:val="en"/>
        </w:rPr>
      </w:pPr>
      <w:r>
        <w:rPr>
          <w:color w:val="111111"/>
          <w:sz w:val="22"/>
          <w:szCs w:val="22"/>
          <w:lang w:val="en"/>
        </w:rPr>
        <w:t>The prototype exhibits several strong design decisions:</w:t>
      </w:r>
    </w:p>
    <w:p w14:paraId="68C045CC" w14:textId="77777777" w:rsidR="00D30F4F" w:rsidRDefault="00D30F4F">
      <w:pPr>
        <w:numPr>
          <w:ilvl w:val="0"/>
          <w:numId w:val="2"/>
        </w:numPr>
        <w:spacing w:after="68"/>
        <w:ind w:left="947"/>
        <w:jc w:val="both"/>
        <w:rPr>
          <w:rFonts w:eastAsia="Times New Roman"/>
          <w:color w:val="111111"/>
          <w:sz w:val="22"/>
          <w:szCs w:val="22"/>
          <w:lang w:val="en"/>
        </w:rPr>
      </w:pPr>
      <w:r>
        <w:rPr>
          <w:rFonts w:eastAsia="Times New Roman"/>
          <w:color w:val="111111"/>
          <w:sz w:val="22"/>
          <w:szCs w:val="22"/>
          <w:lang w:val="en"/>
        </w:rPr>
        <w:t>Monorepo modularity cleanly separates UI, orchestration, cryptographic logic, and persistence.</w:t>
      </w:r>
    </w:p>
    <w:p w14:paraId="334292D4" w14:textId="77777777" w:rsidR="00D30F4F" w:rsidRDefault="00D30F4F">
      <w:pPr>
        <w:numPr>
          <w:ilvl w:val="0"/>
          <w:numId w:val="2"/>
        </w:numPr>
        <w:spacing w:after="68"/>
        <w:ind w:left="947"/>
        <w:jc w:val="both"/>
        <w:rPr>
          <w:rFonts w:eastAsia="Times New Roman"/>
          <w:color w:val="111111"/>
          <w:sz w:val="22"/>
          <w:szCs w:val="22"/>
          <w:lang w:val="en"/>
        </w:rPr>
      </w:pPr>
      <w:r>
        <w:rPr>
          <w:rFonts w:eastAsia="Times New Roman"/>
          <w:color w:val="111111"/>
          <w:sz w:val="22"/>
          <w:szCs w:val="22"/>
          <w:lang w:val="en"/>
        </w:rPr>
        <w:t>Lamport-based payout arithmetic reduces floating-point ambiguity in payment distribution.</w:t>
      </w:r>
    </w:p>
    <w:p w14:paraId="1C07A230" w14:textId="77777777" w:rsidR="00D30F4F" w:rsidRDefault="00D30F4F">
      <w:pPr>
        <w:numPr>
          <w:ilvl w:val="0"/>
          <w:numId w:val="2"/>
        </w:numPr>
        <w:spacing w:after="68"/>
        <w:ind w:left="947"/>
        <w:jc w:val="both"/>
        <w:rPr>
          <w:rFonts w:eastAsia="Times New Roman"/>
          <w:color w:val="111111"/>
          <w:sz w:val="22"/>
          <w:szCs w:val="22"/>
          <w:lang w:val="en"/>
        </w:rPr>
      </w:pPr>
      <w:r>
        <w:rPr>
          <w:rFonts w:eastAsia="Times New Roman"/>
          <w:color w:val="111111"/>
          <w:sz w:val="22"/>
          <w:szCs w:val="22"/>
          <w:lang w:val="en"/>
        </w:rPr>
        <w:t>Revenue split automation is implemented directly at the transaction-construction layer.</w:t>
      </w:r>
    </w:p>
    <w:p w14:paraId="6BE5D6BD" w14:textId="77777777" w:rsidR="00D30F4F" w:rsidRDefault="00D30F4F">
      <w:pPr>
        <w:numPr>
          <w:ilvl w:val="0"/>
          <w:numId w:val="2"/>
        </w:numPr>
        <w:spacing w:after="68"/>
        <w:ind w:left="947"/>
        <w:jc w:val="both"/>
        <w:rPr>
          <w:rFonts w:eastAsia="Times New Roman"/>
          <w:color w:val="111111"/>
          <w:sz w:val="22"/>
          <w:szCs w:val="22"/>
          <w:lang w:val="en"/>
        </w:rPr>
      </w:pPr>
      <w:r>
        <w:rPr>
          <w:rFonts w:eastAsia="Times New Roman"/>
          <w:color w:val="111111"/>
          <w:sz w:val="22"/>
          <w:szCs w:val="22"/>
          <w:lang w:val="en"/>
        </w:rPr>
        <w:t>A separate MPC-oriented service makes wallet operations easier to reason about operationally.</w:t>
      </w:r>
    </w:p>
    <w:p w14:paraId="6B6BFF8D" w14:textId="77777777" w:rsidR="00D30F4F" w:rsidRDefault="00D30F4F">
      <w:pPr>
        <w:numPr>
          <w:ilvl w:val="0"/>
          <w:numId w:val="2"/>
        </w:numPr>
        <w:spacing w:after="68"/>
        <w:ind w:left="947"/>
        <w:jc w:val="both"/>
        <w:rPr>
          <w:rFonts w:eastAsia="Times New Roman"/>
          <w:color w:val="111111"/>
          <w:sz w:val="22"/>
          <w:szCs w:val="22"/>
          <w:lang w:val="en"/>
        </w:rPr>
      </w:pPr>
      <w:r>
        <w:rPr>
          <w:rFonts w:eastAsia="Times New Roman"/>
          <w:color w:val="111111"/>
          <w:sz w:val="22"/>
          <w:szCs w:val="22"/>
          <w:lang w:val="en"/>
        </w:rPr>
        <w:t>Shared schemas and typed packages improve consistency across services.</w:t>
      </w:r>
    </w:p>
    <w:p w14:paraId="2937BDD5" w14:textId="77777777" w:rsidR="00D30F4F" w:rsidRDefault="00D30F4F">
      <w:pPr>
        <w:pStyle w:val="Heading2"/>
        <w:rPr>
          <w:rFonts w:eastAsia="Times New Roman"/>
          <w:color w:val="111111"/>
          <w:lang w:val="en"/>
        </w:rPr>
      </w:pPr>
      <w:r>
        <w:rPr>
          <w:rFonts w:eastAsia="Times New Roman"/>
          <w:color w:val="111111"/>
          <w:lang w:val="en"/>
        </w:rPr>
        <w:t>VI. Security Analysis</w:t>
      </w:r>
    </w:p>
    <w:p w14:paraId="5A7A66B9" w14:textId="77777777" w:rsidR="00D30F4F" w:rsidRDefault="00D30F4F">
      <w:pPr>
        <w:pStyle w:val="NormalWeb"/>
        <w:rPr>
          <w:color w:val="111111"/>
          <w:sz w:val="22"/>
          <w:szCs w:val="22"/>
          <w:lang w:val="en"/>
        </w:rPr>
      </w:pPr>
      <w:r>
        <w:rPr>
          <w:color w:val="111111"/>
          <w:sz w:val="22"/>
          <w:szCs w:val="22"/>
          <w:lang w:val="en"/>
        </w:rPr>
        <w:t>From a research perspective, TipJar is most compelling when read as a secure application architecture prototype rather than a finished threshold cryptography implementation.</w:t>
      </w:r>
    </w:p>
    <w:p w14:paraId="24C3B8F3" w14:textId="77777777" w:rsidR="00D30F4F" w:rsidRDefault="00D30F4F">
      <w:pPr>
        <w:pStyle w:val="Heading3"/>
        <w:rPr>
          <w:rFonts w:eastAsia="Times New Roman"/>
          <w:color w:val="111111"/>
          <w:lang w:val="en"/>
        </w:rPr>
      </w:pPr>
      <w:r>
        <w:rPr>
          <w:rFonts w:eastAsia="Times New Roman"/>
          <w:color w:val="111111"/>
          <w:lang w:val="en"/>
        </w:rPr>
        <w:t>A. Positive Security Properties</w:t>
      </w:r>
    </w:p>
    <w:p w14:paraId="039B11C8" w14:textId="77777777" w:rsidR="00D30F4F" w:rsidRDefault="00D30F4F">
      <w:pPr>
        <w:pStyle w:val="NormalWeb"/>
        <w:rPr>
          <w:color w:val="111111"/>
          <w:sz w:val="22"/>
          <w:szCs w:val="22"/>
          <w:lang w:val="en"/>
        </w:rPr>
      </w:pPr>
      <w:r>
        <w:rPr>
          <w:color w:val="111111"/>
          <w:sz w:val="22"/>
          <w:szCs w:val="22"/>
          <w:lang w:val="en"/>
        </w:rPr>
        <w:t>The repository clearly attempts to avoid direct single-key exposure at the application workflow level. Wallet provisioning and transaction authorization are mediated through separate services, and key-share material is stored outside the main application database. Administrative and user JWT flows are separated, and transaction settlement is recorded with on-chain signatures. These choices improve traceability and make the system easier to evolve toward stronger custody models.</w:t>
      </w:r>
    </w:p>
    <w:p w14:paraId="6F05CE6A" w14:textId="77777777" w:rsidR="00D30F4F" w:rsidRDefault="00D30F4F">
      <w:pPr>
        <w:pStyle w:val="Heading3"/>
        <w:rPr>
          <w:rFonts w:eastAsia="Times New Roman"/>
          <w:color w:val="111111"/>
          <w:lang w:val="en"/>
        </w:rPr>
      </w:pPr>
      <w:r>
        <w:rPr>
          <w:rFonts w:eastAsia="Times New Roman"/>
          <w:color w:val="111111"/>
          <w:lang w:val="en"/>
        </w:rPr>
        <w:t>B. Prototype Limitations</w:t>
      </w:r>
    </w:p>
    <w:p w14:paraId="4CCCB184" w14:textId="77777777" w:rsidR="00D30F4F" w:rsidRDefault="00D30F4F">
      <w:pPr>
        <w:pStyle w:val="NormalWeb"/>
        <w:rPr>
          <w:color w:val="111111"/>
          <w:sz w:val="22"/>
          <w:szCs w:val="22"/>
          <w:lang w:val="en"/>
        </w:rPr>
      </w:pPr>
      <w:r>
        <w:rPr>
          <w:color w:val="111111"/>
          <w:sz w:val="22"/>
          <w:szCs w:val="22"/>
          <w:lang w:val="en"/>
        </w:rPr>
        <w:t>Several findings prevent the current implementation from being presented as production-grade MPC/TSS:</w:t>
      </w:r>
    </w:p>
    <w:p w14:paraId="63C2FC47" w14:textId="77777777" w:rsidR="00D30F4F" w:rsidRDefault="00D30F4F">
      <w:pPr>
        <w:numPr>
          <w:ilvl w:val="0"/>
          <w:numId w:val="3"/>
        </w:numPr>
        <w:spacing w:after="68"/>
        <w:ind w:left="947"/>
        <w:jc w:val="both"/>
        <w:rPr>
          <w:rFonts w:eastAsia="Times New Roman"/>
          <w:color w:val="111111"/>
          <w:sz w:val="22"/>
          <w:szCs w:val="22"/>
          <w:lang w:val="en"/>
        </w:rPr>
      </w:pPr>
      <w:r>
        <w:rPr>
          <w:rFonts w:eastAsia="Times New Roman"/>
          <w:color w:val="111111"/>
          <w:sz w:val="22"/>
          <w:szCs w:val="22"/>
          <w:lang w:val="en"/>
        </w:rPr>
        <w:t>The configured MPC server list currently contains only one node in the backend route configuration. In practice, this makes the active threshold behavior effectively single-node.</w:t>
      </w:r>
    </w:p>
    <w:p w14:paraId="4A551C24" w14:textId="77777777" w:rsidR="00D30F4F" w:rsidRDefault="00D30F4F">
      <w:pPr>
        <w:numPr>
          <w:ilvl w:val="0"/>
          <w:numId w:val="3"/>
        </w:numPr>
        <w:spacing w:after="68"/>
        <w:ind w:left="947"/>
        <w:jc w:val="both"/>
        <w:rPr>
          <w:rFonts w:eastAsia="Times New Roman"/>
          <w:color w:val="111111"/>
          <w:sz w:val="22"/>
          <w:szCs w:val="22"/>
          <w:lang w:val="en"/>
        </w:rPr>
      </w:pPr>
      <w:r>
        <w:rPr>
          <w:rFonts w:eastAsia="Times New Roman"/>
          <w:color w:val="111111"/>
          <w:sz w:val="22"/>
          <w:szCs w:val="22"/>
          <w:lang w:val="en"/>
        </w:rPr>
        <w:t>Public-key aggregation and signature aggregation in the TSS package are implemented with simplified XOR-based logic, which is not a substitute for a formally secure threshold signature protocol.</w:t>
      </w:r>
    </w:p>
    <w:p w14:paraId="3E255D95" w14:textId="77777777" w:rsidR="00D30F4F" w:rsidRDefault="00D30F4F">
      <w:pPr>
        <w:numPr>
          <w:ilvl w:val="0"/>
          <w:numId w:val="3"/>
        </w:numPr>
        <w:spacing w:after="68"/>
        <w:ind w:left="947"/>
        <w:jc w:val="both"/>
        <w:rPr>
          <w:rFonts w:eastAsia="Times New Roman"/>
          <w:color w:val="111111"/>
          <w:sz w:val="22"/>
          <w:szCs w:val="22"/>
          <w:lang w:val="en"/>
        </w:rPr>
      </w:pPr>
      <w:r>
        <w:rPr>
          <w:rFonts w:eastAsia="Times New Roman"/>
          <w:color w:val="111111"/>
          <w:sz w:val="22"/>
          <w:szCs w:val="22"/>
          <w:lang w:val="en"/>
        </w:rPr>
        <w:t>The wallet key generation path currently falls back to ordinary Solana keypair creation.</w:t>
      </w:r>
    </w:p>
    <w:p w14:paraId="3A83E210" w14:textId="77777777" w:rsidR="00D30F4F" w:rsidRDefault="00D30F4F">
      <w:pPr>
        <w:numPr>
          <w:ilvl w:val="0"/>
          <w:numId w:val="3"/>
        </w:numPr>
        <w:spacing w:after="68"/>
        <w:ind w:left="947"/>
        <w:jc w:val="both"/>
        <w:rPr>
          <w:rFonts w:eastAsia="Times New Roman"/>
          <w:color w:val="111111"/>
          <w:sz w:val="22"/>
          <w:szCs w:val="22"/>
          <w:lang w:val="en"/>
        </w:rPr>
      </w:pPr>
      <w:r>
        <w:rPr>
          <w:rFonts w:eastAsia="Times New Roman"/>
          <w:color w:val="111111"/>
          <w:sz w:val="22"/>
          <w:szCs w:val="22"/>
          <w:lang w:val="en"/>
        </w:rPr>
        <w:t>User passwords are compared directly rather than being hashed and salted.</w:t>
      </w:r>
    </w:p>
    <w:p w14:paraId="70845DD8" w14:textId="77777777" w:rsidR="00D30F4F" w:rsidRDefault="00D30F4F">
      <w:pPr>
        <w:numPr>
          <w:ilvl w:val="0"/>
          <w:numId w:val="3"/>
        </w:numPr>
        <w:spacing w:after="68"/>
        <w:ind w:left="947"/>
        <w:jc w:val="both"/>
        <w:rPr>
          <w:rFonts w:eastAsia="Times New Roman"/>
          <w:color w:val="111111"/>
          <w:sz w:val="22"/>
          <w:szCs w:val="22"/>
          <w:lang w:val="en"/>
        </w:rPr>
      </w:pPr>
      <w:r>
        <w:rPr>
          <w:rFonts w:eastAsia="Times New Roman"/>
          <w:color w:val="111111"/>
          <w:sz w:val="22"/>
          <w:szCs w:val="22"/>
          <w:lang w:val="en"/>
        </w:rPr>
        <w:t>Secret key shares are persisted as plain strings in the MPC database layer, which would require encryption at rest, key wrapping, or HSM-backed storage in a real deployment.</w:t>
      </w:r>
    </w:p>
    <w:p w14:paraId="2111261A" w14:textId="77777777" w:rsidR="00D30F4F" w:rsidRDefault="00D30F4F">
      <w:pPr>
        <w:pStyle w:val="NormalWeb"/>
        <w:rPr>
          <w:color w:val="111111"/>
          <w:sz w:val="22"/>
          <w:szCs w:val="22"/>
          <w:lang w:val="en"/>
        </w:rPr>
      </w:pPr>
      <w:r>
        <w:rPr>
          <w:color w:val="111111"/>
          <w:sz w:val="22"/>
          <w:szCs w:val="22"/>
          <w:lang w:val="en"/>
        </w:rPr>
        <w:lastRenderedPageBreak/>
        <w:t>These limitations do not eliminate the system's research value. Instead, they define the paper's honest contribution: TipJar is a strong application-level framework for secure creator payment orchestration, with a clear roadmap toward rigorous cryptographic hardening.</w:t>
      </w:r>
    </w:p>
    <w:p w14:paraId="29EF6606" w14:textId="77777777" w:rsidR="00D30F4F" w:rsidRDefault="00D30F4F">
      <w:pPr>
        <w:pStyle w:val="Heading2"/>
        <w:rPr>
          <w:rFonts w:eastAsia="Times New Roman"/>
          <w:color w:val="111111"/>
          <w:lang w:val="en"/>
        </w:rPr>
      </w:pPr>
      <w:r>
        <w:rPr>
          <w:rFonts w:eastAsia="Times New Roman"/>
          <w:color w:val="111111"/>
          <w:lang w:val="en"/>
        </w:rPr>
        <w:t>VII. Discussion</w:t>
      </w:r>
    </w:p>
    <w:p w14:paraId="6029BEF5" w14:textId="77777777" w:rsidR="00D30F4F" w:rsidRDefault="00D30F4F">
      <w:pPr>
        <w:pStyle w:val="NormalWeb"/>
        <w:rPr>
          <w:color w:val="111111"/>
          <w:sz w:val="22"/>
          <w:szCs w:val="22"/>
          <w:lang w:val="en"/>
        </w:rPr>
      </w:pPr>
      <w:r>
        <w:rPr>
          <w:color w:val="111111"/>
          <w:sz w:val="22"/>
          <w:szCs w:val="22"/>
          <w:lang w:val="en"/>
        </w:rPr>
        <w:t>TipJar demonstrates that secure creator economy infrastructure should be studied as an interaction between cryptography, application design, and user experience. Many academic proposals stop at the protocol layer, while many product prototypes stop at the interface layer. This repository is valuable because it bridges both domains. The user sees a coherent dashboard; the developer sees a layered architecture; and the researcher sees a concrete experiment in mapping threshold-signing ideas onto creator-finan</w:t>
      </w:r>
      <w:r>
        <w:rPr>
          <w:color w:val="111111"/>
          <w:sz w:val="22"/>
          <w:szCs w:val="22"/>
          <w:lang w:val="en"/>
        </w:rPr>
        <w:t>ce workflows.</w:t>
      </w:r>
    </w:p>
    <w:p w14:paraId="3C8FA17C" w14:textId="77777777" w:rsidR="00D30F4F" w:rsidRDefault="00D30F4F">
      <w:pPr>
        <w:pStyle w:val="NormalWeb"/>
        <w:rPr>
          <w:color w:val="111111"/>
          <w:sz w:val="22"/>
          <w:szCs w:val="22"/>
          <w:lang w:val="en"/>
        </w:rPr>
      </w:pPr>
      <w:r>
        <w:rPr>
          <w:color w:val="111111"/>
          <w:sz w:val="22"/>
          <w:szCs w:val="22"/>
          <w:lang w:val="en"/>
        </w:rPr>
        <w:t>Another important contribution is the use of atomic multi-recipient transactions as a fairness mechanism. Revenue-sharing is not treated as a later bookkeeping exercise but as a first-class settlement primitive. For creator teams, this can reduce disputes, shorten payment cycles, and improve trust in platform logic.</w:t>
      </w:r>
    </w:p>
    <w:p w14:paraId="6D32DBC6" w14:textId="77777777" w:rsidR="00D30F4F" w:rsidRDefault="00D30F4F">
      <w:pPr>
        <w:pStyle w:val="NormalWeb"/>
        <w:rPr>
          <w:color w:val="111111"/>
          <w:sz w:val="22"/>
          <w:szCs w:val="22"/>
          <w:lang w:val="en"/>
        </w:rPr>
      </w:pPr>
      <w:r>
        <w:rPr>
          <w:color w:val="111111"/>
          <w:sz w:val="22"/>
          <w:szCs w:val="22"/>
          <w:lang w:val="en"/>
        </w:rPr>
        <w:t>The inclusion of staking also opens an interesting line of future work. A creator platform need not stop at tip acceptance. It can evolve into a programmable treasury surface where incoming support, retained balances, yield strategies, and collaborator payouts are all managed inside one policy-aware wallet environment.</w:t>
      </w:r>
    </w:p>
    <w:p w14:paraId="532630F1" w14:textId="77777777" w:rsidR="00D30F4F" w:rsidRDefault="00D30F4F">
      <w:pPr>
        <w:pStyle w:val="Heading2"/>
        <w:rPr>
          <w:rFonts w:eastAsia="Times New Roman"/>
          <w:color w:val="111111"/>
          <w:lang w:val="en"/>
        </w:rPr>
      </w:pPr>
      <w:r>
        <w:rPr>
          <w:rFonts w:eastAsia="Times New Roman"/>
          <w:color w:val="111111"/>
          <w:lang w:val="en"/>
        </w:rPr>
        <w:t>VIII. Future Work</w:t>
      </w:r>
    </w:p>
    <w:p w14:paraId="7B306AAF" w14:textId="77777777" w:rsidR="00D30F4F" w:rsidRDefault="00D30F4F">
      <w:pPr>
        <w:pStyle w:val="NormalWeb"/>
        <w:rPr>
          <w:color w:val="111111"/>
          <w:sz w:val="22"/>
          <w:szCs w:val="22"/>
          <w:lang w:val="en"/>
        </w:rPr>
      </w:pPr>
      <w:r>
        <w:rPr>
          <w:color w:val="111111"/>
          <w:sz w:val="22"/>
          <w:szCs w:val="22"/>
          <w:lang w:val="en"/>
        </w:rPr>
        <w:t>To elevate TipJar from an impressive prototype to a publication-ready and deployment-ready system, future work should prioritize the following:</w:t>
      </w:r>
    </w:p>
    <w:p w14:paraId="0B79B350" w14:textId="77777777" w:rsidR="00D30F4F" w:rsidRDefault="00D30F4F">
      <w:pPr>
        <w:numPr>
          <w:ilvl w:val="0"/>
          <w:numId w:val="4"/>
        </w:numPr>
        <w:spacing w:after="68"/>
        <w:ind w:left="947"/>
        <w:jc w:val="both"/>
        <w:rPr>
          <w:rFonts w:eastAsia="Times New Roman"/>
          <w:color w:val="111111"/>
          <w:sz w:val="22"/>
          <w:szCs w:val="22"/>
          <w:lang w:val="en"/>
        </w:rPr>
      </w:pPr>
      <w:r>
        <w:rPr>
          <w:rFonts w:eastAsia="Times New Roman"/>
          <w:color w:val="111111"/>
          <w:sz w:val="22"/>
          <w:szCs w:val="22"/>
          <w:lang w:val="en"/>
        </w:rPr>
        <w:t>Replace the simplified signing flow with a formally secure threshold signature protocol such as FROST-style signing for Ed25519-compatible workflows.</w:t>
      </w:r>
    </w:p>
    <w:p w14:paraId="56E0C1BA" w14:textId="77777777" w:rsidR="00D30F4F" w:rsidRDefault="00D30F4F">
      <w:pPr>
        <w:numPr>
          <w:ilvl w:val="0"/>
          <w:numId w:val="4"/>
        </w:numPr>
        <w:spacing w:after="68"/>
        <w:ind w:left="947"/>
        <w:jc w:val="both"/>
        <w:rPr>
          <w:rFonts w:eastAsia="Times New Roman"/>
          <w:color w:val="111111"/>
          <w:sz w:val="22"/>
          <w:szCs w:val="22"/>
          <w:lang w:val="en"/>
        </w:rPr>
      </w:pPr>
      <w:r>
        <w:rPr>
          <w:rFonts w:eastAsia="Times New Roman"/>
          <w:color w:val="111111"/>
          <w:sz w:val="22"/>
          <w:szCs w:val="22"/>
          <w:lang w:val="en"/>
        </w:rPr>
        <w:t>Expand MPC deployment from one configured node to a real multi-node threshold environment such as 2-of-3 or 3-of-5.</w:t>
      </w:r>
    </w:p>
    <w:p w14:paraId="0774E938" w14:textId="77777777" w:rsidR="00D30F4F" w:rsidRDefault="00D30F4F">
      <w:pPr>
        <w:numPr>
          <w:ilvl w:val="0"/>
          <w:numId w:val="4"/>
        </w:numPr>
        <w:spacing w:after="68"/>
        <w:ind w:left="947"/>
        <w:jc w:val="both"/>
        <w:rPr>
          <w:rFonts w:eastAsia="Times New Roman"/>
          <w:color w:val="111111"/>
          <w:sz w:val="22"/>
          <w:szCs w:val="22"/>
          <w:lang w:val="en"/>
        </w:rPr>
      </w:pPr>
      <w:r>
        <w:rPr>
          <w:rFonts w:eastAsia="Times New Roman"/>
          <w:color w:val="111111"/>
          <w:sz w:val="22"/>
          <w:szCs w:val="22"/>
          <w:lang w:val="en"/>
        </w:rPr>
        <w:t>Introduce password hashing, encrypted key-share storage, audit logging, rate limiting, and service authentication between backend nodes.</w:t>
      </w:r>
    </w:p>
    <w:p w14:paraId="2B23CB5B" w14:textId="77777777" w:rsidR="00D30F4F" w:rsidRDefault="00D30F4F">
      <w:pPr>
        <w:numPr>
          <w:ilvl w:val="0"/>
          <w:numId w:val="4"/>
        </w:numPr>
        <w:spacing w:after="68"/>
        <w:ind w:left="947"/>
        <w:jc w:val="both"/>
        <w:rPr>
          <w:rFonts w:eastAsia="Times New Roman"/>
          <w:color w:val="111111"/>
          <w:sz w:val="22"/>
          <w:szCs w:val="22"/>
          <w:lang w:val="en"/>
        </w:rPr>
      </w:pPr>
      <w:r>
        <w:rPr>
          <w:rFonts w:eastAsia="Times New Roman"/>
          <w:color w:val="111111"/>
          <w:sz w:val="22"/>
          <w:szCs w:val="22"/>
          <w:lang w:val="en"/>
        </w:rPr>
        <w:t>Benchmark signing latency, end-to-end transaction time, database performance, and user-facing responsiveness under concurrent load.</w:t>
      </w:r>
    </w:p>
    <w:p w14:paraId="173D3CE0" w14:textId="77777777" w:rsidR="00D30F4F" w:rsidRDefault="00D30F4F">
      <w:pPr>
        <w:numPr>
          <w:ilvl w:val="0"/>
          <w:numId w:val="4"/>
        </w:numPr>
        <w:spacing w:after="68"/>
        <w:ind w:left="947"/>
        <w:jc w:val="both"/>
        <w:rPr>
          <w:rFonts w:eastAsia="Times New Roman"/>
          <w:color w:val="111111"/>
          <w:sz w:val="22"/>
          <w:szCs w:val="22"/>
          <w:lang w:val="en"/>
        </w:rPr>
      </w:pPr>
      <w:r>
        <w:rPr>
          <w:rFonts w:eastAsia="Times New Roman"/>
          <w:color w:val="111111"/>
          <w:sz w:val="22"/>
          <w:szCs w:val="22"/>
          <w:lang w:val="en"/>
        </w:rPr>
        <w:t>Evaluate creator-team satisfaction and perceived trust through user studies that compare manual payout systems with atomic split settlement.</w:t>
      </w:r>
    </w:p>
    <w:p w14:paraId="2355168C" w14:textId="77777777" w:rsidR="00D30F4F" w:rsidRDefault="00D30F4F">
      <w:pPr>
        <w:numPr>
          <w:ilvl w:val="0"/>
          <w:numId w:val="4"/>
        </w:numPr>
        <w:spacing w:after="68"/>
        <w:ind w:left="947"/>
        <w:jc w:val="both"/>
        <w:rPr>
          <w:rFonts w:eastAsia="Times New Roman"/>
          <w:color w:val="111111"/>
          <w:sz w:val="22"/>
          <w:szCs w:val="22"/>
          <w:lang w:val="en"/>
        </w:rPr>
      </w:pPr>
      <w:r>
        <w:rPr>
          <w:rFonts w:eastAsia="Times New Roman"/>
          <w:color w:val="111111"/>
          <w:sz w:val="22"/>
          <w:szCs w:val="22"/>
          <w:lang w:val="en"/>
        </w:rPr>
        <w:t>Extend the staking subsystem with policy-aware treasury allocation and analytics for creators.</w:t>
      </w:r>
    </w:p>
    <w:p w14:paraId="124EC30B" w14:textId="77777777" w:rsidR="00D30F4F" w:rsidRDefault="00D30F4F">
      <w:pPr>
        <w:pStyle w:val="Heading2"/>
        <w:rPr>
          <w:rFonts w:eastAsia="Times New Roman"/>
          <w:color w:val="111111"/>
          <w:lang w:val="en"/>
        </w:rPr>
      </w:pPr>
      <w:r>
        <w:rPr>
          <w:rFonts w:eastAsia="Times New Roman"/>
          <w:color w:val="111111"/>
          <w:lang w:val="en"/>
        </w:rPr>
        <w:t>IX. Conclusion</w:t>
      </w:r>
    </w:p>
    <w:p w14:paraId="729D29BA" w14:textId="77777777" w:rsidR="00D30F4F" w:rsidRDefault="00D30F4F">
      <w:pPr>
        <w:pStyle w:val="NormalWeb"/>
        <w:rPr>
          <w:color w:val="111111"/>
          <w:sz w:val="22"/>
          <w:szCs w:val="22"/>
          <w:lang w:val="en"/>
        </w:rPr>
      </w:pPr>
      <w:r>
        <w:rPr>
          <w:color w:val="111111"/>
          <w:sz w:val="22"/>
          <w:szCs w:val="22"/>
          <w:lang w:val="en"/>
        </w:rPr>
        <w:t>TipJar presents a thoughtful and technically ambitious approach to creator monetization on Solana. Its strongest contribution lies in combining MPC-inspired wallet orchestration, atomic payout splitting, wallet management, and staking within one integrated product architecture. The repository already demonstrates meaningful system-level innovation, particularly in how creator tips are transformed into precise, multi-recipient on-chain settlement flows. Although the current cryptographic implementation remai</w:t>
      </w:r>
      <w:r>
        <w:rPr>
          <w:color w:val="111111"/>
          <w:sz w:val="22"/>
          <w:szCs w:val="22"/>
          <w:lang w:val="en"/>
        </w:rPr>
        <w:t>ns prototype-grade, the architectural foundation is strong and research-relevant. As a result, TipJar is best understood as a high-potential secure creator-finance framework that can support both academic extension and real-world product hardening.</w:t>
      </w:r>
    </w:p>
    <w:p w14:paraId="1256AF45" w14:textId="77777777" w:rsidR="00D30F4F" w:rsidRDefault="00D30F4F">
      <w:pPr>
        <w:pStyle w:val="Heading2"/>
        <w:rPr>
          <w:rFonts w:eastAsia="Times New Roman"/>
          <w:color w:val="111111"/>
          <w:lang w:val="en"/>
        </w:rPr>
      </w:pPr>
      <w:r>
        <w:rPr>
          <w:rFonts w:eastAsia="Times New Roman"/>
          <w:color w:val="111111"/>
          <w:lang w:val="en"/>
        </w:rPr>
        <w:t>References</w:t>
      </w:r>
    </w:p>
    <w:p w14:paraId="228EB6B8" w14:textId="77777777" w:rsidR="00D30F4F" w:rsidRDefault="00D30F4F">
      <w:pPr>
        <w:pStyle w:val="NormalWeb"/>
        <w:rPr>
          <w:color w:val="111111"/>
          <w:sz w:val="22"/>
          <w:szCs w:val="22"/>
          <w:lang w:val="en"/>
        </w:rPr>
      </w:pPr>
      <w:r>
        <w:rPr>
          <w:color w:val="111111"/>
          <w:sz w:val="22"/>
          <w:szCs w:val="22"/>
          <w:lang w:val="en"/>
        </w:rPr>
        <w:t xml:space="preserve">[1] TipJar monorepo, analyzed from local repository structure, frontend applications, backend services, Prisma schemas, and the </w:t>
      </w:r>
      <w:r>
        <w:rPr>
          <w:rStyle w:val="HTMLCode"/>
          <w:color w:val="111111"/>
          <w:lang w:val="en"/>
        </w:rPr>
        <w:t>solana-mpc-tss</w:t>
      </w:r>
      <w:r>
        <w:rPr>
          <w:color w:val="111111"/>
          <w:sz w:val="22"/>
          <w:szCs w:val="22"/>
          <w:lang w:val="en"/>
        </w:rPr>
        <w:t xml:space="preserve"> package.</w:t>
      </w:r>
    </w:p>
    <w:p w14:paraId="580483B7" w14:textId="77777777" w:rsidR="00D30F4F" w:rsidRDefault="00D30F4F">
      <w:pPr>
        <w:pStyle w:val="NormalWeb"/>
        <w:rPr>
          <w:color w:val="111111"/>
          <w:sz w:val="22"/>
          <w:szCs w:val="22"/>
          <w:lang w:val="en"/>
        </w:rPr>
      </w:pPr>
      <w:r>
        <w:rPr>
          <w:color w:val="111111"/>
          <w:sz w:val="22"/>
          <w:szCs w:val="22"/>
          <w:lang w:val="en"/>
        </w:rPr>
        <w:lastRenderedPageBreak/>
        <w:t>[2] Solana Web3.js SDK, used by the project for transaction construction, account access, and network interaction.</w:t>
      </w:r>
    </w:p>
    <w:p w14:paraId="403DD946" w14:textId="77777777" w:rsidR="00D30F4F" w:rsidRDefault="00D30F4F">
      <w:pPr>
        <w:pStyle w:val="NormalWeb"/>
        <w:rPr>
          <w:color w:val="111111"/>
          <w:sz w:val="22"/>
          <w:szCs w:val="22"/>
          <w:lang w:val="en"/>
        </w:rPr>
      </w:pPr>
      <w:r>
        <w:rPr>
          <w:color w:val="111111"/>
          <w:sz w:val="22"/>
          <w:szCs w:val="22"/>
          <w:lang w:val="en"/>
        </w:rPr>
        <w:t>[3] Prisma ORM and PostgreSQL schemas used for application data and MPC key-share persistence.</w:t>
      </w:r>
    </w:p>
    <w:p w14:paraId="1FC52B72" w14:textId="77777777" w:rsidR="00D30F4F" w:rsidRDefault="00D30F4F">
      <w:pPr>
        <w:pStyle w:val="NormalWeb"/>
        <w:rPr>
          <w:color w:val="111111"/>
          <w:sz w:val="22"/>
          <w:szCs w:val="22"/>
          <w:lang w:val="en"/>
        </w:rPr>
      </w:pPr>
      <w:r>
        <w:rPr>
          <w:color w:val="111111"/>
          <w:sz w:val="22"/>
          <w:szCs w:val="22"/>
          <w:lang w:val="en"/>
        </w:rPr>
        <w:t>[4] TweetNaCl cryptographic library, used by the prototype signing package for Ed25519-related operations.</w:t>
      </w:r>
    </w:p>
    <w:p w14:paraId="6A208629" w14:textId="77777777" w:rsidR="00D30F4F" w:rsidRDefault="00D30F4F">
      <w:pPr>
        <w:pStyle w:val="NormalWeb"/>
        <w:rPr>
          <w:color w:val="111111"/>
          <w:sz w:val="22"/>
          <w:szCs w:val="22"/>
          <w:lang w:val="en"/>
        </w:rPr>
      </w:pPr>
      <w:r>
        <w:rPr>
          <w:color w:val="111111"/>
          <w:sz w:val="22"/>
          <w:szCs w:val="22"/>
          <w:lang w:val="en"/>
        </w:rPr>
        <w:t>[5] Anchor-compatible staking interface definitions included in the frontend IDL integration.</w:t>
      </w:r>
    </w:p>
    <w:p w14:paraId="7CC7B340" w14:textId="77777777" w:rsidR="00D30F4F" w:rsidRDefault="00D30F4F">
      <w:pPr>
        <w:pStyle w:val="NormalWeb"/>
        <w:rPr>
          <w:color w:val="111111"/>
          <w:sz w:val="22"/>
          <w:szCs w:val="22"/>
          <w:lang w:val="en"/>
        </w:rPr>
      </w:pPr>
      <w:r>
        <w:rPr>
          <w:color w:val="111111"/>
          <w:sz w:val="22"/>
          <w:szCs w:val="22"/>
          <w:lang w:val="en"/>
        </w:rPr>
        <w:t>[6] IEEE conference paper template structure, used as the organizational model for this draft.</w:t>
      </w:r>
    </w:p>
    <w:sectPr w:rsidR="00D30F4F" w:rsidSect="00D8027F">
      <w:type w:val="continuous"/>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C46A8" w14:textId="77777777" w:rsidR="00D30F4F" w:rsidRDefault="00D30F4F" w:rsidP="00D8027F">
      <w:r>
        <w:separator/>
      </w:r>
    </w:p>
  </w:endnote>
  <w:endnote w:type="continuationSeparator" w:id="0">
    <w:p w14:paraId="09550596" w14:textId="77777777" w:rsidR="00D30F4F" w:rsidRDefault="00D30F4F" w:rsidP="00D802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B41D5" w14:textId="77777777" w:rsidR="00D30F4F" w:rsidRDefault="00D30F4F" w:rsidP="00D8027F">
      <w:r>
        <w:separator/>
      </w:r>
    </w:p>
  </w:footnote>
  <w:footnote w:type="continuationSeparator" w:id="0">
    <w:p w14:paraId="4BE95E30" w14:textId="77777777" w:rsidR="00D30F4F" w:rsidRDefault="00D30F4F" w:rsidP="00D802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47752"/>
    <w:multiLevelType w:val="multilevel"/>
    <w:tmpl w:val="C5EC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E95A93"/>
    <w:multiLevelType w:val="multilevel"/>
    <w:tmpl w:val="24844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992A43"/>
    <w:multiLevelType w:val="multilevel"/>
    <w:tmpl w:val="2BDE4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696498"/>
    <w:multiLevelType w:val="multilevel"/>
    <w:tmpl w:val="AC50F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8784011">
    <w:abstractNumId w:val="2"/>
  </w:num>
  <w:num w:numId="2" w16cid:durableId="1895240252">
    <w:abstractNumId w:val="0"/>
  </w:num>
  <w:num w:numId="3" w16cid:durableId="1965306898">
    <w:abstractNumId w:val="1"/>
  </w:num>
  <w:num w:numId="4" w16cid:durableId="16539497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8027F"/>
    <w:rsid w:val="007721F1"/>
    <w:rsid w:val="00D30F4F"/>
    <w:rsid w:val="00D802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7A79D8"/>
  <w15:chartTrackingRefBased/>
  <w15:docId w15:val="{D19CEAD6-ED99-41D6-B269-46EB226B7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454"/>
      <w:jc w:val="center"/>
      <w:outlineLvl w:val="0"/>
    </w:pPr>
    <w:rPr>
      <w:b/>
      <w:bCs/>
      <w:kern w:val="36"/>
      <w:sz w:val="40"/>
      <w:szCs w:val="40"/>
    </w:rPr>
  </w:style>
  <w:style w:type="paragraph" w:styleId="Heading2">
    <w:name w:val="heading 2"/>
    <w:basedOn w:val="Normal"/>
    <w:link w:val="Heading2Char"/>
    <w:uiPriority w:val="9"/>
    <w:qFormat/>
    <w:pPr>
      <w:spacing w:after="113"/>
      <w:outlineLvl w:val="1"/>
    </w:pPr>
    <w:rPr>
      <w:b/>
      <w:bCs/>
      <w:caps/>
      <w:spacing w:val="5"/>
      <w:sz w:val="21"/>
      <w:szCs w:val="21"/>
    </w:rPr>
  </w:style>
  <w:style w:type="paragraph" w:styleId="Heading3">
    <w:name w:val="heading 3"/>
    <w:basedOn w:val="Normal"/>
    <w:link w:val="Heading3Char"/>
    <w:uiPriority w:val="9"/>
    <w:qFormat/>
    <w:pPr>
      <w:spacing w:after="85"/>
      <w:outlineLvl w:val="2"/>
    </w:pPr>
    <w:rPr>
      <w:b/>
      <w:bCs/>
      <w:sz w:val="20"/>
      <w:szCs w:val="20"/>
    </w:rPr>
  </w:style>
  <w:style w:type="paragraph" w:styleId="Heading4">
    <w:name w:val="heading 4"/>
    <w:basedOn w:val="Normal"/>
    <w:link w:val="Heading4Char"/>
    <w:uiPriority w:val="9"/>
    <w:qFormat/>
    <w:pPr>
      <w:spacing w:after="85"/>
      <w:outlineLvl w:val="3"/>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urier New" w:eastAsiaTheme="minorEastAsia" w:hAnsi="Courier New" w:cs="Courier New" w:hint="default"/>
      <w:sz w:val="19"/>
      <w:szCs w:val="19"/>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35"/>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2F5496" w:themeColor="accent1" w:themeShade="BF"/>
      <w:sz w:val="24"/>
      <w:szCs w:val="30"/>
    </w:rPr>
  </w:style>
  <w:style w:type="character" w:styleId="Strong">
    <w:name w:val="Strong"/>
    <w:basedOn w:val="DefaultParagraphFont"/>
    <w:uiPriority w:val="22"/>
    <w:qFormat/>
    <w:rPr>
      <w:b/>
      <w:bCs/>
    </w:rPr>
  </w:style>
  <w:style w:type="paragraph" w:customStyle="1" w:styleId="msonormal0">
    <w:name w:val="msonormal"/>
    <w:basedOn w:val="Normal"/>
    <w:pPr>
      <w:spacing w:after="170"/>
      <w:jc w:val="both"/>
    </w:pPr>
  </w:style>
  <w:style w:type="paragraph" w:styleId="NormalWeb">
    <w:name w:val="Normal (Web)"/>
    <w:basedOn w:val="Normal"/>
    <w:uiPriority w:val="99"/>
    <w:semiHidden/>
    <w:unhideWhenUsed/>
    <w:pPr>
      <w:spacing w:after="170"/>
      <w:jc w:val="both"/>
    </w:pPr>
  </w:style>
  <w:style w:type="paragraph" w:customStyle="1" w:styleId="paper">
    <w:name w:val="paper"/>
    <w:basedOn w:val="Normal"/>
    <w:pPr>
      <w:jc w:val="both"/>
    </w:pPr>
  </w:style>
  <w:style w:type="paragraph" w:customStyle="1" w:styleId="authors">
    <w:name w:val="authors"/>
    <w:basedOn w:val="Normal"/>
    <w:pPr>
      <w:spacing w:after="454"/>
      <w:jc w:val="both"/>
    </w:pPr>
  </w:style>
  <w:style w:type="paragraph" w:customStyle="1" w:styleId="author">
    <w:name w:val="author"/>
    <w:basedOn w:val="Normal"/>
    <w:pPr>
      <w:spacing w:after="68"/>
      <w:jc w:val="center"/>
    </w:pPr>
    <w:rPr>
      <w:sz w:val="20"/>
      <w:szCs w:val="20"/>
    </w:rPr>
  </w:style>
  <w:style w:type="paragraph" w:customStyle="1" w:styleId="full-width">
    <w:name w:val="full-width"/>
    <w:basedOn w:val="Normal"/>
    <w:pPr>
      <w:spacing w:after="227"/>
      <w:jc w:val="both"/>
    </w:pPr>
  </w:style>
  <w:style w:type="paragraph" w:customStyle="1" w:styleId="label">
    <w:name w:val="label"/>
    <w:basedOn w:val="Normal"/>
    <w:pPr>
      <w:spacing w:after="68"/>
      <w:jc w:val="both"/>
    </w:pPr>
    <w:rPr>
      <w:b/>
      <w:bCs/>
      <w:i/>
      <w:iCs/>
    </w:rPr>
  </w:style>
  <w:style w:type="character" w:customStyle="1" w:styleId="label1">
    <w:name w:val="label1"/>
    <w:basedOn w:val="DefaultParagraphFont"/>
    <w:rPr>
      <w:b/>
      <w:bCs/>
      <w:i/>
      <w:iCs/>
      <w:vanish w:val="0"/>
      <w:webHidden w:val="0"/>
      <w:specVanish w:val="0"/>
    </w:rPr>
  </w:style>
  <w:style w:type="paragraph" w:styleId="Header">
    <w:name w:val="header"/>
    <w:basedOn w:val="Normal"/>
    <w:link w:val="HeaderChar"/>
    <w:uiPriority w:val="99"/>
    <w:unhideWhenUsed/>
    <w:rsid w:val="00D8027F"/>
    <w:pPr>
      <w:tabs>
        <w:tab w:val="center" w:pos="4680"/>
        <w:tab w:val="right" w:pos="9360"/>
      </w:tabs>
    </w:pPr>
    <w:rPr>
      <w:rFonts w:cs="Angsana New"/>
      <w:szCs w:val="30"/>
    </w:rPr>
  </w:style>
  <w:style w:type="character" w:customStyle="1" w:styleId="HeaderChar">
    <w:name w:val="Header Char"/>
    <w:basedOn w:val="DefaultParagraphFont"/>
    <w:link w:val="Header"/>
    <w:uiPriority w:val="99"/>
    <w:rsid w:val="00D8027F"/>
    <w:rPr>
      <w:rFonts w:eastAsiaTheme="minorEastAsia" w:cs="Angsana New"/>
      <w:sz w:val="24"/>
      <w:szCs w:val="30"/>
    </w:rPr>
  </w:style>
  <w:style w:type="paragraph" w:styleId="Footer">
    <w:name w:val="footer"/>
    <w:basedOn w:val="Normal"/>
    <w:link w:val="FooterChar"/>
    <w:uiPriority w:val="99"/>
    <w:unhideWhenUsed/>
    <w:rsid w:val="00D8027F"/>
    <w:pPr>
      <w:tabs>
        <w:tab w:val="center" w:pos="4680"/>
        <w:tab w:val="right" w:pos="9360"/>
      </w:tabs>
    </w:pPr>
    <w:rPr>
      <w:rFonts w:cs="Angsana New"/>
      <w:szCs w:val="30"/>
    </w:rPr>
  </w:style>
  <w:style w:type="character" w:customStyle="1" w:styleId="FooterChar">
    <w:name w:val="Footer Char"/>
    <w:basedOn w:val="DefaultParagraphFont"/>
    <w:link w:val="Footer"/>
    <w:uiPriority w:val="99"/>
    <w:rsid w:val="00D8027F"/>
    <w:rPr>
      <w:rFonts w:eastAsiaTheme="minorEastAsia" w:cs="Angsana New"/>
      <w:sz w:val="24"/>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3690197">
      <w:marLeft w:val="0"/>
      <w:marRight w:val="0"/>
      <w:marTop w:val="0"/>
      <w:marBottom w:val="0"/>
      <w:divBdr>
        <w:top w:val="none" w:sz="0" w:space="0" w:color="auto"/>
        <w:left w:val="none" w:sz="0" w:space="0" w:color="auto"/>
        <w:bottom w:val="none" w:sz="0" w:space="0" w:color="auto"/>
        <w:right w:val="none" w:sz="0" w:space="0" w:color="auto"/>
      </w:divBdr>
    </w:div>
    <w:div w:id="1843810278">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2576</Words>
  <Characters>14685</Characters>
  <Application>Microsoft Office Word</Application>
  <DocSecurity>0</DocSecurity>
  <Lines>122</Lines>
  <Paragraphs>34</Paragraphs>
  <ScaleCrop>false</ScaleCrop>
  <Company/>
  <LinksUpToDate>false</LinksUpToDate>
  <CharactersWithSpaces>17227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TipJar: A Secure Solana Creator Economy Platform Using MPC-Assisted Threshold Signing, Atomic Revenue Splits, and Integrated Staking</dc:title>
  <dc:subject/>
  <dc:creator>yash gaikwad</dc:creator>
  <cp:keywords/>
  <dc:description/>
  <cp:lastModifiedBy>yash gaikwad</cp:lastModifiedBy>
  <cp:revision>2</cp:revision>
  <dcterms:created xsi:type="dcterms:W3CDTF">2026-03-29T14:24:00Z</dcterms:created>
  <dcterms:modified xsi:type="dcterms:W3CDTF">2026-03-29T14:24:00Z</dcterms:modified>
</cp:coreProperties>
</file>