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D53F28" w:rsidRDefault="00D53F28" w:rsidP="00631612">
      <w:pPr>
        <w:pStyle w:val="Prrafodelista"/>
        <w:jc w:val="both"/>
      </w:pPr>
    </w:p>
    <w:p w:rsidR="00D53F28" w:rsidRDefault="00D53F28" w:rsidP="00D53F28">
      <w:pPr>
        <w:pStyle w:val="Prrafodelista"/>
        <w:jc w:val="both"/>
      </w:pPr>
      <w:r>
        <w:t>Método inductivo</w:t>
      </w:r>
    </w:p>
    <w:p w:rsidR="00D53F28" w:rsidRDefault="00D53F28" w:rsidP="00D53F28">
      <w:pPr>
        <w:pStyle w:val="Prrafodelista"/>
        <w:jc w:val="both"/>
      </w:pPr>
      <w:r>
        <w:t>Se vale del uso del razonamiento para generar conclusiones acertadas sobre un evento, partiendo de hechos aceptados como válidos, para llegar a conclusiones, cuya aplicación sea de carácter general, iniciándose con un estudio individual de los hechos. Como resultado de su ejecución, se formulan conclusiones universales que se postulan como leyes, principios o fundamentos de una teoría. Pueden distinguirse cuatro pasos esenciales:</w:t>
      </w:r>
      <w:bookmarkStart w:id="0" w:name="_GoBack"/>
      <w:bookmarkEnd w:id="0"/>
      <w:r>
        <w:t xml:space="preserve"> </w:t>
      </w:r>
    </w:p>
    <w:p w:rsidR="00D53F28" w:rsidRDefault="00D53F28" w:rsidP="00D53F28">
      <w:pPr>
        <w:pStyle w:val="Prrafodelista"/>
        <w:jc w:val="both"/>
      </w:pPr>
      <w:r>
        <w:t>Observación de eventos y fenómenos, para su registro y consideración</w:t>
      </w:r>
    </w:p>
    <w:p w:rsidR="00D53F28" w:rsidRDefault="00D53F28" w:rsidP="00D53F28">
      <w:pPr>
        <w:pStyle w:val="Prrafodelista"/>
        <w:jc w:val="both"/>
      </w:pPr>
      <w:r>
        <w:t>Clasificación y estudio de la información obtenida, a fin facilitar el análisis.</w:t>
      </w:r>
    </w:p>
    <w:p w:rsidR="00D53F28" w:rsidRDefault="00D53F28" w:rsidP="00D53F28">
      <w:pPr>
        <w:pStyle w:val="Prrafodelista"/>
        <w:jc w:val="both"/>
      </w:pPr>
      <w:r>
        <w:t>La derivación inductiva, que a partir de los hechos unifica las ideas sueltas, resultando en una generación de nuevos paradigmas.</w:t>
      </w:r>
    </w:p>
    <w:p w:rsidR="00D53F28" w:rsidRDefault="00D53F28" w:rsidP="00D53F28">
      <w:pPr>
        <w:pStyle w:val="Prrafodelista"/>
        <w:jc w:val="both"/>
      </w:pPr>
      <w:r>
        <w:t>Contrastación, o comparación del resultado de los análisis.</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lastRenderedPageBreak/>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F7781C" w:rsidRDefault="00F7781C" w:rsidP="00FB0390">
      <w:pPr>
        <w:tabs>
          <w:tab w:val="left" w:pos="1365"/>
        </w:tabs>
        <w:jc w:val="both"/>
      </w:pPr>
    </w:p>
    <w:tbl>
      <w:tblPr>
        <w:tblStyle w:val="Listaclara"/>
        <w:tblW w:w="0" w:type="auto"/>
        <w:tblLook w:val="04A0" w:firstRow="1" w:lastRow="0" w:firstColumn="1" w:lastColumn="0" w:noHBand="0" w:noVBand="1"/>
      </w:tblPr>
      <w:tblGrid>
        <w:gridCol w:w="2038"/>
        <w:gridCol w:w="2039"/>
      </w:tblGrid>
      <w:tr w:rsidR="00F7781C" w:rsidRPr="0018335B" w:rsidTr="001833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t>Representación</w:t>
            </w:r>
          </w:p>
        </w:tc>
        <w:tc>
          <w:tcPr>
            <w:tcW w:w="2039" w:type="dxa"/>
            <w:vAlign w:val="center"/>
          </w:tcPr>
          <w:p w:rsidR="00F7781C" w:rsidRPr="0018335B" w:rsidRDefault="00F7781C" w:rsidP="0018335B">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Elemento</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5pt" o:ole="">
                  <v:imagedata r:id="rId7" o:title="" cropleft="15124f"/>
                </v:shape>
                <o:OLEObject Type="Embed" ProgID="PBrush" ShapeID="_x0000_i1025" DrawAspect="Content" ObjectID="_1634665672" r:id="rId8"/>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Nodos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540" w:dyaOrig="435">
                <v:shape id="_x0000_i1026" type="#_x0000_t75" style="width:24pt;height:21.75pt" o:ole="">
                  <v:imagedata r:id="rId9" o:title="" cropleft="7282f"/>
                </v:shape>
                <o:OLEObject Type="Embed" ProgID="PBrush" ShapeID="_x0000_i1026" DrawAspect="Content" ObjectID="_1634665673" r:id="rId10"/>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Embalses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495" w:dyaOrig="435">
                <v:shape id="_x0000_i1027" type="#_x0000_t75" style="width:24.75pt;height:21.75pt" o:ole="">
                  <v:imagedata r:id="rId11" o:title=""/>
                </v:shape>
                <o:OLEObject Type="Embed" ProgID="PBrush" ShapeID="_x0000_i1027" DrawAspect="Content" ObjectID="_1634665674" r:id="rId12"/>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Tanques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18335B"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620" w:dyaOrig="510">
                <v:shape id="_x0000_i1028" type="#_x0000_t75" style="width:71.25pt;height:25.5pt" o:ole="">
                  <v:imagedata r:id="rId13" o:title="" cropleft=".0625"/>
                </v:shape>
                <o:OLEObject Type="Embed" ProgID="PBrush" ShapeID="_x0000_i1028" DrawAspect="Content" ObjectID="_1634665675" r:id="rId14"/>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Tuberías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770" w:dyaOrig="510">
                <v:shape id="_x0000_i1029" type="#_x0000_t75" style="width:86.25pt;height:25.5pt" o:ole="">
                  <v:imagedata r:id="rId15" o:title="" cropright="-2980f"/>
                </v:shape>
                <o:OLEObject Type="Embed" ProgID="PBrush" ShapeID="_x0000_i1029" DrawAspect="Content" ObjectID="_1634665676" r:id="rId16"/>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Válvulas</w:t>
            </w:r>
          </w:p>
        </w:tc>
      </w:tr>
    </w:tbl>
    <w:p w:rsidR="003F2053" w:rsidRDefault="003F2053"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34338E" w:rsidRDefault="0034338E">
      <w:r>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4E5C4A" w:rsidRDefault="00D865F1" w:rsidP="00231F40">
      <w:pPr>
        <w:tabs>
          <w:tab w:val="left" w:pos="1365"/>
        </w:tabs>
        <w:jc w:val="both"/>
      </w:pPr>
      <w:r>
        <w:t>Arreglar la tabla de operación, agregar los químicos en degradado.</w:t>
      </w:r>
      <w:r w:rsidR="005D6B83">
        <w:t xml:space="preserve"> Y las mediciones en falla</w:t>
      </w:r>
    </w:p>
    <w:p w:rsidR="00330A86" w:rsidRDefault="00330A86"/>
    <w:p w:rsidR="006C01A3" w:rsidRDefault="00105805" w:rsidP="00F45AB7">
      <w:pPr>
        <w:jc w:val="both"/>
      </w:pPr>
      <w:r>
        <w:t>Interacción de Unidades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p>
    <w:p w:rsidR="00DF765D" w:rsidRDefault="00DF765D"/>
    <w:p w:rsidR="00231F40" w:rsidRDefault="00231F40"/>
    <w:p w:rsidR="00231F40" w:rsidRDefault="00231F40">
      <w:r>
        <w:t>Modelo unidad de coagulación</w:t>
      </w:r>
    </w:p>
    <w:p w:rsidR="00231F40" w:rsidRDefault="00231F40"/>
    <w:p w:rsidR="00177CD4" w:rsidRDefault="00566488" w:rsidP="00566488">
      <w:r>
        <w:t>Los modelos discretos que se utilizaron para la unidad de coagulación describen la evolución posible en la turbidez de agua cruda</w:t>
      </w:r>
      <w:r w:rsidR="004979A5">
        <w:t xml:space="preserve"> (\</w:t>
      </w:r>
      <w:proofErr w:type="spellStart"/>
      <w:r w:rsidR="004979A5">
        <w:t>ref</w:t>
      </w:r>
      <w:proofErr w:type="spellEnd"/>
      <w:r w:rsidR="004979A5">
        <w:t xml:space="preserve"> FIGURA TAL)</w:t>
      </w:r>
      <w:r>
        <w:t xml:space="preserve"> y la </w:t>
      </w:r>
      <w:r w:rsidR="00F26FB6">
        <w:t>decisión</w:t>
      </w:r>
      <w:r>
        <w:t xml:space="preserve"> de </w:t>
      </w:r>
      <w:r w:rsidR="00F26FB6">
        <w:t xml:space="preserve">dosificación de coagulante dependiente de dicha </w:t>
      </w:r>
      <w:r>
        <w:t>turbidez</w:t>
      </w:r>
      <w:r w:rsidR="004979A5">
        <w:t xml:space="preserve"> (\</w:t>
      </w:r>
      <w:proofErr w:type="spellStart"/>
      <w:r w:rsidR="004979A5">
        <w:t>ref</w:t>
      </w:r>
      <w:proofErr w:type="spellEnd"/>
      <w:r w:rsidR="004979A5">
        <w:t xml:space="preserve"> FIGURA TAL)</w:t>
      </w:r>
      <w:r w:rsidR="00F26FB6">
        <w:t>; la composición de ambos modelos arroja el estado de la unidad según el flujo de producto.</w:t>
      </w:r>
      <w:r w:rsidR="00177CD4">
        <w:t xml:space="preserve"> Se toman en cuenta las condiciones operativas descritas en TAL LADO.</w:t>
      </w:r>
    </w:p>
    <w:p w:rsidR="00566488" w:rsidRDefault="0067513E" w:rsidP="00566488">
      <w:r>
        <w:t>Cabe</w:t>
      </w:r>
      <w:r w:rsidR="00177CD4">
        <w:t xml:space="preserve"> que en las plantas de tratamiento del estado Mérida, se adiciona sulfato de aluminio al proceso solo cuando la turbidez supera los 12 NTU.</w:t>
      </w:r>
    </w:p>
    <w:p w:rsidR="00177CD4" w:rsidRDefault="00177CD4" w:rsidP="00566488"/>
    <w:p w:rsidR="00177CD4" w:rsidRDefault="0067513E" w:rsidP="00566488">
      <w:r>
        <w:t>Emulación del gemelo digital</w:t>
      </w:r>
    </w:p>
    <w:p w:rsidR="0067513E" w:rsidRDefault="0067513E" w:rsidP="00566488"/>
    <w:p w:rsidR="008175A9" w:rsidRDefault="00E824D4" w:rsidP="00566488">
      <w:r w:rsidRPr="00E824D4">
        <w:t xml:space="preserve">Para el tercer escenario se supuso </w:t>
      </w:r>
      <w:r w:rsidR="00AB66D4">
        <w:t>la entrada de agua con</w:t>
      </w:r>
      <w:r w:rsidRPr="00E824D4">
        <w:t xml:space="preserve"> turbidez alta durante todo un día, </w:t>
      </w:r>
      <w:r w:rsidR="001E0A98">
        <w:t>esto</w:t>
      </w:r>
      <w:r w:rsidRPr="00E824D4">
        <w:t xml:space="preserve"> para corroborar que en un caso</w:t>
      </w:r>
      <w:r w:rsidR="00AB66D4">
        <w:t xml:space="preserve"> dado el sedimentador cumpla con la descarga de lodos. </w:t>
      </w:r>
      <w:r w:rsidR="001E0A98">
        <w:t xml:space="preserve">Se </w:t>
      </w:r>
      <w:r w:rsidR="001E0A98">
        <w:lastRenderedPageBreak/>
        <w:t>utilizaron los datos superiores a $95 NTU$ de la planta real, tomados de los conjuntos de datos iniciales, debido a que ninguno de ellos que cumpla con las características de baja calidad de agua entrante durante un periodo prolongado.</w:t>
      </w: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5C23"/>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77CD4"/>
    <w:rsid w:val="0018335B"/>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0A98"/>
    <w:rsid w:val="001E2493"/>
    <w:rsid w:val="001E2B81"/>
    <w:rsid w:val="001E5C02"/>
    <w:rsid w:val="001E7B51"/>
    <w:rsid w:val="001F06AA"/>
    <w:rsid w:val="001F2E8B"/>
    <w:rsid w:val="001F6E4A"/>
    <w:rsid w:val="0022172B"/>
    <w:rsid w:val="002242C2"/>
    <w:rsid w:val="00225657"/>
    <w:rsid w:val="00225DF4"/>
    <w:rsid w:val="00226DF0"/>
    <w:rsid w:val="00231F33"/>
    <w:rsid w:val="00231F40"/>
    <w:rsid w:val="002337EA"/>
    <w:rsid w:val="00234300"/>
    <w:rsid w:val="00235E2C"/>
    <w:rsid w:val="002364B3"/>
    <w:rsid w:val="00236618"/>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D24"/>
    <w:rsid w:val="002E6F3A"/>
    <w:rsid w:val="002E71A5"/>
    <w:rsid w:val="002F3C2A"/>
    <w:rsid w:val="0030632D"/>
    <w:rsid w:val="00310E3E"/>
    <w:rsid w:val="00311739"/>
    <w:rsid w:val="00311817"/>
    <w:rsid w:val="00312C59"/>
    <w:rsid w:val="00315500"/>
    <w:rsid w:val="003165BF"/>
    <w:rsid w:val="00316A5C"/>
    <w:rsid w:val="00325990"/>
    <w:rsid w:val="00326CE2"/>
    <w:rsid w:val="00330A86"/>
    <w:rsid w:val="003419CA"/>
    <w:rsid w:val="0034338E"/>
    <w:rsid w:val="003437EC"/>
    <w:rsid w:val="0034429F"/>
    <w:rsid w:val="0034594E"/>
    <w:rsid w:val="00346E94"/>
    <w:rsid w:val="00347724"/>
    <w:rsid w:val="0035031C"/>
    <w:rsid w:val="00356007"/>
    <w:rsid w:val="00356254"/>
    <w:rsid w:val="00357C96"/>
    <w:rsid w:val="00366536"/>
    <w:rsid w:val="003766B5"/>
    <w:rsid w:val="0037690C"/>
    <w:rsid w:val="0038703A"/>
    <w:rsid w:val="00393232"/>
    <w:rsid w:val="003A0F8A"/>
    <w:rsid w:val="003A2094"/>
    <w:rsid w:val="003A369D"/>
    <w:rsid w:val="003B06A2"/>
    <w:rsid w:val="003B138D"/>
    <w:rsid w:val="003B4CD9"/>
    <w:rsid w:val="003C0DF9"/>
    <w:rsid w:val="003C2612"/>
    <w:rsid w:val="003C298C"/>
    <w:rsid w:val="003C39EE"/>
    <w:rsid w:val="003C473B"/>
    <w:rsid w:val="003D1A59"/>
    <w:rsid w:val="003D45AE"/>
    <w:rsid w:val="003E15AC"/>
    <w:rsid w:val="003E17D8"/>
    <w:rsid w:val="003E4120"/>
    <w:rsid w:val="003E5DB6"/>
    <w:rsid w:val="003E767E"/>
    <w:rsid w:val="003F0A60"/>
    <w:rsid w:val="003F1C70"/>
    <w:rsid w:val="003F1E16"/>
    <w:rsid w:val="003F2053"/>
    <w:rsid w:val="0040055C"/>
    <w:rsid w:val="00405421"/>
    <w:rsid w:val="0040711F"/>
    <w:rsid w:val="004104FA"/>
    <w:rsid w:val="00415C34"/>
    <w:rsid w:val="004257EC"/>
    <w:rsid w:val="00430B50"/>
    <w:rsid w:val="00430E60"/>
    <w:rsid w:val="00431DBA"/>
    <w:rsid w:val="00433237"/>
    <w:rsid w:val="0043741A"/>
    <w:rsid w:val="004448D3"/>
    <w:rsid w:val="00445275"/>
    <w:rsid w:val="00451B69"/>
    <w:rsid w:val="004533B6"/>
    <w:rsid w:val="00456DA0"/>
    <w:rsid w:val="0046270E"/>
    <w:rsid w:val="0046365A"/>
    <w:rsid w:val="00465911"/>
    <w:rsid w:val="0046636A"/>
    <w:rsid w:val="00467913"/>
    <w:rsid w:val="0048282C"/>
    <w:rsid w:val="00487526"/>
    <w:rsid w:val="00494FD6"/>
    <w:rsid w:val="004979A5"/>
    <w:rsid w:val="004A0078"/>
    <w:rsid w:val="004A0891"/>
    <w:rsid w:val="004A5652"/>
    <w:rsid w:val="004A7EE4"/>
    <w:rsid w:val="004B1092"/>
    <w:rsid w:val="004B3DD2"/>
    <w:rsid w:val="004B48AF"/>
    <w:rsid w:val="004B5663"/>
    <w:rsid w:val="004B5835"/>
    <w:rsid w:val="004B638E"/>
    <w:rsid w:val="004B66F7"/>
    <w:rsid w:val="004C19B0"/>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66488"/>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2593"/>
    <w:rsid w:val="00674E7A"/>
    <w:rsid w:val="00675052"/>
    <w:rsid w:val="0067513E"/>
    <w:rsid w:val="00681C76"/>
    <w:rsid w:val="0068311E"/>
    <w:rsid w:val="00685A3E"/>
    <w:rsid w:val="00692EDC"/>
    <w:rsid w:val="00693F85"/>
    <w:rsid w:val="00695ED6"/>
    <w:rsid w:val="006A4853"/>
    <w:rsid w:val="006A6AE3"/>
    <w:rsid w:val="006A74D0"/>
    <w:rsid w:val="006A7542"/>
    <w:rsid w:val="006B0AE9"/>
    <w:rsid w:val="006B41CA"/>
    <w:rsid w:val="006B7FCF"/>
    <w:rsid w:val="006C01A3"/>
    <w:rsid w:val="006C21FE"/>
    <w:rsid w:val="006C400F"/>
    <w:rsid w:val="006C40A3"/>
    <w:rsid w:val="006C48C6"/>
    <w:rsid w:val="006C5A78"/>
    <w:rsid w:val="006C7A5C"/>
    <w:rsid w:val="006D5C10"/>
    <w:rsid w:val="006D6405"/>
    <w:rsid w:val="006E468E"/>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5B99"/>
    <w:rsid w:val="007578EA"/>
    <w:rsid w:val="00762C5C"/>
    <w:rsid w:val="007668CF"/>
    <w:rsid w:val="00774DB2"/>
    <w:rsid w:val="00776920"/>
    <w:rsid w:val="00781A84"/>
    <w:rsid w:val="00781B68"/>
    <w:rsid w:val="00790111"/>
    <w:rsid w:val="007924D6"/>
    <w:rsid w:val="007A437C"/>
    <w:rsid w:val="007A70B0"/>
    <w:rsid w:val="007B5303"/>
    <w:rsid w:val="007B71F5"/>
    <w:rsid w:val="007C3931"/>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834"/>
    <w:rsid w:val="00850950"/>
    <w:rsid w:val="0085288A"/>
    <w:rsid w:val="0085388A"/>
    <w:rsid w:val="008573AE"/>
    <w:rsid w:val="008577AA"/>
    <w:rsid w:val="00860140"/>
    <w:rsid w:val="00860AD2"/>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2BD4"/>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033B2"/>
    <w:rsid w:val="00A13B99"/>
    <w:rsid w:val="00A144E3"/>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2BD1"/>
    <w:rsid w:val="00A85D8C"/>
    <w:rsid w:val="00A86356"/>
    <w:rsid w:val="00A9564D"/>
    <w:rsid w:val="00AA03C7"/>
    <w:rsid w:val="00AA0734"/>
    <w:rsid w:val="00AA0989"/>
    <w:rsid w:val="00AA4D8C"/>
    <w:rsid w:val="00AB0F95"/>
    <w:rsid w:val="00AB66D4"/>
    <w:rsid w:val="00AB6D02"/>
    <w:rsid w:val="00AC2FCC"/>
    <w:rsid w:val="00AC3A60"/>
    <w:rsid w:val="00AC42B8"/>
    <w:rsid w:val="00AC5182"/>
    <w:rsid w:val="00AC7C79"/>
    <w:rsid w:val="00AD1B30"/>
    <w:rsid w:val="00AE1A9E"/>
    <w:rsid w:val="00AE2388"/>
    <w:rsid w:val="00AE3FC9"/>
    <w:rsid w:val="00AF078E"/>
    <w:rsid w:val="00AF08D7"/>
    <w:rsid w:val="00AF0C9E"/>
    <w:rsid w:val="00AF2173"/>
    <w:rsid w:val="00AF4435"/>
    <w:rsid w:val="00AF6DC0"/>
    <w:rsid w:val="00B2594B"/>
    <w:rsid w:val="00B261DB"/>
    <w:rsid w:val="00B261F1"/>
    <w:rsid w:val="00B26E3E"/>
    <w:rsid w:val="00B337C0"/>
    <w:rsid w:val="00B41721"/>
    <w:rsid w:val="00B42494"/>
    <w:rsid w:val="00B44831"/>
    <w:rsid w:val="00B46CBB"/>
    <w:rsid w:val="00B51360"/>
    <w:rsid w:val="00B51774"/>
    <w:rsid w:val="00B54D91"/>
    <w:rsid w:val="00B60414"/>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2354"/>
    <w:rsid w:val="00C13E59"/>
    <w:rsid w:val="00C1653F"/>
    <w:rsid w:val="00C302EA"/>
    <w:rsid w:val="00C3183C"/>
    <w:rsid w:val="00C32D23"/>
    <w:rsid w:val="00C4063F"/>
    <w:rsid w:val="00C43230"/>
    <w:rsid w:val="00C45D70"/>
    <w:rsid w:val="00C5052E"/>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2FFB"/>
    <w:rsid w:val="00CE4B3E"/>
    <w:rsid w:val="00CE4D67"/>
    <w:rsid w:val="00CF174F"/>
    <w:rsid w:val="00CF3A35"/>
    <w:rsid w:val="00CF56C4"/>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3F28"/>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E771B"/>
    <w:rsid w:val="00DF011C"/>
    <w:rsid w:val="00DF2CBE"/>
    <w:rsid w:val="00DF3210"/>
    <w:rsid w:val="00DF33B8"/>
    <w:rsid w:val="00DF765D"/>
    <w:rsid w:val="00E01152"/>
    <w:rsid w:val="00E0314C"/>
    <w:rsid w:val="00E037F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67829"/>
    <w:rsid w:val="00E713EB"/>
    <w:rsid w:val="00E71CA8"/>
    <w:rsid w:val="00E720A7"/>
    <w:rsid w:val="00E73771"/>
    <w:rsid w:val="00E800B4"/>
    <w:rsid w:val="00E824D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26FB6"/>
    <w:rsid w:val="00F312D3"/>
    <w:rsid w:val="00F32A8D"/>
    <w:rsid w:val="00F32EDE"/>
    <w:rsid w:val="00F34D09"/>
    <w:rsid w:val="00F41D5A"/>
    <w:rsid w:val="00F45AB7"/>
    <w:rsid w:val="00F50F7F"/>
    <w:rsid w:val="00F63151"/>
    <w:rsid w:val="00F63772"/>
    <w:rsid w:val="00F715F3"/>
    <w:rsid w:val="00F75D66"/>
    <w:rsid w:val="00F77445"/>
    <w:rsid w:val="00F7781C"/>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 w:id="2048677088">
      <w:bodyDiv w:val="1"/>
      <w:marLeft w:val="0"/>
      <w:marRight w:val="0"/>
      <w:marTop w:val="0"/>
      <w:marBottom w:val="0"/>
      <w:divBdr>
        <w:top w:val="none" w:sz="0" w:space="0" w:color="auto"/>
        <w:left w:val="none" w:sz="0" w:space="0" w:color="auto"/>
        <w:bottom w:val="none" w:sz="0" w:space="0" w:color="auto"/>
        <w:right w:val="none" w:sz="0" w:space="0" w:color="auto"/>
      </w:divBdr>
    </w:div>
    <w:div w:id="206316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56560</TotalTime>
  <Pages>7</Pages>
  <Words>1247</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443</cp:revision>
  <dcterms:created xsi:type="dcterms:W3CDTF">2019-07-12T21:39:00Z</dcterms:created>
  <dcterms:modified xsi:type="dcterms:W3CDTF">2019-11-08T01:01:00Z</dcterms:modified>
</cp:coreProperties>
</file>