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color w:val="0F172A"/>
          <w:sz w:val="44"/>
        </w:rPr>
        <w:t>GUIA DE ESTUDOS: BUSINESS EVENTS (BIZEVENTS)</w:t>
      </w:r>
    </w:p>
    <w:p>
      <w:pPr>
        <w:spacing w:after="400"/>
        <w:jc w:val="center"/>
      </w:pPr>
      <w:r>
        <w:rPr>
          <w:rFonts w:ascii="Calibri" w:hAnsi="Calibri"/>
          <w:b/>
          <w:color w:val="7C3AED"/>
          <w:sz w:val="24"/>
        </w:rPr>
        <w:t>Observabilidade de Negócios no Grail™, Captura e DQL — Certificação Dynatrace Associate</w:t>
      </w:r>
    </w:p>
    <w:p>
      <w:pPr>
        <w:spacing w:after="360"/>
        <w:jc w:val="center"/>
      </w:pPr>
      <w:r>
        <w:rPr>
          <w:color w:val="7C3AED"/>
        </w:rPr>
        <w:t>―――――――――――――――――――――――――――――――――――――――――――――</w:t>
      </w: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0"/>
        </w:rPr>
        <w:t>1. O que são Business Events (BizEvents)?</w:t>
      </w:r>
    </w:p>
    <w:p>
      <w:r>
        <w:t>Os Business Events (BizEvents) no Dynatrace transformam dados de telemetria técnica e observabilidade em informações de negócios acionáveis em tempo real. Armazenados no Grail™, os BizEvents permitem monitorar transações operacionais (ex: pedidos concluídos, reservas de voo, transferências Pix, logins de clientes) sem a necessidade de alterar o código da aplicação.</w:t>
      </w:r>
    </w:p>
    <w:p>
      <w:pPr>
        <w:pStyle w:val="ListBullet"/>
        <w:spacing w:after="60"/>
      </w:pPr>
      <w:r>
        <w:rPr>
          <w:b/>
          <w:color w:val="0F172A"/>
        </w:rPr>
        <w:t xml:space="preserve">Alinhamento entre TI e Negócios: </w:t>
      </w:r>
      <w:r>
        <w:t>Conecta métricas de desempenho de TI (latência, CPU, erros) diretamente ao impacto financeiro e funcional do negócio.</w:t>
      </w:r>
    </w:p>
    <w:p>
      <w:pPr>
        <w:pStyle w:val="ListBullet"/>
        <w:spacing w:after="60"/>
      </w:pPr>
      <w:r>
        <w:rPr>
          <w:b/>
          <w:color w:val="0F172A"/>
        </w:rPr>
        <w:t xml:space="preserve">Schema-on-Read e Grail™: </w:t>
      </w:r>
      <w:r>
        <w:t>Os BizEvents são armazenados de forma estruturada ou semi-estruturada na tabela `bizevents` do Grail™, permitindo consultas analíticas rápidas via DQL.</w:t>
      </w:r>
    </w:p>
    <w:p>
      <w:pPr>
        <w:pStyle w:val="ListBullet"/>
        <w:spacing w:after="60"/>
      </w:pPr>
      <w:r>
        <w:rPr>
          <w:b/>
          <w:color w:val="0F172A"/>
        </w:rPr>
        <w:t xml:space="preserve">Causalidade Nativa: </w:t>
      </w:r>
      <w:r>
        <w:t>Cada BizEvent pode manter o vínculo causal com o Trace/PurePath® da aplicação, permitindo navegar do evento comercial diretamente para o código que processou a requisição.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3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18" w:space="0" w:color="7C3AED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b/>
                <w:color w:val="0F172A"/>
              </w:rPr>
              <w:t>📌 Foco para a Certificação Associate</w:t>
              <w:br/>
            </w:r>
            <w:r>
              <w:rPr>
                <w:sz w:val="20"/>
              </w:rPr>
              <w:t>A prova exige que você entenda as formas de captura de BizEvents (OneAgent Ingest, API HTTP, RUM), a estrutura dos campos padrão (event.type, event.provider) e como consultar e agregar esses dados usando DQL (`fetch bizevents`).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0"/>
        </w:rPr>
        <w:t>2. Métodos de Captura de Business Events</w:t>
      </w:r>
    </w:p>
    <w:p>
      <w:r>
        <w:t>O Dynatrace oferece múltiplos caminhos para capturar e gerar BizEvents. Compreender quando utilizar cada método é essencial: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F172A"/>
          </w:tcPr>
          <w:p>
            <w:r>
              <w:rPr>
                <w:b/>
                <w:color w:val="FFFFFF"/>
              </w:rPr>
              <w:t>Método de Captura</w:t>
            </w:r>
          </w:p>
        </w:tc>
        <w:tc>
          <w:tcPr>
            <w:tcW w:type="dxa" w:w="3120"/>
            <w:shd w:fill="0F172A"/>
          </w:tcPr>
          <w:p>
            <w:r>
              <w:rPr>
                <w:b/>
                <w:color w:val="FFFFFF"/>
              </w:rPr>
              <w:t>Mecanismo e Funcionamento</w:t>
            </w:r>
          </w:p>
        </w:tc>
        <w:tc>
          <w:tcPr>
            <w:tcW w:type="dxa" w:w="3120"/>
            <w:shd w:fill="0F172A"/>
          </w:tcPr>
          <w:p>
            <w:r>
              <w:rPr>
                <w:b/>
                <w:color w:val="FFFFFF"/>
              </w:rPr>
              <w:t>Casos de Uso Recomendados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OneAgent Business Event Capture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Extrai dados de payload HTTP (headers, body em JSON/XML) ou chamadas de método automaticamente no servidor sem alterar código.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Captura de compras em e-commerce, boletos gerados ou confirmações de cadastro em APIs de backend.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Business Event Ingest API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Envio direto de eventos estruturados em JSON via requisição HTTP POST para a API do Dynatrace (`/api/v2/bizevents/ingest`).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Integração com sistemas legados, mainframe, ferramentas de terceiros ou barramentos de integração (ESB).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Real User Monitoring (RUM JS API)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Disparado no navegador do usuário final via JavaScript (`dtrum.sendBizEvent()`).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Captura de cliques em botões de conversão, aceite de termos de uso ou interações puras de frontend.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Fluentd / Log Processing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Extração de eventos de negócio a partir de linhas de log estruturadas através do Log Processing Pipeline.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Sistemas que já gravam auditorias de negócios em arquivos de log.</w:t>
            </w:r>
          </w:p>
        </w:tc>
      </w:tr>
    </w:tbl>
    <w:p/>
    <w:p>
      <w:pPr>
        <w:keepNext/>
        <w:spacing w:before="320" w:after="120"/>
      </w:pPr>
      <w:r>
        <w:rPr>
          <w:rFonts w:ascii="Calibri" w:hAnsi="Calibri"/>
          <w:b/>
          <w:color w:val="0F172A"/>
          <w:sz w:val="30"/>
        </w:rPr>
        <w:t>3. Estrutura e Campos Padrão de um BizEvent</w:t>
      </w:r>
    </w:p>
    <w:p>
      <w:r>
        <w:t>Todo Business Event gravado no Grail™ possui campos obrigatórios e padronizados que garantem a consistência nas consultas:</w:t>
      </w:r>
    </w:p>
    <w:p>
      <w:pPr>
        <w:pStyle w:val="ListBullet"/>
        <w:spacing w:after="60"/>
      </w:pPr>
      <w:r>
        <w:rPr>
          <w:b/>
          <w:color w:val="0F172A"/>
        </w:rPr>
        <w:t xml:space="preserve">event.type (Tipo do Evento): </w:t>
      </w:r>
      <w:r>
        <w:t>Obrigatório. Define a natureza da transação de negócio (ex: `com.empresa.pedido.checkout`, `com.bank.pix.transfer`).</w:t>
      </w:r>
    </w:p>
    <w:p>
      <w:pPr>
        <w:pStyle w:val="ListBullet"/>
        <w:spacing w:after="60"/>
      </w:pPr>
      <w:r>
        <w:rPr>
          <w:b/>
          <w:color w:val="0F172A"/>
        </w:rPr>
        <w:t xml:space="preserve">event.provider (Provedor/Origem): </w:t>
      </w:r>
      <w:r>
        <w:t>Obrigatório. Identifica o sistema ou serviço de origem que gerou o evento (ex: `checkout-service`, `payment-gateway`).</w:t>
      </w:r>
    </w:p>
    <w:p>
      <w:pPr>
        <w:pStyle w:val="ListBullet"/>
        <w:spacing w:after="60"/>
      </w:pPr>
      <w:r>
        <w:rPr>
          <w:b/>
          <w:color w:val="0F172A"/>
        </w:rPr>
        <w:t xml:space="preserve">event.id (ID do Evento): </w:t>
      </w:r>
      <w:r>
        <w:t>Identificador único daquela ocorrência específica.</w:t>
      </w:r>
    </w:p>
    <w:p>
      <w:pPr>
        <w:pStyle w:val="ListBullet"/>
        <w:spacing w:after="60"/>
      </w:pPr>
      <w:r>
        <w:rPr>
          <w:b/>
          <w:color w:val="0F172A"/>
        </w:rPr>
        <w:t xml:space="preserve">timestamp: </w:t>
      </w:r>
      <w:r>
        <w:t>Data e hora exata em que a transação de negócio ocorreu.</w:t>
      </w:r>
    </w:p>
    <w:p>
      <w:pPr>
        <w:pStyle w:val="ListBullet"/>
        <w:spacing w:after="60"/>
      </w:pPr>
      <w:r>
        <w:rPr>
          <w:b/>
          <w:color w:val="0F172A"/>
        </w:rPr>
        <w:t xml:space="preserve">Atributos Customizados de Negócio: </w:t>
      </w:r>
      <w:r>
        <w:t>Campos adicionais extraídos do payload (ex: `amount`, `currency`, `customer.tier`, `product.id`).</w:t>
      </w: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0"/>
        </w:rPr>
        <w:t>4. Consultando e Analisando BizEvents com DQL (`fetch bizevents`)</w:t>
      </w:r>
    </w:p>
    <w:p>
      <w:r>
        <w:t>A análise de processos operacionais e indicadores de negócio é realizada consultando a tabela `bizevents` no DQL.</w:t>
      </w:r>
    </w:p>
    <w:p>
      <w:pPr>
        <w:keepNext/>
        <w:spacing w:before="240" w:after="80"/>
      </w:pPr>
      <w:r>
        <w:rPr>
          <w:rFonts w:ascii="Calibri" w:hAnsi="Calibri"/>
          <w:b/>
          <w:color w:val="7C3AED"/>
          <w:sz w:val="25"/>
        </w:rPr>
        <w:t>Exemplo 1: Faturamento Total e Volume de Vendas por Moeda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7C3AED"/>
              <w:bottom w:val="none"/>
              <w:right w:val="none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F1F5F9"/>
                <w:sz w:val="19"/>
              </w:rPr>
              <w:t>fetch bizevents, from: now() - 24h</w:t>
              <w:br/>
              <w:t>| filter event.type == "com.loja.checkout.sucesso"</w:t>
              <w:br/>
              <w:t>| summarize total_vendas = count(), faturamento = sum(amount), by: {currency}</w:t>
              <w:br/>
              <w:t>| sort faturamento desc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7C3AED"/>
          <w:sz w:val="25"/>
        </w:rPr>
        <w:t>Exemplo 2: Monitoramento de Taxa de Conversão por Categoria de Cliente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7C3AED"/>
              <w:bottom w:val="none"/>
              <w:right w:val="none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F1F5F9"/>
                <w:sz w:val="19"/>
              </w:rPr>
              <w:t>fetch bizevents, from: now() - 12h</w:t>
              <w:br/>
              <w:t>| filter event.type in ["com.loja.cart.add", "com.loja.checkout.sucesso"]</w:t>
              <w:br/>
              <w:t>| summarize total = count(), by: {event.type, customer.tier}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7C3AED"/>
          <w:sz w:val="25"/>
        </w:rPr>
        <w:t>Exemplo 3: Série Temporal de Transações de Negócio (MakeTimeseries)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7C3AED"/>
              <w:bottom w:val="none"/>
              <w:right w:val="none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F1F5F9"/>
                <w:sz w:val="19"/>
              </w:rPr>
              <w:t>fetch bizevents, from: now() - 6h</w:t>
              <w:br/>
              <w:t>| filter event.type == "com.bank.pix.transfer"</w:t>
              <w:br/>
              <w:t>| makeTimeseries volume_pix = count(), interval: 15m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3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18" w:space="0" w:color="7C3AED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b/>
                <w:color w:val="0F172A"/>
              </w:rPr>
              <w:t>📌 Regra de Ouro para a Prova</w:t>
              <w:br/>
            </w:r>
            <w:r>
              <w:rPr>
                <w:sz w:val="20"/>
              </w:rPr>
              <w:t>Ao criar gráficos de tendência de vendas ou transações de negócio ao longo do tempo no Dashboard, utilize o comando 'makeTimeseries' com o parâmetro 'interval:' para garantir a renderização correta das linhas temporais.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0"/>
        </w:rPr>
        <w:t>5. Casos de Uso e Valor de Negócio</w:t>
      </w:r>
    </w:p>
    <w:p>
      <w:r>
        <w:t>A certificação Associate frequentemente aborda cenários práticos onde os BizEvents trazem vantagens estratégicas:</w:t>
      </w:r>
    </w:p>
    <w:p>
      <w:pPr>
        <w:pStyle w:val="ListBullet"/>
        <w:spacing w:after="60"/>
      </w:pPr>
      <w:r>
        <w:rPr>
          <w:b/>
          <w:color w:val="0F172A"/>
        </w:rPr>
        <w:t xml:space="preserve">Acompanhamento da Black Friday / Campanhas: </w:t>
      </w:r>
      <w:r>
        <w:t>Visualizar receita gerada por minuto e taxa de sucesso em pagamentos durante picos de tráfego.</w:t>
      </w:r>
    </w:p>
    <w:p>
      <w:pPr>
        <w:pStyle w:val="ListBullet"/>
        <w:spacing w:after="60"/>
      </w:pPr>
      <w:r>
        <w:rPr>
          <w:b/>
          <w:color w:val="0F172A"/>
        </w:rPr>
        <w:t xml:space="preserve">Detecção de Falhas Funcionais Sem Erro Técnico: </w:t>
      </w:r>
      <w:r>
        <w:t>Se a taxa de requisições HTTP 200 continua normal, mas a contagem de BizEvents de 'compra_concluida' cai a zero, o BizEvent alerta para uma falha funcional ou de integração que métricas de TI puras não detectariam.</w:t>
      </w:r>
    </w:p>
    <w:p>
      <w:pPr>
        <w:pStyle w:val="ListBullet"/>
        <w:spacing w:after="60"/>
      </w:pPr>
      <w:r>
        <w:rPr>
          <w:b/>
          <w:color w:val="0F172A"/>
        </w:rPr>
        <w:t xml:space="preserve">Automação de Workflows com Dados de Negócio: </w:t>
      </w:r>
      <w:r>
        <w:t>Disparar um Dynatrace Workflow de aviso se uma transação VIP de alto valor falhar.</w:t>
      </w: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0"/>
        </w:rPr>
        <w:t>6. Questões e Cenários de Exame Resolvidos</w:t>
      </w:r>
    </w:p>
    <w:p>
      <w:pPr>
        <w:keepNext/>
        <w:spacing w:before="240" w:after="80"/>
      </w:pPr>
      <w:r>
        <w:rPr>
          <w:rFonts w:ascii="Calibri" w:hAnsi="Calibri"/>
          <w:b/>
          <w:color w:val="7C3AED"/>
          <w:sz w:val="25"/>
        </w:rPr>
        <w:t>Questão 1: Captura Sem Alteração de Código</w:t>
      </w:r>
    </w:p>
    <w:p>
      <w:r>
        <w:t>Cenário: Uma equipe deseja monitorar o valor total das compras em uma API Java existente, mas não tem permissão para alterar o código-fonte da aplicação. Como isso pode ser realizado?</w:t>
      </w:r>
    </w:p>
    <w:p>
      <w:r>
        <w:t>Resposta Correta: Configurar uma regra de OneAgent Business Event Capture. O OneAgent extrairá o campo de valor do payload JSON da requisição HTTP de forma automática sem alterar uma linha de código.</w:t>
      </w:r>
    </w:p>
    <w:p>
      <w:pPr>
        <w:keepNext/>
        <w:spacing w:before="240" w:after="80"/>
      </w:pPr>
      <w:r>
        <w:rPr>
          <w:rFonts w:ascii="Calibri" w:hAnsi="Calibri"/>
          <w:b/>
          <w:color w:val="7C3AED"/>
          <w:sz w:val="25"/>
        </w:rPr>
        <w:t>Questão 2: Identificação de Campos Obrigatórios</w:t>
      </w:r>
    </w:p>
    <w:p>
      <w:r>
        <w:t>Cenário: Ao enviar um evento de negócio customizado via HTTP Ingest API, quais são os dois campos padrão obrigatórios que devem constar no payload JSON?</w:t>
      </w:r>
    </w:p>
    <w:p>
      <w:r>
        <w:t>Resposta Correta: `event.type` (tipo do evento) e `event.provider` (provedor/sistema de origem).</w:t>
      </w:r>
    </w:p>
    <w:p>
      <w:pPr>
        <w:keepNext/>
        <w:spacing w:before="240" w:after="80"/>
      </w:pPr>
      <w:r>
        <w:rPr>
          <w:rFonts w:ascii="Calibri" w:hAnsi="Calibri"/>
          <w:b/>
          <w:color w:val="7C3AED"/>
          <w:sz w:val="25"/>
        </w:rPr>
        <w:t>Questão 3: Consulta DQL de Faturamento</w:t>
      </w:r>
    </w:p>
    <w:p>
      <w:r>
        <w:t>Cenário: Como calcular a média do valor de transações (`transaction_value`) para o evento `com.bank.payment` nas últimas 2 horas?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7C3AED"/>
              <w:bottom w:val="none"/>
              <w:right w:val="none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F1F5F9"/>
                <w:sz w:val="19"/>
              </w:rPr>
              <w:t>// Resposta Solução:</w:t>
              <w:br/>
              <w:t>fetch bizevents, from: now() - 2h</w:t>
              <w:br/>
              <w:t>| filter event.type == "com.bank.payment"</w:t>
              <w:br/>
              <w:t>| summarize media_valor = avg(transaction_value)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0"/>
        </w:rPr>
        <w:t>7. Checklist Final de Preparação para o Exame</w:t>
      </w:r>
    </w:p>
    <w:p>
      <w:pPr>
        <w:spacing w:after="80"/>
      </w:pPr>
      <w:r>
        <w:rPr>
          <w:b/>
          <w:color w:val="7C3AED"/>
        </w:rPr>
        <w:t xml:space="preserve">☑ </w:t>
      </w:r>
      <w:r>
        <w:rPr>
          <w:b/>
          <w:color w:val="0F172A"/>
        </w:rPr>
        <w:t xml:space="preserve">Conceito de BizEvents: </w:t>
      </w:r>
      <w:r>
        <w:t>Entende a diferença entre métricas técnicas de TI e eventos operacionais de negócios.</w:t>
      </w:r>
    </w:p>
    <w:p>
      <w:pPr>
        <w:spacing w:after="80"/>
      </w:pPr>
      <w:r>
        <w:rPr>
          <w:b/>
          <w:color w:val="7C3AED"/>
        </w:rPr>
        <w:t xml:space="preserve">☑ </w:t>
      </w:r>
      <w:r>
        <w:rPr>
          <w:b/>
          <w:color w:val="0F172A"/>
        </w:rPr>
        <w:t xml:space="preserve">Tabela `bizevents` no Grail™: </w:t>
      </w:r>
      <w:r>
        <w:t>Sabe utilizar `fetch bizevents` e aplicar agregações (`sum`, `count`, `avg`) em campos customizados.</w:t>
      </w:r>
    </w:p>
    <w:p>
      <w:pPr>
        <w:spacing w:after="80"/>
      </w:pPr>
      <w:r>
        <w:rPr>
          <w:b/>
          <w:color w:val="7C3AED"/>
        </w:rPr>
        <w:t xml:space="preserve">☑ </w:t>
      </w:r>
      <w:r>
        <w:rPr>
          <w:b/>
          <w:color w:val="0F172A"/>
        </w:rPr>
        <w:t xml:space="preserve">Métodos de Ingestão: </w:t>
      </w:r>
      <w:r>
        <w:t>Sabe diferenciar OneAgent Capture, Ingest API, RUM JS API e Log Processing.</w:t>
      </w:r>
    </w:p>
    <w:p>
      <w:pPr>
        <w:spacing w:after="80"/>
      </w:pPr>
      <w:r>
        <w:rPr>
          <w:b/>
          <w:color w:val="7C3AED"/>
        </w:rPr>
        <w:t xml:space="preserve">☑ </w:t>
      </w:r>
      <w:r>
        <w:rPr>
          <w:b/>
          <w:color w:val="0F172A"/>
        </w:rPr>
        <w:t xml:space="preserve">Campos Obrigatórios: </w:t>
      </w:r>
      <w:r>
        <w:t>Decora os campos padrão obrigatórios: `event.type` e `event.provider`.</w:t>
      </w:r>
    </w:p>
    <w:p>
      <w:pPr>
        <w:spacing w:after="80"/>
      </w:pPr>
      <w:r>
        <w:rPr>
          <w:b/>
          <w:color w:val="7C3AED"/>
        </w:rPr>
        <w:t xml:space="preserve">☑ </w:t>
      </w:r>
      <w:r>
        <w:rPr>
          <w:b/>
          <w:color w:val="0F172A"/>
        </w:rPr>
        <w:t xml:space="preserve">Detecção de Falhas de Negócio: </w:t>
      </w:r>
      <w:r>
        <w:t>Compreende como BizEvents identificam problemas funcionais onde a TI técnica responde com HTTP 200 OK.</w:t>
      </w:r>
    </w:p>
    <w:p>
      <w:pPr>
        <w:spacing w:before="480"/>
        <w:jc w:val="center"/>
      </w:pPr>
      <w:r>
        <w:rPr>
          <w:i/>
          <w:color w:val="94A3B8"/>
          <w:sz w:val="18"/>
        </w:rPr>
        <w:t>Guia de Estudos Dynatrace Business Events (BizEvents) — Preparatório Associate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