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SEGURANÇA E PRIVACIDADE</w:t>
      </w:r>
    </w:p>
    <w:p>
      <w:pPr>
        <w:spacing w:after="400"/>
        <w:jc w:val="center"/>
      </w:pPr>
      <w:r>
        <w:rPr>
          <w:rFonts w:ascii="Calibri" w:hAnsi="Calibri"/>
          <w:b/>
          <w:color w:val="B91C1C"/>
          <w:sz w:val="23"/>
        </w:rPr>
        <w:t>Application Security, Mascaramento PII/GDPR, IAM, OAuth2 e DQL — Certificação Dynatrace Associate</w:t>
      </w:r>
    </w:p>
    <w:p>
      <w:pPr>
        <w:spacing w:after="360"/>
        <w:jc w:val="center"/>
      </w:pPr>
      <w:r>
        <w:rPr>
          <w:color w:val="B91C1C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Visão Geral da Segurança no Dynatrace</w:t>
      </w:r>
    </w:p>
    <w:p>
      <w:r>
        <w:t>A segurança na plataforma Dynatrace abrange dois pilares fundamentais exigidos na certificação Associate: 1) A proteção e privacidade dos dados monitorados (mascaramento de PII, controle de acesso e conformidade LGPD/GDPR); e 2) O Application Security (Runtime Vulnerability Analytics e Attack Protection em tempo de execução).</w:t>
      </w:r>
    </w:p>
    <w:p>
      <w:pPr>
        <w:pStyle w:val="ListBullet"/>
        <w:spacing w:after="60"/>
      </w:pPr>
      <w:r>
        <w:rPr>
          <w:b/>
          <w:color w:val="0F172A"/>
        </w:rPr>
        <w:t xml:space="preserve">Privacidade por Design (Privacy-by-Default): </w:t>
      </w:r>
      <w:r>
        <w:t>Por padrão, o Dynatrace adota privacidade rigorosa. Parâmetros de consulta SQL, URIs com dados sensíveis e entradas de usuário no RUM são anonimizados ou mascarados na borda (no agente) antes do envio ao Grail™.</w:t>
      </w:r>
    </w:p>
    <w:p>
      <w:pPr>
        <w:pStyle w:val="ListBullet"/>
        <w:spacing w:after="60"/>
      </w:pPr>
      <w:r>
        <w:rPr>
          <w:b/>
          <w:color w:val="0F172A"/>
        </w:rPr>
        <w:t xml:space="preserve">Application Security Integrado (Runtime Security): </w:t>
      </w:r>
      <w:r>
        <w:t>Aproveita a instrumentação automática do OneAgent para detectar vulnerabilidades de código em tempo de execução (RASP/IAST) sem exigir scanners externos pesados.</w:t>
      </w:r>
    </w:p>
    <w:p>
      <w:pPr>
        <w:pStyle w:val="ListBullet"/>
        <w:spacing w:after="60"/>
      </w:pPr>
      <w:r>
        <w:rPr>
          <w:b/>
          <w:color w:val="0F172A"/>
        </w:rPr>
        <w:t xml:space="preserve">Governança de Acesso baseada em Políticas (IAM): </w:t>
      </w:r>
      <w:r>
        <w:t>Gerenciamento centralizado de usuários, grupos, papéis (Roles), permissões refinadas e integração SSO/SAML/OAuth2.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B91C1C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Foco para a Certificação Associate</w:t>
              <w:br/>
            </w:r>
            <w:r>
              <w:rPr>
                <w:sz w:val="20"/>
              </w:rPr>
              <w:t>A prova exige que você saiba como funciona a proteção de dados sensíveis (PII / GDPR), o cálculo do Davies Security Score (DSS), o ciclo de vida de vulnerabilidades em contêineres/código e o controle de acesso de usuários.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Proteção de Dados Sensíveis, PII e Conformidade (LGPD / GDPR)</w:t>
      </w:r>
    </w:p>
    <w:p>
      <w:r>
        <w:t>Garantir que Informações Pessoais Identificáveis (PII - Personally Identifiable Information), senhas e dados bancários não sejam gravados no Grail™ é uma responsabilidade crítica configurada no Dynatrace: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Mecanismo de Privacidade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Onde/Como Funciona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Exemplo e Aplicação Prática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SQL Bind Parameters Masking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Executado no OneAgent durante a captura do PurePath®.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Substitui valores literais em queries SQL por interrogações (`SELECT * FROM users WHERE id = ?`) prevenindo vazamento de dados.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RUM Data Masking &amp; Anonymization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Executado no navegador do usuário/agente JS.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Mascara campos de input de formulários (senhas, CPF, cartão de crédito) e IP de origem (último octeto mascarado para conformidade LGPD/GDPR).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Session Replay Privacy Rules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Regras ativas por padrão no cliente antes da gravação de tela.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`Mask all input fields` e `Mask all text` impedem que digitações sensíveis apareçam no vídeo de reprodução de UX.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Log Processing Redaction (PII Regex)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Executado no pipeline de ingestão do Log Management.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Regras de regex substituem padrões de senhas ou tokens por `***` antes de gravar os registros no Grail™.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Dynatrace Application Security (Application Vulnerability Analytics)</w:t>
      </w:r>
    </w:p>
    <w:p>
      <w:r>
        <w:t>O módulo de Application Security detecta continuamente vulnerabilidades conhecidas em bibliotecas de software de terceiros (como Log4j, Spring4Shell) em execução no ambiente.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5"/>
        </w:rPr>
        <w:t>A. Davis® Security Score (DSS):</w:t>
      </w:r>
    </w:p>
    <w:p>
      <w:pPr>
        <w:pStyle w:val="ListBullet"/>
        <w:spacing w:after="60"/>
      </w:pPr>
      <w:r>
        <w:rPr>
          <w:b/>
          <w:color w:val="0F172A"/>
        </w:rPr>
        <w:t xml:space="preserve">Melhoria sobre o CVSS Standard: </w:t>
      </w:r>
      <w:r>
        <w:t>Enquanto o CVSS (Common Vulnerability Scoring System) indica apenas a gravidade teórica de uma vulnerabilidade, o DSS ajusta a pontuação com base no contexto REAL de execução no seu ambiente.</w:t>
      </w:r>
    </w:p>
    <w:p>
      <w:pPr>
        <w:pStyle w:val="ListBullet"/>
        <w:spacing w:after="60"/>
      </w:pPr>
      <w:r>
        <w:rPr>
          <w:b/>
          <w:color w:val="0F172A"/>
        </w:rPr>
        <w:t xml:space="preserve">Fatores do Cálculo do DSS: </w:t>
      </w:r>
      <w:r>
        <w:t>Considera se a biblioteca vulnerável está em memória ativa, se há exposição direta à internet (Internet Facing) e se possui acesso a dados confidenciais no banco de dados.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5"/>
        </w:rPr>
        <w:t>B. Modos de Segurança (Vulnerability Analytics vs. Attack Protection):</w:t>
      </w:r>
    </w:p>
    <w:p>
      <w:pPr>
        <w:pStyle w:val="ListBullet"/>
        <w:spacing w:after="60"/>
      </w:pPr>
      <w:r>
        <w:rPr>
          <w:b/>
          <w:color w:val="0F172A"/>
        </w:rPr>
        <w:t xml:space="preserve">Runtime Vulnerability Analytics (RVA): </w:t>
      </w:r>
      <w:r>
        <w:t>Identifica e mapeia vulnerabilidades em tempo real nas bibliotecas e contêineres carregados em memória.</w:t>
      </w:r>
    </w:p>
    <w:p>
      <w:pPr>
        <w:pStyle w:val="ListBullet"/>
        <w:spacing w:after="60"/>
      </w:pPr>
      <w:r>
        <w:rPr>
          <w:b/>
          <w:color w:val="0F172A"/>
        </w:rPr>
        <w:t xml:space="preserve">Runtime Application Protection (RAP): </w:t>
      </w:r>
      <w:r>
        <w:t>Bloqueia ativamente tentativas de exploração em tempo de execução (ex: injeção SQL, Command Injection) antes que o código malicioso seja executado.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1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B91C1C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Regra de Ouro para a Prova Associate</w:t>
              <w:br/>
            </w:r>
            <w:r>
              <w:rPr>
                <w:sz w:val="20"/>
              </w:rPr>
              <w:t>O Davis® Security Score (DSS) é MENSURADO com base no contexto real de execução. Se uma biblioteca possui CVSS 10.0 (Crítico), mas a aplicação não está exposta à internet e o método vulnerável NUNCA é chamado, o DSS reduz a prioridade para evitar alarmes falsos.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Gestão de Acesso, Autenticação e IAM (Identity &amp; Access Management)</w:t>
      </w:r>
    </w:p>
    <w:p>
      <w:r>
        <w:t>O controle de quem pode visualizar dados ou alterar configurações na plataforma é estruturado no ecossistema de IAM:</w:t>
      </w:r>
    </w:p>
    <w:p>
      <w:pPr>
        <w:pStyle w:val="ListBullet"/>
        <w:spacing w:after="60"/>
      </w:pPr>
      <w:r>
        <w:rPr>
          <w:b/>
          <w:color w:val="0F172A"/>
        </w:rPr>
        <w:t xml:space="preserve">User Groups &amp; Roles: </w:t>
      </w:r>
      <w:r>
        <w:t>O acesso é concedido por grupos de usuários (User Groups) vinculados a Roles (papéis com permissões como `View logs`, `Manage Dashboards`, `Environment Admin`).</w:t>
      </w:r>
    </w:p>
    <w:p>
      <w:pPr>
        <w:pStyle w:val="ListBullet"/>
        <w:spacing w:after="60"/>
      </w:pPr>
      <w:r>
        <w:rPr>
          <w:b/>
          <w:color w:val="0F172A"/>
        </w:rPr>
        <w:t xml:space="preserve">Management Zones (Zonas de Gerenciamento): </w:t>
      </w:r>
      <w:r>
        <w:t>Segregação lógica que limita a visibilidade de usuários a um subconjunto de entidades (ex: limitar a equipe da 'Aplicação X' para ver apenas os hosts, logs e métricas marcados com a tag `App: X`).</w:t>
      </w:r>
    </w:p>
    <w:p>
      <w:pPr>
        <w:pStyle w:val="ListBullet"/>
        <w:spacing w:after="60"/>
      </w:pPr>
      <w:r>
        <w:rPr>
          <w:b/>
          <w:color w:val="0F172A"/>
        </w:rPr>
        <w:t xml:space="preserve">Tokens de API e OAuth2 Client Credentials: </w:t>
      </w:r>
      <w:r>
        <w:t>Acesso programmatico via API e integrações é autenticado usando API Tokens granulares ou OAuth2 Client Credentials com escopos específicos.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Consultando Vulnerabilidades e Segurança no DQL (`fetch dt.security...`)</w:t>
      </w:r>
    </w:p>
    <w:p>
      <w:r>
        <w:t>No Grail™, vulnerabilidades de segurança e eventos de ataque são consultados via DQL através de tabelas dedicadas: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5"/>
        </w:rPr>
        <w:t>Exemplo 1: Listando Vulnerabilidades Abertas por Nível de Severidade (DSS)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B91C1C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dt.security.vulnerability</w:t>
              <w:br/>
              <w:t>| filter status == "OPEN"</w:t>
              <w:br/>
              <w:t>| summarize total = count(), by: {dssScore, title}</w:t>
              <w:br/>
              <w:t>| sort dssScore desc</w:t>
              <w:br/>
              <w:t>| limit 10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5"/>
        </w:rPr>
        <w:t>Exemplo 2: Auditando Tentativas de Ataques Bloqueados (RAP)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B91C1C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dt.security.attack</w:t>
              <w:br/>
              <w:t>| filter attackStatus == "BLOCKED"</w:t>
              <w:br/>
              <w:t>| summarize total_bloqueios = count(), by: {entryPoint, attackerIp}</w:t>
              <w:br/>
              <w:t>| sort total_bloqueios desc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5"/>
        </w:rPr>
        <w:t>Questão 1: Diferença entre CVSS e Davis® Security Score (DSS)</w:t>
      </w:r>
    </w:p>
    <w:p>
      <w:r>
        <w:t>Cenário: Uma nova vulnerabilidade Log4j com CVSS 10.0 é publicada. No Dynatrace, a vulnerabilidade aparece com pontuação DSS de 6.2 em um determinado servidor. Por que a pontuação no Dynatrace é menor?</w:t>
      </w:r>
    </w:p>
    <w:p>
      <w:r>
        <w:t>Resposta Correta: Porque o Davis® Security Score (DSS) ajusta o risco com base no contexto real de execução. Se o servidor não possui IP público exposto à internet ou se a função vulnerável não está sendo chamada, o risco real é reduzido.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5"/>
        </w:rPr>
        <w:t>Questão 2: Mascaramento de Parâmetros SQL</w:t>
      </w:r>
    </w:p>
    <w:p>
      <w:r>
        <w:t>Cenário: Durante um teste de auditoria, um cliente nota que os parâmetros de chamadas SQL (`WHERE email = 'usuario@empresa.com'`) aparecem como `?` nos traces do PurePath®. Onde essa alteração foi feita?</w:t>
      </w:r>
    </w:p>
    <w:p>
      <w:r>
        <w:t>Resposta Correta: No próprio OneAgent na aplicação do cliente, antes mesmo de enviar o trace para a nuvem da Dynatrace, garantindo a privacidade dos dados.</w:t>
      </w:r>
    </w:p>
    <w:p>
      <w:pPr>
        <w:keepNext/>
        <w:spacing w:before="240" w:after="80"/>
      </w:pPr>
      <w:r>
        <w:rPr>
          <w:rFonts w:ascii="Calibri" w:hAnsi="Calibri"/>
          <w:b/>
          <w:color w:val="B91C1C"/>
          <w:sz w:val="25"/>
        </w:rPr>
        <w:t>Questão 3: Restrição de Visibilidade com Management Zones</w:t>
      </w:r>
    </w:p>
    <w:p>
      <w:r>
        <w:t>Cenário: Como garantir que a equipe de desenvolvimento do 'Projeto Alfa' veja apenas os logs, métricas e problemas dos seus próprios servidores, sem visualizar a infraestrutura de outros projetos?</w:t>
      </w:r>
    </w:p>
    <w:p>
      <w:r>
        <w:t>Resposta Correta: Criar uma Management Zone filtrada pelas tags do Projeto Alfa e atribuir a essa equipe um User Group com permissões restritas a essa Management Zone.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B91C1C"/>
        </w:rPr>
        <w:t xml:space="preserve">☑ </w:t>
      </w:r>
      <w:r>
        <w:rPr>
          <w:b/>
          <w:color w:val="0F172A"/>
        </w:rPr>
        <w:t xml:space="preserve">Privacidade na Borda (Edge Masking): </w:t>
      </w:r>
      <w:r>
        <w:t>Entende que mascaramento de SQL, RUM e Session Replay ocorre no agente antes de ir ao Grail.</w:t>
      </w:r>
    </w:p>
    <w:p>
      <w:pPr>
        <w:spacing w:after="80"/>
      </w:pPr>
      <w:r>
        <w:rPr>
          <w:b/>
          <w:color w:val="B91C1C"/>
        </w:rPr>
        <w:t xml:space="preserve">☑ </w:t>
      </w:r>
      <w:r>
        <w:rPr>
          <w:b/>
          <w:color w:val="0F172A"/>
        </w:rPr>
        <w:t xml:space="preserve">Davis® Security Score (DSS): </w:t>
      </w:r>
      <w:r>
        <w:t>Sabe que o DSS adapta o CVSS considerando exposição à internet e uso em memória.</w:t>
      </w:r>
    </w:p>
    <w:p>
      <w:pPr>
        <w:spacing w:after="80"/>
      </w:pPr>
      <w:r>
        <w:rPr>
          <w:b/>
          <w:color w:val="B91C1C"/>
        </w:rPr>
        <w:t xml:space="preserve">☑ </w:t>
      </w:r>
      <w:r>
        <w:rPr>
          <w:b/>
          <w:color w:val="0F172A"/>
        </w:rPr>
        <w:t xml:space="preserve">RVA vs. RAP: </w:t>
      </w:r>
      <w:r>
        <w:t>Diferencia detecção de vulnerabilidades (Runtime Vulnerability Analytics) de bloqueio ativo de ataques (Runtime Application Protection).</w:t>
      </w:r>
    </w:p>
    <w:p>
      <w:pPr>
        <w:spacing w:after="80"/>
      </w:pPr>
      <w:r>
        <w:rPr>
          <w:b/>
          <w:color w:val="B91C1C"/>
        </w:rPr>
        <w:t xml:space="preserve">☑ </w:t>
      </w:r>
      <w:r>
        <w:rPr>
          <w:b/>
          <w:color w:val="0F172A"/>
        </w:rPr>
        <w:t xml:space="preserve">Management Zones: </w:t>
      </w:r>
      <w:r>
        <w:t>Compreende como segregar a visibilidade de equipes por tags, ambientes e namespaces.</w:t>
      </w:r>
    </w:p>
    <w:p>
      <w:pPr>
        <w:spacing w:after="80"/>
      </w:pPr>
      <w:r>
        <w:rPr>
          <w:b/>
          <w:color w:val="B91C1C"/>
        </w:rPr>
        <w:t xml:space="preserve">☑ </w:t>
      </w:r>
      <w:r>
        <w:rPr>
          <w:b/>
          <w:color w:val="0F172A"/>
        </w:rPr>
        <w:t xml:space="preserve">Mascaramento de IP em RUM: </w:t>
      </w:r>
      <w:r>
        <w:t>Lembra que o endereço IP do cliente pode ter o último octeto anonimizado para conformidade com LGPD/GDPR.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Segurança e Privacidade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