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黑体" w:hAnsi="黑体" w:eastAsia="黑体" w:cs="黑体"/>
          <w:b/>
          <w:bCs/>
          <w:i w:val="0"/>
          <w:iCs w:val="0"/>
          <w:color w:val="auto"/>
          <w:sz w:val="32"/>
          <w:szCs w:val="32"/>
        </w:rPr>
      </w:pPr>
      <w:bookmarkStart w:id="0" w:name="kano模型模块"/>
      <w:r>
        <w:rPr>
          <w:rFonts w:hint="eastAsia" w:ascii="黑体" w:hAnsi="黑体" w:eastAsia="黑体" w:cs="黑体"/>
          <w:b/>
          <w:bCs/>
          <w:i w:val="0"/>
          <w:iCs w:val="0"/>
          <w:color w:val="auto"/>
          <w:sz w:val="32"/>
          <w:szCs w:val="32"/>
        </w:rPr>
        <w:t>KANO模型模块</w:t>
      </w:r>
    </w:p>
    <w:p>
      <w:pPr>
        <w:pStyle w:val="6"/>
        <w:rPr>
          <w:rFonts w:hint="eastAsia" w:ascii="黑体" w:hAnsi="黑体" w:eastAsia="黑体" w:cs="黑体"/>
          <w:b/>
          <w:bCs/>
          <w:i w:val="0"/>
          <w:iCs w:val="0"/>
          <w:color w:val="auto"/>
          <w:sz w:val="28"/>
          <w:szCs w:val="28"/>
        </w:rPr>
      </w:pPr>
      <w:bookmarkStart w:id="1" w:name="引入"/>
      <w:r>
        <w:rPr>
          <w:rFonts w:hint="eastAsia" w:ascii="黑体" w:hAnsi="黑体" w:eastAsia="黑体" w:cs="黑体"/>
          <w:b/>
          <w:bCs/>
          <w:i w:val="0"/>
          <w:iCs w:val="0"/>
          <w:color w:val="auto"/>
          <w:sz w:val="28"/>
          <w:szCs w:val="28"/>
        </w:rPr>
        <w:t>引入</w:t>
      </w:r>
    </w:p>
    <w:p>
      <w:pPr>
        <w:pStyle w:val="2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本节通过发放调查问卷，基于KANO模型对得到APP等知识类产品的课程服务进行分析，并给出该服务质量的改善建议。该节问卷设计和结果分析的灵感来源于参考文献</w:t>
      </w:r>
      <w:r>
        <w:rPr>
          <w:rStyle w:val="22"/>
          <w:rFonts w:hint="eastAsia" w:ascii="宋体" w:hAnsi="宋体" w:eastAsia="宋体" w:cs="宋体"/>
          <w:b w:val="0"/>
          <w:bCs w:val="0"/>
          <w:i w:val="0"/>
          <w:iCs w:val="0"/>
          <w:color w:val="auto"/>
          <w:sz w:val="24"/>
          <w:szCs w:val="24"/>
        </w:rPr>
        <w:footnoteReference w:id="0"/>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知识类产品指通过提供付费知识服务为主要营收的产品簇，其包括得到APP樊登读书，MOOC，Coursera等。知识服务种类繁多，如课程服务，解读书籍服务，知识锦囊服务，知识集训服务等等，其中产品提供的课程服务通常为其主要营收。因此下面通过收集调查问卷，基于KANO模型，分析大学生们对知识类产品提供的课程服务的满意度。</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下文将从具体操作，结果分析和针对性建议三个模块组织全文。</w:t>
      </w:r>
    </w:p>
    <w:p>
      <w:pPr>
        <w:rPr>
          <w:rFonts w:hint="eastAsia" w:ascii="宋体" w:hAnsi="宋体" w:eastAsia="宋体" w:cs="宋体"/>
          <w:b w:val="0"/>
          <w:bCs w:val="0"/>
          <w:i w:val="0"/>
          <w:iCs w:val="0"/>
          <w:color w:val="auto"/>
          <w:sz w:val="24"/>
          <w:szCs w:val="24"/>
        </w:rPr>
      </w:pPr>
    </w:p>
    <w:bookmarkEnd w:id="1"/>
    <w:p>
      <w:pPr>
        <w:pStyle w:val="6"/>
        <w:rPr>
          <w:rFonts w:hint="eastAsia" w:ascii="黑体" w:hAnsi="黑体" w:eastAsia="黑体" w:cs="黑体"/>
          <w:b/>
          <w:bCs/>
          <w:i w:val="0"/>
          <w:iCs w:val="0"/>
          <w:color w:val="auto"/>
          <w:sz w:val="28"/>
          <w:szCs w:val="28"/>
        </w:rPr>
      </w:pPr>
      <w:bookmarkStart w:id="2" w:name="具体操作"/>
      <w:r>
        <w:rPr>
          <w:rFonts w:hint="eastAsia" w:ascii="黑体" w:hAnsi="黑体" w:eastAsia="黑体" w:cs="黑体"/>
          <w:b/>
          <w:bCs/>
          <w:i w:val="0"/>
          <w:iCs w:val="0"/>
          <w:color w:val="auto"/>
          <w:sz w:val="28"/>
          <w:szCs w:val="28"/>
        </w:rPr>
        <w:t>具体操作</w:t>
      </w:r>
    </w:p>
    <w:p>
      <w:pPr>
        <w:pStyle w:val="2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为考察课程服务中各类细分模块满意度，我们将知识类产品中常见课程基本归类为”事件解读类“，”能力培养类“，”知识讲述类“三大模块共9个子模块，而对于产品提供的陪伴性服务，由于难以划分子模块，故对其单独设计进行分析考察。为获得相关数据，我们在大学生微信群及公共论坛中展开网络问卷调查，累计发放并回收问卷56份，其中有效问卷50份，占比89.3%。具体操作如下：</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在设计结构性问卷上，我们以正反双向问题，设置5个相同的答案，考察被调查者对于课程服务的评价。参考KANO模型对一般市场产品的问卷设计，为避免歧义，所设计的问题结构为："提供由专家讲述......的短期课程(2h)，如.....(例子)等，你认为"和"每天打开APP后，提供....服务，你认为"(陪伴性课程服务)。为了避免被调查者对课程归类的大模块有所觉察而影响填写结果，我们将问题打乱处理。相关问卷设计</w:t>
      </w:r>
      <w:r>
        <w:rPr>
          <w:rFonts w:hint="eastAsia" w:ascii="宋体" w:hAnsi="宋体" w:eastAsia="宋体" w:cs="宋体"/>
          <w:b w:val="0"/>
          <w:bCs w:val="0"/>
          <w:i w:val="0"/>
          <w:iCs w:val="0"/>
          <w:color w:val="auto"/>
          <w:sz w:val="24"/>
          <w:szCs w:val="24"/>
          <w:lang w:val="en-US" w:eastAsia="zh-CN"/>
        </w:rPr>
        <w:t>和</w:t>
      </w:r>
      <w:r>
        <w:rPr>
          <w:rFonts w:hint="eastAsia" w:ascii="宋体" w:hAnsi="宋体" w:eastAsia="宋体" w:cs="宋体"/>
          <w:b w:val="0"/>
          <w:bCs w:val="0"/>
          <w:i w:val="0"/>
          <w:iCs w:val="0"/>
          <w:color w:val="auto"/>
          <w:sz w:val="24"/>
          <w:szCs w:val="24"/>
        </w:rPr>
        <w:t>具体问题见github链接</w:t>
      </w:r>
      <w:r>
        <w:rPr>
          <w:rStyle w:val="22"/>
          <w:rFonts w:hint="eastAsia" w:ascii="宋体" w:hAnsi="宋体" w:eastAsia="宋体" w:cs="宋体"/>
          <w:b w:val="0"/>
          <w:bCs w:val="0"/>
          <w:i w:val="0"/>
          <w:iCs w:val="0"/>
          <w:color w:val="auto"/>
          <w:sz w:val="24"/>
          <w:szCs w:val="24"/>
        </w:rPr>
        <w:footnoteReference w:id="1"/>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在汇总调查数据上，依据KANO评价结果分类对照表(表2)，对结果依据属性进行分类。填写好KANO评价结果分类对照表后，其中占比最大的将是该子模块课程服务的最终属性。而对于得到的可疑结果，为避免其对后续分析带来影响，我们将其定义为无效问卷，收集后立即进行剔除。</w:t>
      </w:r>
    </w:p>
    <w:bookmarkEnd w:id="2"/>
    <w:p>
      <w:pPr>
        <w:pStyle w:val="6"/>
        <w:rPr>
          <w:rFonts w:hint="eastAsia" w:ascii="黑体" w:hAnsi="黑体" w:eastAsia="黑体" w:cs="黑体"/>
          <w:b/>
          <w:bCs/>
          <w:i w:val="0"/>
          <w:iCs w:val="0"/>
          <w:color w:val="auto"/>
          <w:sz w:val="28"/>
          <w:szCs w:val="28"/>
        </w:rPr>
      </w:pPr>
      <w:bookmarkStart w:id="3" w:name="结果分析"/>
    </w:p>
    <w:tbl>
      <w:tblPr>
        <w:tblW w:w="8898" w:type="dxa"/>
        <w:tblInd w:w="9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Layout w:type="autofit"/>
        <w:tblCellMar>
          <w:top w:w="0" w:type="dxa"/>
          <w:left w:w="108" w:type="dxa"/>
          <w:bottom w:w="0" w:type="dxa"/>
          <w:right w:w="108" w:type="dxa"/>
        </w:tblCellMar>
      </w:tblPr>
      <w:tblGrid>
        <w:gridCol w:w="656"/>
        <w:gridCol w:w="1352"/>
        <w:gridCol w:w="1352"/>
        <w:gridCol w:w="1392"/>
        <w:gridCol w:w="1392"/>
        <w:gridCol w:w="1382"/>
        <w:gridCol w:w="14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PrEx>
        <w:trPr>
          <w:trHeight w:val="390" w:hRule="atLeast"/>
        </w:trPr>
        <w:tc>
          <w:tcPr>
            <w:tcW w:w="543" w:type="dxa"/>
            <w:tcBorders>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1352" w:type="dxa"/>
            <w:tcBorders>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7003" w:type="dxa"/>
            <w:gridSpan w:val="5"/>
            <w:tcBorders>
              <w:left w:val="nil"/>
              <w:bottom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反向</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674" w:hRule="atLeast"/>
        </w:trPr>
        <w:tc>
          <w:tcPr>
            <w:tcW w:w="0" w:type="auto"/>
            <w:tcBorders>
              <w:top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noWrap/>
            <w:vAlign w:val="center"/>
          </w:tcPr>
          <w:p>
            <w:pPr>
              <w:rPr>
                <w:rFonts w:hint="eastAsia" w:ascii="宋体" w:hAnsi="宋体" w:eastAsia="宋体" w:cs="宋体"/>
                <w:i w:val="0"/>
                <w:iCs w:val="0"/>
                <w:color w:val="000000"/>
                <w:sz w:val="22"/>
                <w:szCs w:val="22"/>
                <w:u w:val="none"/>
              </w:rPr>
            </w:pPr>
          </w:p>
        </w:tc>
        <w:tc>
          <w:tcPr>
            <w:tcW w:w="1352"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爱了爱了</w:t>
            </w:r>
          </w:p>
        </w:tc>
        <w:tc>
          <w:tcPr>
            <w:tcW w:w="1392"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基本操作，理应如此</w:t>
            </w:r>
          </w:p>
        </w:tc>
        <w:tc>
          <w:tcPr>
            <w:tcW w:w="1392"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无所谓，No care</w:t>
            </w:r>
          </w:p>
        </w:tc>
        <w:tc>
          <w:tcPr>
            <w:tcW w:w="1382"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勉勉强强能接受吧</w:t>
            </w:r>
          </w:p>
        </w:tc>
        <w:tc>
          <w:tcPr>
            <w:tcW w:w="1485" w:type="dxa"/>
            <w:tcBorders>
              <w:top w:val="nil"/>
              <w:left w:val="nil"/>
              <w:bottom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我不欣赏(喜欢)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0" w:type="auto"/>
            <w:vMerge w:val="restart"/>
            <w:tcBorders>
              <w:top w:val="nil"/>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正向</w:t>
            </w:r>
          </w:p>
        </w:tc>
        <w:tc>
          <w:tcPr>
            <w:tcW w:w="1352"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爱了爱了</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可疑结果</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魅力型</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魅力型</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魅力型</w:t>
            </w:r>
          </w:p>
        </w:tc>
        <w:tc>
          <w:tcPr>
            <w:tcW w:w="0" w:type="auto"/>
            <w:tcBorders>
              <w:top w:val="nil"/>
              <w:left w:val="nil"/>
              <w:bottom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期望型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PrEx>
        <w:trPr>
          <w:trHeight w:val="723" w:hRule="atLeast"/>
        </w:trPr>
        <w:tc>
          <w:tcPr>
            <w:tcW w:w="0" w:type="auto"/>
            <w:vMerge w:val="continue"/>
            <w:tcBorders>
              <w:top w:val="nil"/>
              <w:bottom w:val="nil"/>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1352"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基本操作，理应如此</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反向结果</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必备型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642" w:hRule="atLeast"/>
        </w:trPr>
        <w:tc>
          <w:tcPr>
            <w:tcW w:w="0" w:type="auto"/>
            <w:vMerge w:val="continue"/>
            <w:tcBorders>
              <w:top w:val="nil"/>
              <w:bottom w:val="nil"/>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1352"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无所谓，No care</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反向结果</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必备型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0" w:type="auto"/>
            <w:vMerge w:val="continue"/>
            <w:tcBorders>
              <w:top w:val="nil"/>
              <w:bottom w:val="nil"/>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1352" w:type="dxa"/>
            <w:tcBorders>
              <w:top w:val="nil"/>
              <w:left w:val="nil"/>
              <w:bottom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勉勉强强能接受吧</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反向结果</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无差异</w:t>
            </w:r>
          </w:p>
        </w:tc>
        <w:tc>
          <w:tcPr>
            <w:tcW w:w="0" w:type="auto"/>
            <w:tcBorders>
              <w:top w:val="nil"/>
              <w:left w:val="nil"/>
              <w:bottom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必备型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0" w:type="auto"/>
            <w:vMerge w:val="continue"/>
            <w:tcBorders>
              <w:top w:val="nil"/>
              <w:right w:val="nil"/>
            </w:tcBorders>
            <w:shd w:val="clear"/>
            <w:noWrap/>
            <w:vAlign w:val="center"/>
          </w:tcPr>
          <w:p>
            <w:pPr>
              <w:jc w:val="center"/>
              <w:rPr>
                <w:rFonts w:hint="eastAsia" w:ascii="宋体" w:hAnsi="宋体" w:eastAsia="宋体" w:cs="宋体"/>
                <w:i w:val="0"/>
                <w:iCs w:val="0"/>
                <w:color w:val="000000"/>
                <w:sz w:val="22"/>
                <w:szCs w:val="22"/>
                <w:u w:val="none"/>
              </w:rPr>
            </w:pPr>
          </w:p>
        </w:tc>
        <w:tc>
          <w:tcPr>
            <w:tcW w:w="1352" w:type="dxa"/>
            <w:tcBorders>
              <w:top w:val="nil"/>
              <w:left w:val="nil"/>
              <w:right w:val="nil"/>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我不欣赏(喜欢)</w:t>
            </w:r>
          </w:p>
        </w:tc>
        <w:tc>
          <w:tcPr>
            <w:tcW w:w="0" w:type="auto"/>
            <w:tcBorders>
              <w:top w:val="nil"/>
              <w:left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反向结果</w:t>
            </w:r>
          </w:p>
        </w:tc>
        <w:tc>
          <w:tcPr>
            <w:tcW w:w="0" w:type="auto"/>
            <w:tcBorders>
              <w:top w:val="nil"/>
              <w:left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反向结果</w:t>
            </w:r>
          </w:p>
        </w:tc>
        <w:tc>
          <w:tcPr>
            <w:tcW w:w="0" w:type="auto"/>
            <w:tcBorders>
              <w:top w:val="nil"/>
              <w:left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反向结果</w:t>
            </w:r>
          </w:p>
        </w:tc>
        <w:tc>
          <w:tcPr>
            <w:tcW w:w="0" w:type="auto"/>
            <w:tcBorders>
              <w:top w:val="nil"/>
              <w:left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反向结果</w:t>
            </w:r>
          </w:p>
        </w:tc>
        <w:tc>
          <w:tcPr>
            <w:tcW w:w="0" w:type="auto"/>
            <w:tcBorders>
              <w:top w:val="nil"/>
              <w:lef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可疑结果</w:t>
            </w:r>
          </w:p>
        </w:tc>
      </w:tr>
    </w:tbl>
    <w:p>
      <w:pPr>
        <w:pStyle w:val="6"/>
        <w:jc w:val="center"/>
        <w:rPr>
          <w:rFonts w:hint="eastAsia" w:ascii="黑体" w:hAnsi="黑体" w:eastAsia="黑体" w:cs="黑体"/>
          <w:b w:val="0"/>
          <w:bCs w:val="0"/>
          <w:i w:val="0"/>
          <w:iCs w:val="0"/>
          <w:color w:val="auto"/>
          <w:sz w:val="21"/>
          <w:szCs w:val="21"/>
          <w:lang w:val="en-US" w:eastAsia="zh-CN"/>
        </w:rPr>
      </w:pPr>
      <w:r>
        <w:rPr>
          <w:rFonts w:hint="eastAsia" w:ascii="黑体" w:hAnsi="黑体" w:eastAsia="黑体" w:cs="黑体"/>
          <w:b w:val="0"/>
          <w:bCs w:val="0"/>
          <w:i w:val="0"/>
          <w:iCs w:val="0"/>
          <w:color w:val="auto"/>
          <w:sz w:val="21"/>
          <w:szCs w:val="21"/>
          <w:lang w:val="en-US" w:eastAsia="zh-CN"/>
        </w:rPr>
        <w:t>表2：</w:t>
      </w:r>
      <w:r>
        <w:rPr>
          <w:rFonts w:hint="eastAsia" w:ascii="黑体" w:hAnsi="黑体" w:eastAsia="黑体" w:cs="黑体"/>
          <w:b w:val="0"/>
          <w:bCs w:val="0"/>
          <w:i w:val="0"/>
          <w:iCs w:val="0"/>
          <w:color w:val="auto"/>
          <w:sz w:val="21"/>
          <w:szCs w:val="21"/>
        </w:rPr>
        <w:t>KANO评价结果分类对照表</w:t>
      </w:r>
    </w:p>
    <w:p>
      <w:pPr>
        <w:pStyle w:val="3"/>
        <w:rPr>
          <w:rFonts w:hint="eastAsia"/>
          <w:lang w:val="en-US" w:eastAsia="zh-CN"/>
        </w:rPr>
      </w:pPr>
    </w:p>
    <w:p>
      <w:pPr>
        <w:pStyle w:val="6"/>
        <w:rPr>
          <w:rFonts w:hint="eastAsia" w:ascii="黑体" w:hAnsi="黑体" w:eastAsia="黑体" w:cs="黑体"/>
          <w:b/>
          <w:bCs/>
          <w:i w:val="0"/>
          <w:iCs w:val="0"/>
          <w:color w:val="auto"/>
          <w:sz w:val="28"/>
          <w:szCs w:val="28"/>
        </w:rPr>
      </w:pPr>
      <w:r>
        <w:rPr>
          <w:rFonts w:hint="eastAsia" w:ascii="黑体" w:hAnsi="黑体" w:eastAsia="黑体" w:cs="黑体"/>
          <w:b/>
          <w:bCs/>
          <w:i w:val="0"/>
          <w:iCs w:val="0"/>
          <w:color w:val="auto"/>
          <w:sz w:val="28"/>
          <w:szCs w:val="28"/>
        </w:rPr>
        <w:t>结果分析</w:t>
      </w:r>
    </w:p>
    <w:p>
      <w:pPr>
        <w:pStyle w:val="2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对于所有子模块课程服务皆被归类为无差异需求，表明被调查者们对于课程服务需求度不高。其可能原因为校内通识课程较多，且知识付费服务在国内普及度较低，被调查者对于课程服务的各子模块中具体服务了解体验较少。</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为了将进一步比较各子模块课程服务需求的差异性，我们对其Better-Worse系数进行测算。Better-Worse 系数表示增加或降低供给对满意或不满意的影响程度，其中，Better系数表示供给时对消费者满意度的影响，而 Worse 系数则表示不供给或减少供给时对消费者不满意度的影响。借鉴顾客满意度理论，Better-Worse 系数能够以量化的指标，反映增加或减少供给对消费者满意度的影响。其计算公式为：</w:t>
      </w:r>
    </w:p>
    <w:p>
      <w:pPr>
        <w:pStyle w:val="3"/>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 xml:space="preserve"> Better 系数 = (魅力型 + 期望型)/(魅力型 + 期望型 + 必备型 + 无差异</w:t>
      </w:r>
      <w:r>
        <w:rPr>
          <w:rFonts w:hint="eastAsia" w:ascii="宋体" w:hAnsi="宋体" w:eastAsia="宋体" w:cs="宋体"/>
          <w:b w:val="0"/>
          <w:bCs w:val="0"/>
          <w:i w:val="0"/>
          <w:iCs w:val="0"/>
          <w:color w:val="auto"/>
          <w:sz w:val="24"/>
          <w:szCs w:val="24"/>
          <w:lang w:val="en-US" w:eastAsia="zh-CN"/>
        </w:rPr>
        <w:t>型</w:t>
      </w:r>
      <w:r>
        <w:rPr>
          <w:rFonts w:hint="eastAsia" w:ascii="宋体" w:hAnsi="宋体" w:eastAsia="宋体" w:cs="宋体"/>
          <w:b w:val="0"/>
          <w:bCs w:val="0"/>
          <w:i w:val="0"/>
          <w:iCs w:val="0"/>
          <w:color w:val="auto"/>
          <w:sz w:val="24"/>
          <w:szCs w:val="24"/>
        </w:rPr>
        <w:t>)</w:t>
      </w:r>
    </w:p>
    <w:p>
      <w:pPr>
        <w:pStyle w:val="3"/>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 xml:space="preserve"> Worse 系数 = (期望型 + 必备型)/(魅力型 + 期望型 + 必备型 + 无差异</w:t>
      </w:r>
      <w:r>
        <w:rPr>
          <w:rFonts w:hint="eastAsia" w:ascii="宋体" w:hAnsi="宋体" w:eastAsia="宋体" w:cs="宋体"/>
          <w:b w:val="0"/>
          <w:bCs w:val="0"/>
          <w:i w:val="0"/>
          <w:iCs w:val="0"/>
          <w:color w:val="auto"/>
          <w:sz w:val="24"/>
          <w:szCs w:val="24"/>
          <w:lang w:val="en-US" w:eastAsia="zh-CN"/>
        </w:rPr>
        <w:t>型</w:t>
      </w:r>
      <w:bookmarkStart w:id="5" w:name="_GoBack"/>
      <w:bookmarkEnd w:id="5"/>
      <w:r>
        <w:rPr>
          <w:rFonts w:hint="eastAsia" w:ascii="宋体" w:hAnsi="宋体" w:eastAsia="宋体" w:cs="宋体"/>
          <w:b w:val="0"/>
          <w:bCs w:val="0"/>
          <w:i w:val="0"/>
          <w:iCs w:val="0"/>
          <w:color w:val="auto"/>
          <w:sz w:val="24"/>
          <w:szCs w:val="24"/>
        </w:rPr>
        <w:t>)</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基于分类结果，计算对各子模块课程服务需求的Better-Worse 系数，结果见表3。</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我们结合 Better-Worse 系数，明确课程各子模块课程服务的供给优先序。优先满足 Worse 系数绝对值较高的需求，以消除消费者的不满意程度。当worse系数相等时，选择满足 Better -Worse 系数值较高的需求，以消除消费者的不满意程度和增进居民的满意程度。</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基于上述操作步骤，我们将各子模块课程服务进行排序，结果见表3。可以发现，对于或艺术或文化等的陪伴性课程Worse系数绝对值最高，说明消费者最认为其是产品服务所必须具备的功能，故优先级最高。而对于”事件解读类“，”能力培养类“，”知识讲述类“三大模块，”事件解读类“，”能力培养类“优先序较高，而"知识讲述类"所含子模块优先序较低，可能原因是由于调查群体为大学生，对于社会热点的关注度较高；并且在内卷的狂潮下，对于能力的培养越来越重视。</w:t>
      </w:r>
    </w:p>
    <w:p>
      <w:pPr>
        <w:pStyle w:val="6"/>
        <w:rPr>
          <w:rFonts w:hint="eastAsia" w:ascii="黑体" w:hAnsi="黑体" w:eastAsia="黑体" w:cs="黑体"/>
          <w:b/>
          <w:bCs/>
          <w:i w:val="0"/>
          <w:iCs w:val="0"/>
          <w:color w:val="auto"/>
          <w:sz w:val="28"/>
          <w:szCs w:val="28"/>
        </w:rPr>
      </w:pPr>
    </w:p>
    <w:tbl>
      <w:tblPr>
        <w:tblW w:w="9139" w:type="dxa"/>
        <w:tblInd w:w="9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Layout w:type="fixed"/>
        <w:tblCellMar>
          <w:top w:w="0" w:type="dxa"/>
          <w:left w:w="108" w:type="dxa"/>
          <w:bottom w:w="0" w:type="dxa"/>
          <w:right w:w="108" w:type="dxa"/>
        </w:tblCellMar>
      </w:tblPr>
      <w:tblGrid>
        <w:gridCol w:w="3175"/>
        <w:gridCol w:w="1728"/>
        <w:gridCol w:w="1416"/>
        <w:gridCol w:w="1272"/>
        <w:gridCol w:w="154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CellMar>
            <w:top w:w="0" w:type="dxa"/>
            <w:left w:w="108" w:type="dxa"/>
            <w:bottom w:w="0" w:type="dxa"/>
            <w:right w:w="108" w:type="dxa"/>
          </w:tblCellMar>
        </w:tblPrEx>
        <w:trPr>
          <w:trHeight w:val="671" w:hRule="atLeast"/>
        </w:trPr>
        <w:tc>
          <w:tcPr>
            <w:tcW w:w="3175" w:type="dxa"/>
            <w:tcBorders>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分类子模块及对应题号</w:t>
            </w:r>
          </w:p>
        </w:tc>
        <w:tc>
          <w:tcPr>
            <w:tcW w:w="1728" w:type="dxa"/>
            <w:tcBorders>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所属大模块</w:t>
            </w:r>
          </w:p>
        </w:tc>
        <w:tc>
          <w:tcPr>
            <w:tcW w:w="1416" w:type="dxa"/>
            <w:tcBorders>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Better系数</w:t>
            </w:r>
          </w:p>
        </w:tc>
        <w:tc>
          <w:tcPr>
            <w:tcW w:w="1272" w:type="dxa"/>
            <w:tcBorders>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Worse系数</w:t>
            </w:r>
          </w:p>
        </w:tc>
        <w:tc>
          <w:tcPr>
            <w:tcW w:w="1548" w:type="dxa"/>
            <w:tcBorders>
              <w:left w:val="nil"/>
              <w:bottom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Better-Worse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CellMar>
            <w:top w:w="0" w:type="dxa"/>
            <w:left w:w="108" w:type="dxa"/>
            <w:bottom w:w="0" w:type="dxa"/>
            <w:right w:w="108" w:type="dxa"/>
          </w:tblCellMar>
        </w:tblPrEx>
        <w:trPr>
          <w:trHeight w:val="875"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或艺术，或文化，或科技，或认知的陪伴性服务 (3,4)</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其它</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0.27</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-0.21</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CellMar>
            <w:top w:w="0" w:type="dxa"/>
            <w:left w:w="108" w:type="dxa"/>
            <w:bottom w:w="0" w:type="dxa"/>
            <w:right w:w="108" w:type="dxa"/>
          </w:tblCellMar>
        </w:tblPrEx>
        <w:trPr>
          <w:trHeight w:val="404"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职场能力(9,10)</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能力培养类</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0.34</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-0.17</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CellMar>
            <w:top w:w="0" w:type="dxa"/>
            <w:left w:w="108" w:type="dxa"/>
            <w:bottom w:w="0" w:type="dxa"/>
            <w:right w:w="108" w:type="dxa"/>
          </w:tblCellMar>
        </w:tblPrEx>
        <w:trPr>
          <w:trHeight w:val="404"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特定头条事件分析(1,2)</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事件解读类</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0.40 </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CellMar>
            <w:top w:w="0" w:type="dxa"/>
            <w:left w:w="108" w:type="dxa"/>
            <w:bottom w:w="0" w:type="dxa"/>
            <w:right w:w="108" w:type="dxa"/>
          </w:tblCellMar>
        </w:tblPrEx>
        <w:trPr>
          <w:trHeight w:val="404"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提高生活质量方法(7,8)</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能力培养类</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0.38</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CellMar>
            <w:top w:w="0" w:type="dxa"/>
            <w:left w:w="108" w:type="dxa"/>
            <w:bottom w:w="0" w:type="dxa"/>
            <w:right w:w="108" w:type="dxa"/>
          </w:tblCellMar>
        </w:tblPrEx>
        <w:trPr>
          <w:trHeight w:val="404"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小领域概况(13,14)</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知识讲述类</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0.33</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4"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全球趋势解读或调研结果(17,18)</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事件解读类</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0.32</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CellMar>
            <w:top w:w="0" w:type="dxa"/>
            <w:left w:w="108" w:type="dxa"/>
            <w:bottom w:w="0" w:type="dxa"/>
            <w:right w:w="108" w:type="dxa"/>
          </w:tblCellMar>
        </w:tblPrEx>
        <w:trPr>
          <w:trHeight w:val="404"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领域前沿(15,16)</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知识讲述类</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0.35</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4"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技术操作方法 (5,6)</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能力培养类</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0.31</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-0.13</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4" w:hRule="atLeast"/>
        </w:trPr>
        <w:tc>
          <w:tcPr>
            <w:tcW w:w="3175" w:type="dxa"/>
            <w:tcBorders>
              <w:top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新概念(11,12)</w:t>
            </w:r>
          </w:p>
        </w:tc>
        <w:tc>
          <w:tcPr>
            <w:tcW w:w="1728"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知识讲述类</w:t>
            </w:r>
          </w:p>
        </w:tc>
        <w:tc>
          <w:tcPr>
            <w:tcW w:w="1416"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0.33</w:t>
            </w:r>
          </w:p>
        </w:tc>
        <w:tc>
          <w:tcPr>
            <w:tcW w:w="1272" w:type="dxa"/>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-0.12</w:t>
            </w:r>
          </w:p>
        </w:tc>
        <w:tc>
          <w:tcPr>
            <w:tcW w:w="1548" w:type="dxa"/>
            <w:tcBorders>
              <w:top w:val="nil"/>
              <w:left w:val="nil"/>
              <w:bottom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tblCellMar>
            <w:top w:w="0" w:type="dxa"/>
            <w:left w:w="108" w:type="dxa"/>
            <w:bottom w:w="0" w:type="dxa"/>
            <w:right w:w="108" w:type="dxa"/>
          </w:tblCellMar>
        </w:tblPrEx>
        <w:trPr>
          <w:trHeight w:val="90" w:hRule="atLeast"/>
        </w:trPr>
        <w:tc>
          <w:tcPr>
            <w:tcW w:w="3175" w:type="dxa"/>
            <w:tcBorders>
              <w:top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历史人物(19.20)</w:t>
            </w:r>
          </w:p>
        </w:tc>
        <w:tc>
          <w:tcPr>
            <w:tcW w:w="1728" w:type="dxa"/>
            <w:tcBorders>
              <w:top w:val="nil"/>
              <w:left w:val="nil"/>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知识讲述类</w:t>
            </w:r>
          </w:p>
        </w:tc>
        <w:tc>
          <w:tcPr>
            <w:tcW w:w="1416" w:type="dxa"/>
            <w:tcBorders>
              <w:top w:val="nil"/>
              <w:left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w:t>
            </w:r>
          </w:p>
        </w:tc>
        <w:tc>
          <w:tcPr>
            <w:tcW w:w="1272" w:type="dxa"/>
            <w:tcBorders>
              <w:top w:val="nil"/>
              <w:left w:val="nil"/>
              <w:righ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-0.10 </w:t>
            </w:r>
          </w:p>
        </w:tc>
        <w:tc>
          <w:tcPr>
            <w:tcW w:w="1548" w:type="dxa"/>
            <w:tcBorders>
              <w:top w:val="nil"/>
              <w:left w:val="nil"/>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0.6</w:t>
            </w:r>
          </w:p>
        </w:tc>
      </w:tr>
    </w:tbl>
    <w:p>
      <w:pPr>
        <w:pStyle w:val="6"/>
        <w:jc w:val="center"/>
        <w:rPr>
          <w:rFonts w:hint="eastAsia" w:ascii="黑体" w:hAnsi="黑体" w:eastAsia="黑体" w:cs="黑体"/>
          <w:b/>
          <w:bCs/>
          <w:i w:val="0"/>
          <w:iCs w:val="0"/>
          <w:color w:val="auto"/>
          <w:sz w:val="28"/>
          <w:szCs w:val="28"/>
        </w:rPr>
      </w:pPr>
      <w:r>
        <w:rPr>
          <w:rFonts w:hint="eastAsia" w:ascii="黑体" w:hAnsi="黑体" w:eastAsia="黑体" w:cs="黑体"/>
          <w:b w:val="0"/>
          <w:bCs w:val="0"/>
          <w:i w:val="0"/>
          <w:iCs w:val="0"/>
          <w:color w:val="auto"/>
          <w:sz w:val="21"/>
          <w:szCs w:val="21"/>
          <w:lang w:val="en-US" w:eastAsia="zh-CN"/>
        </w:rPr>
        <w:t>表3：Better-Worse系数</w:t>
      </w:r>
      <w:r>
        <w:rPr>
          <w:rFonts w:hint="eastAsia" w:ascii="黑体" w:hAnsi="黑体" w:eastAsia="黑体" w:cs="黑体"/>
          <w:b w:val="0"/>
          <w:bCs w:val="0"/>
          <w:i w:val="0"/>
          <w:iCs w:val="0"/>
          <w:color w:val="auto"/>
          <w:sz w:val="21"/>
          <w:szCs w:val="21"/>
        </w:rPr>
        <w:t>表</w:t>
      </w:r>
    </w:p>
    <w:p>
      <w:pPr>
        <w:pStyle w:val="3"/>
        <w:rPr>
          <w:rFonts w:hint="eastAsia" w:ascii="黑体" w:hAnsi="黑体" w:eastAsia="黑体" w:cs="黑体"/>
          <w:b/>
          <w:bCs/>
          <w:i w:val="0"/>
          <w:iCs w:val="0"/>
          <w:color w:val="auto"/>
          <w:sz w:val="28"/>
          <w:szCs w:val="28"/>
        </w:rPr>
      </w:pPr>
    </w:p>
    <w:bookmarkEnd w:id="3"/>
    <w:p>
      <w:pPr>
        <w:pStyle w:val="6"/>
        <w:rPr>
          <w:rFonts w:hint="eastAsia" w:ascii="黑体" w:hAnsi="黑体" w:eastAsia="黑体" w:cs="黑体"/>
          <w:b/>
          <w:bCs/>
          <w:i w:val="0"/>
          <w:iCs w:val="0"/>
          <w:color w:val="auto"/>
          <w:sz w:val="28"/>
          <w:szCs w:val="28"/>
        </w:rPr>
      </w:pPr>
      <w:bookmarkStart w:id="4" w:name="针对性建议"/>
      <w:r>
        <w:rPr>
          <w:rFonts w:hint="eastAsia" w:ascii="黑体" w:hAnsi="黑体" w:eastAsia="黑体" w:cs="黑体"/>
          <w:b/>
          <w:bCs/>
          <w:i w:val="0"/>
          <w:iCs w:val="0"/>
          <w:color w:val="auto"/>
          <w:sz w:val="28"/>
          <w:szCs w:val="28"/>
        </w:rPr>
        <w:t>针对性建议</w:t>
      </w:r>
    </w:p>
    <w:p>
      <w:pPr>
        <w:pStyle w:val="2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针对上述分析结果，我们从宏观所有课程设置角度，中观大模块课程设置角度，微观子模块课程设置三方面进行针对性的产品服务改善建议。</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宏观所有课程设置上，需要创新设计出新的符合消费者需求的课程服务模块。统计分析显示，对于目前所有课程子模块，其需求程度均为无差异，且报告中占比皆达到50%，表明在现有模块上继续投资升级难以提高消费者对服务的使用率。而创新设计出新的课程服务模块，一方面可以吸引消费者使用产品服务，另一方面在行业内服务同质化严重的现状下起到领跑作用，从而在该垂直领域占据更高的市场份额。</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中观大模块课程设置上，需要重点突出”事件解读类“，”能力培养类“模块，在上述模块的课程适当提高投入水平。在目前高速发展的经济背景和高度不确定的全球背景下，大学生们对于社会热点和全球发展趋势的了解需求与日俱增，该类子模块的优先序也占据前列。而同时，在目前内卷的狂潮下，对于职场能力等的能力培养类的需求也不可轻视。故知识类产品产商可考虑如增加上述两大模块内课程数量，或对模块内课程进行更优质的打磨等等来吸引更多的消费者购买服务。</w:t>
      </w:r>
    </w:p>
    <w:p>
      <w:pPr>
        <w:pStyle w:val="3"/>
        <w:ind w:firstLine="480" w:firstLineChars="200"/>
        <w:rPr>
          <w:rFonts w:hint="eastAsia" w:ascii="宋体" w:hAnsi="宋体" w:eastAsia="宋体" w:cs="宋体"/>
          <w:b w:val="0"/>
          <w:bCs w:val="0"/>
          <w:i w:val="0"/>
          <w:iCs w:val="0"/>
          <w:color w:val="auto"/>
          <w:sz w:val="24"/>
          <w:szCs w:val="24"/>
        </w:rPr>
      </w:pPr>
      <w:r>
        <w:rPr>
          <w:rFonts w:hint="eastAsia" w:ascii="宋体" w:hAnsi="宋体" w:eastAsia="宋体" w:cs="宋体"/>
          <w:b w:val="0"/>
          <w:bCs w:val="0"/>
          <w:i w:val="0"/>
          <w:iCs w:val="0"/>
          <w:color w:val="auto"/>
          <w:sz w:val="24"/>
          <w:szCs w:val="24"/>
        </w:rPr>
        <w:t>微观子模块课程设置上，需要在保证陪伴性课程的投入达到基础上，适当加大在"头条事件分析"，"职场能力培养"，"生活质量提高方法"三个子模块的课程投入"。统计结果表明，陪伴性课程子模块的Worse系数绝对值最高，消费者们对于该服务的缺失不可忍受。而对于"特定头条事件分析"，"职场能力培养"，"生活质量提高方法"三个子模块的Better-Worse值居于高位，说明消费者们青睐上述子模块的课程，并乐意为其高质量的服务买单。故产商可考虑如增加分析的头条事件数量，打磨职场能力培养的实战课程等等来吸引更多的消费者为该知识类产品付费。</w:t>
      </w:r>
    </w:p>
    <w:bookmarkEnd w:id="0"/>
    <w:bookmarkEnd w:id="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pPr>
      <w:r>
        <w:separator/>
      </w:r>
    </w:p>
  </w:footnote>
  <w:footnote w:type="continuationSeparator" w:id="5">
    <w:p>
      <w:pPr>
        <w:spacing w:before="0" w:after="0"/>
      </w:pPr>
      <w:r>
        <w:continuationSeparator/>
      </w:r>
    </w:p>
  </w:footnote>
  <w:footnote w:id="0">
    <w:p>
      <w:pPr>
        <w:pStyle w:val="17"/>
      </w:pPr>
      <w:r>
        <w:rPr>
          <w:rStyle w:val="22"/>
        </w:rPr>
        <w:footnoteRef/>
      </w:r>
      <w:r>
        <w:t xml:space="preserve"> 刘蕾.基于KANO模型的农村公共服务需求分类与供给优先序研究J.财贸研究,2015,26(06):39-46.DOI:10.19337/j.cnki.34-1093/f.2015.06.006. </w:t>
      </w:r>
    </w:p>
  </w:footnote>
  <w:footnote w:id="1">
    <w:p>
      <w:pPr>
        <w:pStyle w:val="17"/>
      </w:pPr>
      <w:r>
        <w:rPr>
          <w:rStyle w:val="22"/>
        </w:rPr>
        <w:footnoteRef/>
      </w:r>
      <w:r>
        <w:t xml:space="preserve"> 见github链接</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4"/>
    <w:footnote w:id="5"/>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zAxODZhZTVmZWI2MzczZmMyODZhOTg1NDM3MzZiYmIifQ=="/>
  </w:docVars>
  <w:rsids>
    <w:rsidRoot w:val="00000000"/>
    <w:rsid w:val="00A27882"/>
    <w:rsid w:val="01C20BC1"/>
    <w:rsid w:val="0C232BA4"/>
    <w:rsid w:val="10E03F78"/>
    <w:rsid w:val="1C1B5835"/>
    <w:rsid w:val="21676534"/>
    <w:rsid w:val="252E056F"/>
    <w:rsid w:val="25F44C39"/>
    <w:rsid w:val="265359DC"/>
    <w:rsid w:val="2B4A69C0"/>
    <w:rsid w:val="2C011CA6"/>
    <w:rsid w:val="2C151290"/>
    <w:rsid w:val="2DD218DC"/>
    <w:rsid w:val="2E6F28C9"/>
    <w:rsid w:val="2F136A07"/>
    <w:rsid w:val="33114D3E"/>
    <w:rsid w:val="35586B69"/>
    <w:rsid w:val="38BC3F52"/>
    <w:rsid w:val="3F751CD1"/>
    <w:rsid w:val="3FA02A3A"/>
    <w:rsid w:val="406121DF"/>
    <w:rsid w:val="44DD155D"/>
    <w:rsid w:val="45CE126F"/>
    <w:rsid w:val="4A9D52F4"/>
    <w:rsid w:val="51155AAA"/>
    <w:rsid w:val="53227B62"/>
    <w:rsid w:val="55385E4B"/>
    <w:rsid w:val="5C3936CD"/>
    <w:rsid w:val="5C7F54D6"/>
    <w:rsid w:val="67000CC4"/>
    <w:rsid w:val="676A3A0B"/>
    <w:rsid w:val="6DCE4078"/>
    <w:rsid w:val="72097843"/>
    <w:rsid w:val="737308E6"/>
    <w:rsid w:val="788A0834"/>
    <w:rsid w:val="7A1D3B95"/>
    <w:rsid w:val="7E741677"/>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 w:type="character" w:customStyle="1" w:styleId="70">
    <w:name w:val="font21"/>
    <w:basedOn w:val="19"/>
    <w:uiPriority w:val="0"/>
    <w:rPr>
      <w:rFonts w:hint="eastAsia" w:ascii="宋体" w:hAnsi="宋体" w:eastAsia="宋体" w:cs="宋体"/>
      <w:color w:val="333333"/>
      <w:sz w:val="24"/>
      <w:szCs w:val="24"/>
      <w:u w:val="none"/>
    </w:rPr>
  </w:style>
  <w:style w:type="character" w:customStyle="1" w:styleId="71">
    <w:name w:val="font11"/>
    <w:basedOn w:val="19"/>
    <w:uiPriority w:val="0"/>
    <w:rPr>
      <w:rFonts w:hint="default" w:ascii="Helvetica" w:hAnsi="Helvetica" w:eastAsia="Helvetica" w:cs="Helvetica"/>
      <w:color w:val="333333"/>
      <w:sz w:val="24"/>
      <w:szCs w:val="24"/>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2472</Words>
  <Characters>2841</Characters>
  <Lines>12</Lines>
  <Paragraphs>8</Paragraphs>
  <TotalTime>1</TotalTime>
  <ScaleCrop>false</ScaleCrop>
  <LinksUpToDate>false</LinksUpToDate>
  <CharactersWithSpaces>2883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2023-03-01T13:31:00Z</dcterms:created>
  <dc:creator>TH</dc:creator>
  <cp:lastModifiedBy>TH</cp:lastModifiedBy>
  <dcterms:modified xsi:type="dcterms:W3CDTF">2023-03-01T13:39:37Z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9A77AB171712470991A99FCCBDAE0353</vt:lpwstr>
  </property>
</Properties>
</file>