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52.png" ContentType="image/png"/>
  <Override PartName="/word/media/rId56.png" ContentType="image/png"/>
  <Override PartName="/word/media/rId86.png" ContentType="image/png"/>
  <Override PartName="/word/media/rId94.png" ContentType="image/png"/>
  <Override PartName="/word/media/rId90.png" ContentType="image/png"/>
  <Override PartName="/word/media/rId22.png" ContentType="image/png"/>
  <Override PartName="/word/media/rId98.png" ContentType="image/png"/>
  <Override PartName="/word/media/rId26.png" ContentType="image/png"/>
  <Override PartName="/word/media/rId30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103.png" ContentType="image/png"/>
  <Override PartName="/word/media/rId107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UML and Process Diagrams</w:t>
      </w:r>
    </w:p>
    <w:p>
      <w:pPr>
        <w:pStyle w:val="Subtitle"/>
      </w:pPr>
      <w:r>
        <w:t xml:space="preserve">Amaranth v2 — context, data flow, use case, activity, sequence, component, deployment, state and ER diagrams</w:t>
      </w:r>
    </w:p>
    <w:p>
      <w:pPr>
        <w:pStyle w:val="Date"/>
      </w:pPr>
      <w:r>
        <w:t xml:space="preserve">2026-10-19</w:t>
      </w:r>
    </w:p>
    <w:p>
      <w:r>
        <w:br w:type="page"/>
      </w:r>
    </w:p>
    <w:bookmarkStart w:id="19" w:name="document-control"/>
    <w:p>
      <w:pPr>
        <w:pStyle w:val="Heading1"/>
      </w:pPr>
      <w:r>
        <w:t xml:space="preserve">Document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UML and Process Diagrams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AMR-DOC-05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Amaranth development team [TO CONFIRM: names]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 draft for defense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Sources</w:t>
            </w:r>
          </w:p>
        </w:tc>
        <w:tc>
          <w:tcPr/>
          <w:p>
            <w:pPr>
              <w:pStyle w:val="Compact"/>
            </w:pPr>
            <w:r>
              <w:t xml:space="preserve">Mermaid files in</w:t>
            </w:r>
            <w:r>
              <w:t xml:space="preserve"> </w:t>
            </w:r>
            <w:r>
              <w:rPr>
                <w:rStyle w:val="VerbatimChar"/>
              </w:rPr>
              <w:t xml:space="preserve">docs/diagrams/*.mmd</w:t>
            </w:r>
            <w:r>
              <w:t xml:space="preserve">; PNG and SVG renders beside them</w:t>
            </w:r>
          </w:p>
        </w:tc>
      </w:tr>
    </w:tbl>
    <w:bookmarkEnd w:id="19"/>
    <w:bookmarkStart w:id="20" w:name="contents"/>
    <w:p>
      <w:pPr>
        <w:pStyle w:val="Heading1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r>
        <w:t xml:space="preserve">Diagram catalogue</w:t>
      </w:r>
    </w:p>
    <w:p>
      <w:pPr>
        <w:pStyle w:val="Compact"/>
        <w:numPr>
          <w:ilvl w:val="0"/>
          <w:numId w:val="1001"/>
        </w:numPr>
      </w:pPr>
      <w:r>
        <w:t xml:space="preserve">Context and data flow</w:t>
      </w:r>
    </w:p>
    <w:p>
      <w:pPr>
        <w:pStyle w:val="Compact"/>
        <w:numPr>
          <w:ilvl w:val="0"/>
          <w:numId w:val="1001"/>
        </w:numPr>
      </w:pPr>
      <w:r>
        <w:t xml:space="preserve">Use cases</w:t>
      </w:r>
    </w:p>
    <w:p>
      <w:pPr>
        <w:pStyle w:val="Compact"/>
        <w:numPr>
          <w:ilvl w:val="0"/>
          <w:numId w:val="1001"/>
        </w:numPr>
      </w:pPr>
      <w:r>
        <w:t xml:space="preserve">Activities</w:t>
      </w:r>
    </w:p>
    <w:p>
      <w:pPr>
        <w:pStyle w:val="Compact"/>
        <w:numPr>
          <w:ilvl w:val="0"/>
          <w:numId w:val="1001"/>
        </w:numPr>
      </w:pPr>
      <w:r>
        <w:t xml:space="preserve">Sequences</w:t>
      </w:r>
    </w:p>
    <w:p>
      <w:pPr>
        <w:pStyle w:val="Compact"/>
        <w:numPr>
          <w:ilvl w:val="0"/>
          <w:numId w:val="1001"/>
        </w:numPr>
      </w:pPr>
      <w:r>
        <w:t xml:space="preserve">Structure: layers, components, classes, deployment</w:t>
      </w:r>
    </w:p>
    <w:p>
      <w:pPr>
        <w:pStyle w:val="Compact"/>
        <w:numPr>
          <w:ilvl w:val="0"/>
          <w:numId w:val="1001"/>
        </w:numPr>
      </w:pPr>
      <w:r>
        <w:t xml:space="preserve">States</w:t>
      </w:r>
    </w:p>
    <w:p>
      <w:pPr>
        <w:pStyle w:val="Compact"/>
        <w:numPr>
          <w:ilvl w:val="0"/>
          <w:numId w:val="1001"/>
        </w:numPr>
      </w:pPr>
      <w:r>
        <w:t xml:space="preserve">Entity–relationship diagrams</w:t>
      </w:r>
    </w:p>
    <w:p>
      <w:pPr>
        <w:pStyle w:val="FirstParagraph"/>
      </w:pPr>
      <w:r>
        <w:t xml:space="preserve">All diagrams are drawn from the code. Each caption names the files the diagram was checked against. Edit the</w:t>
      </w:r>
      <w:r>
        <w:t xml:space="preserve"> </w:t>
      </w:r>
      <w:r>
        <w:rPr>
          <w:rStyle w:val="VerbatimChar"/>
        </w:rPr>
        <w:t xml:space="preserve">.mmd</w:t>
      </w:r>
      <w:r>
        <w:t xml:space="preserve"> </w:t>
      </w:r>
      <w:r>
        <w:t xml:space="preserve">source and re-render to update a diagram (AMR-DOC-10 §8).</w:t>
      </w:r>
    </w:p>
    <w:bookmarkEnd w:id="20"/>
    <w:bookmarkStart w:id="21" w:name="diagram-catalogue"/>
    <w:p>
      <w:pPr>
        <w:pStyle w:val="Heading1"/>
      </w:pPr>
      <w:r>
        <w:t xml:space="preserve">1. Diagram catalogue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Checked against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CTX-1</w:t>
            </w:r>
          </w:p>
        </w:tc>
        <w:tc>
          <w:tcPr/>
          <w:p>
            <w:pPr>
              <w:pStyle w:val="Compact"/>
            </w:pPr>
            <w:r>
              <w:t xml:space="preserve">System 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ctx-1-context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vercel.json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src/lib/supabase.ts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DFD-0</w:t>
            </w:r>
          </w:p>
        </w:tc>
        <w:tc>
          <w:tcPr/>
          <w:p>
            <w:pPr>
              <w:pStyle w:val="Compact"/>
            </w:pPr>
            <w:r>
              <w:t xml:space="preserve">Data flow, level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dfd-0-level0</w:t>
            </w:r>
          </w:p>
        </w:tc>
        <w:tc>
          <w:tcPr/>
          <w:p>
            <w:pPr>
              <w:pStyle w:val="Compact"/>
            </w:pPr>
            <w:r>
              <w:t xml:space="preserve">feature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DFD-1</w:t>
            </w:r>
          </w:p>
        </w:tc>
        <w:tc>
          <w:tcPr/>
          <w:p>
            <w:pPr>
              <w:pStyle w:val="Compact"/>
            </w:pPr>
            <w:r>
              <w:t xml:space="preserve">Data flow, level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dfd-1-level1</w:t>
            </w:r>
          </w:p>
        </w:tc>
        <w:tc>
          <w:tcPr/>
          <w:p>
            <w:pPr>
              <w:pStyle w:val="Compact"/>
            </w:pPr>
            <w:r>
              <w:t xml:space="preserve">tables per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</w:t>
            </w:r>
          </w:p>
        </w:tc>
        <w:tc>
          <w:tcPr/>
          <w:p>
            <w:pPr>
              <w:pStyle w:val="Compact"/>
            </w:pPr>
            <w:r>
              <w:t xml:space="preserve">Use cases: writers, editors, publishers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uc-1-writers-editors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app.article_before_write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</w:t>
            </w:r>
          </w:p>
        </w:tc>
        <w:tc>
          <w:tcPr/>
          <w:p>
            <w:pPr>
              <w:pStyle w:val="Compact"/>
            </w:pPr>
            <w:r>
              <w:t xml:space="preserve">Use cases: managers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uc-2-managers</w:t>
            </w:r>
          </w:p>
        </w:tc>
        <w:tc>
          <w:tcPr/>
          <w:p>
            <w:pPr>
              <w:pStyle w:val="Compact"/>
            </w:pPr>
            <w:r>
              <w:t xml:space="preserve">role helpers, RLS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UC-3</w:t>
            </w:r>
          </w:p>
        </w:tc>
        <w:tc>
          <w:tcPr/>
          <w:p>
            <w:pPr>
              <w:pStyle w:val="Compact"/>
            </w:pPr>
            <w:r>
              <w:t xml:space="preserve">Use cases: Salingkusog team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uc-3-salingkusog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app.can_edit_sk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sk_team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UC-4</w:t>
            </w:r>
          </w:p>
        </w:tc>
        <w:tc>
          <w:tcPr/>
          <w:p>
            <w:pPr>
              <w:pStyle w:val="Compact"/>
            </w:pPr>
            <w:r>
              <w:t xml:space="preserve">Use cases: readers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uc-4-readers</w:t>
            </w:r>
          </w:p>
        </w:tc>
        <w:tc>
          <w:tcPr/>
          <w:p>
            <w:pPr>
              <w:pStyle w:val="Compact"/>
            </w:pPr>
            <w:r>
              <w:t xml:space="preserve">public routes,</w:t>
            </w:r>
            <w:r>
              <w:t xml:space="preserve"> </w:t>
            </w:r>
            <w:r>
              <w:rPr>
                <w:rStyle w:val="VerbatimChar"/>
              </w:rPr>
              <w:t xml:space="preserve">/api/submit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ACT-1</w:t>
            </w:r>
          </w:p>
        </w:tc>
        <w:tc>
          <w:tcPr/>
          <w:p>
            <w:pPr>
              <w:pStyle w:val="Compact"/>
            </w:pPr>
            <w:r>
              <w:t xml:space="preserve">Article submission to publication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act-1-article-publication</w:t>
            </w:r>
          </w:p>
        </w:tc>
        <w:tc>
          <w:tcPr/>
          <w:p>
            <w:pPr>
              <w:pStyle w:val="Compact"/>
            </w:pPr>
            <w:r>
              <w:t xml:space="preserve">workflow 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ACT-2</w:t>
            </w:r>
          </w:p>
        </w:tc>
        <w:tc>
          <w:tcPr/>
          <w:p>
            <w:pPr>
              <w:pStyle w:val="Compact"/>
            </w:pPr>
            <w:r>
              <w:t xml:space="preserve">Scheduling a game to an updated medal 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act-2-game-to-medal-table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salingkusog.sql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SEQ-1</w:t>
            </w:r>
          </w:p>
        </w:tc>
        <w:tc>
          <w:tcPr/>
          <w:p>
            <w:pPr>
              <w:pStyle w:val="Compact"/>
            </w:pPr>
            <w:r>
              <w:t xml:space="preserve">Login and role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seq-1-login-role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AuthProvider.tsx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guards.tsx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SEQ-2</w:t>
            </w:r>
          </w:p>
        </w:tc>
        <w:tc>
          <w:tcPr/>
          <w:p>
            <w:pPr>
              <w:pStyle w:val="Compact"/>
            </w:pPr>
            <w:r>
              <w:t xml:space="preserve">Publish an article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seq-2-publish-article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transition_article</w:t>
            </w:r>
            <w:r>
              <w:t xml:space="preserve">, triggers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SEQ-3</w:t>
            </w:r>
          </w:p>
        </w:tc>
        <w:tc>
          <w:tcPr/>
          <w:p>
            <w:pPr>
              <w:pStyle w:val="Compact"/>
            </w:pPr>
            <w:r>
              <w:t xml:space="preserve">Enter results and medals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seq-3-enter-results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sk_set_placements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ResultsTab.tsx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SEQ-4</w:t>
            </w:r>
          </w:p>
        </w:tc>
        <w:tc>
          <w:tcPr/>
          <w:p>
            <w:pPr>
              <w:pStyle w:val="Compact"/>
            </w:pPr>
            <w:r>
              <w:t xml:space="preserve">Live score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seq-4-live-score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Scorekeeper.tsx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skData.ts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SEQ-5</w:t>
            </w:r>
          </w:p>
        </w:tc>
        <w:tc>
          <w:tcPr/>
          <w:p>
            <w:pPr>
              <w:pStyle w:val="Compact"/>
            </w:pPr>
            <w:r>
              <w:t xml:space="preserve">Schedule import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seq-5-schedule-import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scheduleCsv.ts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ImportTab.tsx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SEQ-6</w:t>
            </w:r>
          </w:p>
        </w:tc>
        <w:tc>
          <w:tcPr/>
          <w:p>
            <w:pPr>
              <w:pStyle w:val="Compact"/>
            </w:pPr>
            <w:r>
              <w:t xml:space="preserve">Public form with CAPTCHA and attachments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seq-6-public-form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api/submit.ts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src/lib/sendForm.ts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ARCH-1</w:t>
            </w:r>
          </w:p>
        </w:tc>
        <w:tc>
          <w:tcPr/>
          <w:p>
            <w:pPr>
              <w:pStyle w:val="Compact"/>
            </w:pPr>
            <w:r>
              <w:t xml:space="preserve">Layered architecture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arch-1-layers</w:t>
            </w:r>
          </w:p>
        </w:tc>
        <w:tc>
          <w:tcPr/>
          <w:p>
            <w:pPr>
              <w:pStyle w:val="Compact"/>
            </w:pPr>
            <w:r>
              <w:t xml:space="preserve">repository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CMP-1</w:t>
            </w:r>
          </w:p>
        </w:tc>
        <w:tc>
          <w:tcPr/>
          <w:p>
            <w:pPr>
              <w:pStyle w:val="Compact"/>
            </w:pPr>
            <w:r>
              <w:t xml:space="preserve">Front-end components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cmp-1-components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</w:t>
            </w:r>
            <w:r>
              <w:t xml:space="preserve"> </w:t>
            </w:r>
            <w:r>
              <w:t xml:space="preserve">folders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CLS-1</w:t>
            </w:r>
          </w:p>
        </w:tc>
        <w:tc>
          <w:tcPr/>
          <w:p>
            <w:pPr>
              <w:pStyle w:val="Compact"/>
            </w:pPr>
            <w:r>
              <w:t xml:space="preserve">Domain class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cls-1-domain</w:t>
            </w:r>
          </w:p>
        </w:tc>
        <w:tc>
          <w:tcPr/>
          <w:p>
            <w:pPr>
              <w:pStyle w:val="Compact"/>
            </w:pPr>
            <w:r>
              <w:t xml:space="preserve">core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DEP-1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dep-1-deployment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vercel.json</w:t>
            </w:r>
            <w:r>
              <w:t xml:space="preserve">, Supabase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STATE-1</w:t>
            </w:r>
          </w:p>
        </w:tc>
        <w:tc>
          <w:tcPr/>
          <w:p>
            <w:pPr>
              <w:pStyle w:val="Compact"/>
            </w:pPr>
            <w:r>
              <w:t xml:space="preserve">Article lifecycle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state-1-article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app.article_before_write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STATE-2</w:t>
            </w:r>
          </w:p>
        </w:tc>
        <w:tc>
          <w:tcPr/>
          <w:p>
            <w:pPr>
              <w:pStyle w:val="Compact"/>
            </w:pPr>
            <w:r>
              <w:t xml:space="preserve">Game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state-2-game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statusActions()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scoring.ts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sk_match_status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ERD-1</w:t>
            </w:r>
          </w:p>
        </w:tc>
        <w:tc>
          <w:tcPr/>
          <w:p>
            <w:pPr>
              <w:pStyle w:val="Compact"/>
            </w:pPr>
            <w:r>
              <w:t xml:space="preserve">Content ERD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erd-1-content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schema.sql</w:t>
            </w:r>
            <w:r>
              <w:t xml:space="preserve"> </w:t>
            </w:r>
            <w:r>
              <w:t xml:space="preserve">(generated)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ERD-2</w:t>
            </w:r>
          </w:p>
        </w:tc>
        <w:tc>
          <w:tcPr/>
          <w:p>
            <w:pPr>
              <w:pStyle w:val="Compact"/>
            </w:pPr>
            <w:r>
              <w:t xml:space="preserve">People, intake and settings ERD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erd-2-people-intake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schema.sql</w:t>
            </w:r>
            <w:r>
              <w:t xml:space="preserve"> </w:t>
            </w:r>
            <w:r>
              <w:t xml:space="preserve">(generated)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ERD-3</w:t>
            </w:r>
          </w:p>
        </w:tc>
        <w:tc>
          <w:tcPr/>
          <w:p>
            <w:pPr>
              <w:pStyle w:val="Compact"/>
            </w:pPr>
            <w:r>
              <w:t xml:space="preserve">Salingkusog ERD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erd-3-salingkusog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salingkusog.sql</w:t>
            </w:r>
            <w:r>
              <w:t xml:space="preserve"> </w:t>
            </w:r>
            <w:r>
              <w:t xml:space="preserve">(generated)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ERD-4</w:t>
            </w:r>
          </w:p>
        </w:tc>
        <w:tc>
          <w:tcPr/>
          <w:p>
            <w:pPr>
              <w:pStyle w:val="Compact"/>
            </w:pPr>
            <w:r>
              <w:t xml:space="preserve">Statistics ERD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erd-4-statistics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stats.sql</w:t>
            </w:r>
            <w:r>
              <w:t xml:space="preserve"> </w:t>
            </w:r>
            <w:r>
              <w:t xml:space="preserve">(generated)</w:t>
            </w:r>
          </w:p>
        </w:tc>
      </w:tr>
    </w:tbl>
    <w:p>
      <w:r>
        <w:br w:type="page"/>
      </w:r>
    </w:p>
    <w:bookmarkEnd w:id="21"/>
    <w:bookmarkStart w:id="34" w:name="context-and-data-flow"/>
    <w:p>
      <w:pPr>
        <w:pStyle w:val="Heading1"/>
      </w:pPr>
      <w:r>
        <w:t xml:space="preserve">2. Context and data flow</w:t>
      </w:r>
    </w:p>
    <w:bookmarkStart w:id="25" w:name="ctx-1-system-context"/>
    <w:p>
      <w:pPr>
        <w:pStyle w:val="Heading2"/>
      </w:pPr>
      <w:r>
        <w:t xml:space="preserve">CTX-1 System context</w:t>
      </w:r>
    </w:p>
    <w:p>
      <w:pPr>
        <w:pStyle w:val="CaptionedFigure"/>
      </w:pPr>
      <w:r>
        <w:drawing>
          <wp:inline>
            <wp:extent cx="5969000" cy="1965178"/>
            <wp:effectExtent b="0" l="0" r="0" t="0"/>
            <wp:docPr descr="CTX-1 — Amaranth v2 and the people and services around it." title="" id="23" name="Picture"/>
            <a:graphic>
              <a:graphicData uri="http://schemas.openxmlformats.org/drawingml/2006/picture">
                <pic:pic>
                  <pic:nvPicPr>
                    <pic:cNvPr descr="diagrams/ctx-1-context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1965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CTX-1 — Amaranth v2 and the people and services around it.</w:t>
      </w:r>
    </w:p>
    <w:p>
      <w:pPr>
        <w:pStyle w:val="BodyText"/>
      </w:pPr>
      <w:r>
        <w:t xml:space="preserve">Amaranth v2 is one web application with three audiences. All persistent data and authentication are in Supabase; Vercel hosts the app and runs the small server functions; Cloudflare Turnstile checks public forms.</w:t>
      </w:r>
    </w:p>
    <w:bookmarkEnd w:id="25"/>
    <w:bookmarkStart w:id="29" w:name="dfd-0-level-0"/>
    <w:p>
      <w:pPr>
        <w:pStyle w:val="Heading2"/>
      </w:pPr>
      <w:r>
        <w:t xml:space="preserve">DFD-0 Level 0</w:t>
      </w:r>
    </w:p>
    <w:p>
      <w:pPr>
        <w:pStyle w:val="CaptionedFigure"/>
      </w:pPr>
      <w:r>
        <w:drawing>
          <wp:inline>
            <wp:extent cx="5969000" cy="2486533"/>
            <wp:effectExtent b="0" l="0" r="0" t="0"/>
            <wp:docPr descr="DFD-0 — the system as a single process with its external entities." title="" id="27" name="Picture"/>
            <a:graphic>
              <a:graphicData uri="http://schemas.openxmlformats.org/drawingml/2006/picture">
                <pic:pic>
                  <pic:nvPicPr>
                    <pic:cNvPr descr="diagrams/dfd-0-level0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486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DFD-0 — the system as a single process with its external entities.</w:t>
      </w:r>
    </w:p>
    <w:bookmarkEnd w:id="29"/>
    <w:bookmarkStart w:id="33" w:name="dfd-1-level-1"/>
    <w:p>
      <w:pPr>
        <w:pStyle w:val="Heading2"/>
      </w:pPr>
      <w:r>
        <w:t xml:space="preserve">DFD-1 Level 1</w:t>
      </w:r>
    </w:p>
    <w:p>
      <w:pPr>
        <w:pStyle w:val="CaptionedFigure"/>
      </w:pPr>
      <w:r>
        <w:drawing>
          <wp:inline>
            <wp:extent cx="5969000" cy="6621673"/>
            <wp:effectExtent b="0" l="0" r="0" t="0"/>
            <wp:docPr descr="DFD-1 — six processes and their data stores." title="" id="31" name="Picture"/>
            <a:graphic>
              <a:graphicData uri="http://schemas.openxmlformats.org/drawingml/2006/picture">
                <pic:pic>
                  <pic:nvPicPr>
                    <pic:cNvPr descr="diagrams/dfd-1-level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6621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DFD-1 — six processes and their data stores.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Main code</w:t>
            </w:r>
          </w:p>
        </w:tc>
        <w:tc>
          <w:tcPr/>
          <w:p>
            <w:pPr>
              <w:pStyle w:val="Compact"/>
            </w:pPr>
            <w:r>
              <w:t xml:space="preserve">Data stores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 Authenticate and authorise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features/auth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app.current_role</w:t>
            </w:r>
          </w:p>
        </w:tc>
        <w:tc>
          <w:tcPr/>
          <w:p>
            <w:pPr>
              <w:pStyle w:val="Compact"/>
            </w:pPr>
            <w:r>
              <w:t xml:space="preserve">D1</w:t>
            </w:r>
            <w:r>
              <w:t xml:space="preserve"> </w:t>
            </w:r>
            <w:r>
              <w:rPr>
                <w:rStyle w:val="VerbatimChar"/>
              </w:rPr>
              <w:t xml:space="preserve">profiles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staff_invites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 Manage articles and workflow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features/cms/articles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transition_article</w:t>
            </w:r>
          </w:p>
        </w:tc>
        <w:tc>
          <w:tcPr/>
          <w:p>
            <w:pPr>
              <w:pStyle w:val="Compact"/>
            </w:pPr>
            <w:r>
              <w:t xml:space="preserve">D2 articles, D3 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3.0 Serve public site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features/public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middleware.ts</w:t>
            </w:r>
          </w:p>
        </w:tc>
        <w:tc>
          <w:tcPr/>
          <w:p>
            <w:pPr>
              <w:pStyle w:val="Compact"/>
            </w:pPr>
            <w:r>
              <w:t xml:space="preserve">D2, D5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4.0 Handle public intake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api/submit.ts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features/cms/intake</w:t>
            </w:r>
          </w:p>
        </w:tc>
        <w:tc>
          <w:tcPr/>
          <w:p>
            <w:pPr>
              <w:pStyle w:val="Compact"/>
            </w:pPr>
            <w:r>
              <w:t xml:space="preserve">D4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5.0 Run Salingkusog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features/cms/salingkusog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salingkusog.sql</w:t>
            </w:r>
          </w:p>
        </w:tc>
        <w:tc>
          <w:tcPr/>
          <w:p>
            <w:pPr>
              <w:pStyle w:val="Compact"/>
            </w:pPr>
            <w:r>
              <w:t xml:space="preserve">D5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6.0 Collect and report statistics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stats.sql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features/cms/statistics</w:t>
            </w:r>
          </w:p>
        </w:tc>
        <w:tc>
          <w:tcPr/>
          <w:p>
            <w:pPr>
              <w:pStyle w:val="Compact"/>
            </w:pPr>
            <w:r>
              <w:t xml:space="preserve">D6</w:t>
            </w:r>
          </w:p>
        </w:tc>
      </w:tr>
    </w:tbl>
    <w:p>
      <w:r>
        <w:br w:type="page"/>
      </w:r>
    </w:p>
    <w:bookmarkEnd w:id="33"/>
    <w:bookmarkEnd w:id="34"/>
    <w:bookmarkStart w:id="51" w:name="use-cases"/>
    <w:p>
      <w:pPr>
        <w:pStyle w:val="Heading1"/>
      </w:pPr>
      <w:r>
        <w:t xml:space="preserve">3. Use cases</w:t>
      </w:r>
    </w:p>
    <w:bookmarkStart w:id="38" w:name="uc-1-writers-editors-and-publishers"/>
    <w:p>
      <w:pPr>
        <w:pStyle w:val="Heading2"/>
      </w:pPr>
      <w:r>
        <w:t xml:space="preserve">UC-1 Writers, editors and publishers</w:t>
      </w:r>
    </w:p>
    <w:p>
      <w:pPr>
        <w:pStyle w:val="CaptionedFigure"/>
      </w:pPr>
      <w:r>
        <w:drawing>
          <wp:inline>
            <wp:extent cx="5969000" cy="12766351"/>
            <wp:effectExtent b="0" l="0" r="0" t="0"/>
            <wp:docPr descr="UC-1 — article use cases by role. “Publisher” means SA, EE, ME, BM or staff granted publishing access." title="" id="36" name="Picture"/>
            <a:graphic>
              <a:graphicData uri="http://schemas.openxmlformats.org/drawingml/2006/picture">
                <pic:pic>
                  <pic:nvPicPr>
                    <pic:cNvPr descr="diagrams/uc-1-writers-editor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12766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UC-1 — article use cases by role.</w:t>
      </w:r>
      <w:r>
        <w:t xml:space="preserve"> </w:t>
      </w:r>
      <w:r>
        <w:t xml:space="preserve">“Publisher”</w:t>
      </w:r>
      <w:r>
        <w:t xml:space="preserve"> </w:t>
      </w:r>
      <w:r>
        <w:t xml:space="preserve">means SA, EE, ME, BM or staff granted publishing access.</w:t>
      </w:r>
    </w:p>
    <w:bookmarkEnd w:id="38"/>
    <w:bookmarkStart w:id="42" w:name="uc-2-managers"/>
    <w:p>
      <w:pPr>
        <w:pStyle w:val="Heading2"/>
      </w:pPr>
      <w:r>
        <w:t xml:space="preserve">UC-2 Managers</w:t>
      </w:r>
    </w:p>
    <w:p>
      <w:pPr>
        <w:pStyle w:val="CaptionedFigure"/>
      </w:pPr>
      <w:r>
        <w:drawing>
          <wp:inline>
            <wp:extent cx="5969000" cy="11285140"/>
            <wp:effectExtent b="0" l="0" r="0" t="0"/>
            <wp:docPr descr="UC-2 — administration use cases for Super admin, Executive Editor and Managing Editor." title="" id="40" name="Picture"/>
            <a:graphic>
              <a:graphicData uri="http://schemas.openxmlformats.org/drawingml/2006/picture">
                <pic:pic>
                  <pic:nvPicPr>
                    <pic:cNvPr descr="diagrams/uc-2-manager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11285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UC-2 — administration use cases for Super admin, Executive Editor and Managing Editor.</w:t>
      </w:r>
    </w:p>
    <w:bookmarkEnd w:id="42"/>
    <w:bookmarkStart w:id="46" w:name="uc-3-salingkusog-team"/>
    <w:p>
      <w:pPr>
        <w:pStyle w:val="Heading2"/>
      </w:pPr>
      <w:r>
        <w:t xml:space="preserve">UC-3 Salingkusog team</w:t>
      </w:r>
    </w:p>
    <w:p>
      <w:pPr>
        <w:pStyle w:val="CaptionedFigure"/>
      </w:pPr>
      <w:r>
        <w:drawing>
          <wp:inline>
            <wp:extent cx="5969000" cy="6939902"/>
            <wp:effectExtent b="0" l="0" r="0" t="0"/>
            <wp:docPr descr="UC-3 — Salingkusog newsroom use cases." title="" id="44" name="Picture"/>
            <a:graphic>
              <a:graphicData uri="http://schemas.openxmlformats.org/drawingml/2006/picture">
                <pic:pic>
                  <pic:nvPicPr>
                    <pic:cNvPr descr="diagrams/uc-3-salingkusog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6939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UC-3 — Salingkusog newsroom use cases.</w:t>
      </w:r>
    </w:p>
    <w:bookmarkEnd w:id="46"/>
    <w:bookmarkStart w:id="50" w:name="uc-4-readers"/>
    <w:p>
      <w:pPr>
        <w:pStyle w:val="Heading2"/>
      </w:pPr>
      <w:r>
        <w:t xml:space="preserve">UC-4 Readers</w:t>
      </w:r>
    </w:p>
    <w:p>
      <w:pPr>
        <w:pStyle w:val="CaptionedFigure"/>
      </w:pPr>
      <w:r>
        <w:drawing>
          <wp:inline>
            <wp:extent cx="5969000" cy="6782577"/>
            <wp:effectExtent b="0" l="0" r="0" t="0"/>
            <wp:docPr descr="UC-4 — public use cases; forms include the Turnstile check." title="" id="48" name="Picture"/>
            <a:graphic>
              <a:graphicData uri="http://schemas.openxmlformats.org/drawingml/2006/picture">
                <pic:pic>
                  <pic:nvPicPr>
                    <pic:cNvPr descr="diagrams/uc-4-reader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6782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UC-4 — public use cases; forms include the Turnstile check.</w:t>
      </w:r>
    </w:p>
    <w:p>
      <w:r>
        <w:br w:type="page"/>
      </w:r>
    </w:p>
    <w:bookmarkEnd w:id="50"/>
    <w:bookmarkEnd w:id="51"/>
    <w:bookmarkStart w:id="60" w:name="activities"/>
    <w:p>
      <w:pPr>
        <w:pStyle w:val="Heading1"/>
      </w:pPr>
      <w:r>
        <w:t xml:space="preserve">4. Activities</w:t>
      </w:r>
    </w:p>
    <w:bookmarkStart w:id="55" w:name="act-1-article-submission-to-publication"/>
    <w:p>
      <w:pPr>
        <w:pStyle w:val="Heading2"/>
      </w:pPr>
      <w:r>
        <w:t xml:space="preserve">ACT-1 Article submission to publication</w:t>
      </w:r>
    </w:p>
    <w:p>
      <w:pPr>
        <w:pStyle w:val="CaptionedFigure"/>
      </w:pPr>
      <w:r>
        <w:drawing>
          <wp:inline>
            <wp:extent cx="5969000" cy="8220142"/>
            <wp:effectExtent b="0" l="0" r="0" t="0"/>
            <wp:docPr descr="ACT-1 — from draft to a live article. Every transition is checked by the database trigger." title="" id="53" name="Picture"/>
            <a:graphic>
              <a:graphicData uri="http://schemas.openxmlformats.org/drawingml/2006/picture">
                <pic:pic>
                  <pic:nvPicPr>
                    <pic:cNvPr descr="diagrams/act-1-article-publication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8220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ACT-1 — from draft to a live article. Every transition is checked by the database trigger.</w:t>
      </w:r>
    </w:p>
    <w:p>
      <w:r>
        <w:br w:type="page"/>
      </w:r>
    </w:p>
    <w:bookmarkEnd w:id="55"/>
    <w:bookmarkStart w:id="59" w:name="X1bc9859a7b62193b090dd3d5e5849a433e4a659"/>
    <w:p>
      <w:pPr>
        <w:pStyle w:val="Heading2"/>
      </w:pPr>
      <w:r>
        <w:t xml:space="preserve">ACT-2 Scheduling a game to an updated medal table</w:t>
      </w:r>
    </w:p>
    <w:p>
      <w:pPr>
        <w:pStyle w:val="CaptionedFigure"/>
      </w:pPr>
      <w:r>
        <w:drawing>
          <wp:inline>
            <wp:extent cx="5969000" cy="15694235"/>
            <wp:effectExtent b="0" l="0" r="0" t="0"/>
            <wp:docPr descr="ACT-2 — three ways to create games, live scoring, automatic advancement and staff-confirmed medals." title="" id="57" name="Picture"/>
            <a:graphic>
              <a:graphicData uri="http://schemas.openxmlformats.org/drawingml/2006/picture">
                <pic:pic>
                  <pic:nvPicPr>
                    <pic:cNvPr descr="diagrams/act-2-game-to-medal-tabl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15694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ACT-2 — three ways to create games, live scoring, automatic advancement and staff-confirmed medals.</w:t>
      </w:r>
    </w:p>
    <w:p>
      <w:r>
        <w:br w:type="page"/>
      </w:r>
    </w:p>
    <w:bookmarkEnd w:id="59"/>
    <w:bookmarkEnd w:id="60"/>
    <w:bookmarkStart w:id="85" w:name="sequences"/>
    <w:p>
      <w:pPr>
        <w:pStyle w:val="Heading1"/>
      </w:pPr>
      <w:r>
        <w:t xml:space="preserve">5. Sequences</w:t>
      </w:r>
    </w:p>
    <w:bookmarkStart w:id="64" w:name="seq-1-login-and-role-check"/>
    <w:p>
      <w:pPr>
        <w:pStyle w:val="Heading2"/>
      </w:pPr>
      <w:r>
        <w:t xml:space="preserve">SEQ-1 Login and role check</w:t>
      </w:r>
    </w:p>
    <w:p>
      <w:pPr>
        <w:pStyle w:val="CaptionedFigure"/>
      </w:pPr>
      <w:r>
        <w:drawing>
          <wp:inline>
            <wp:extent cx="5969000" cy="2592403"/>
            <wp:effectExtent b="0" l="0" r="0" t="0"/>
            <wp:docPr descr="SEQ-1 — sign-in, profile load and the RequireStaff guard. The database re-checks the role on every query." title="" id="62" name="Picture"/>
            <a:graphic>
              <a:graphicData uri="http://schemas.openxmlformats.org/drawingml/2006/picture">
                <pic:pic>
                  <pic:nvPicPr>
                    <pic:cNvPr descr="diagrams/seq-1-login-role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592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SEQ-1 — sign-in, profile load and the RequireStaff guard. The database re-checks the role on every query.</w:t>
      </w:r>
    </w:p>
    <w:bookmarkEnd w:id="64"/>
    <w:bookmarkStart w:id="68" w:name="seq-2-publish-an-article"/>
    <w:p>
      <w:pPr>
        <w:pStyle w:val="Heading2"/>
      </w:pPr>
      <w:r>
        <w:t xml:space="preserve">SEQ-2 Publish an article</w:t>
      </w:r>
    </w:p>
    <w:p>
      <w:pPr>
        <w:pStyle w:val="CaptionedFigure"/>
      </w:pPr>
      <w:r>
        <w:drawing>
          <wp:inline>
            <wp:extent cx="5969000" cy="3139802"/>
            <wp:effectExtent b="0" l="0" r="0" t="0"/>
            <wp:docPr descr="SEQ-2 — publishing through transition_article and the article triggers." title="" id="66" name="Picture"/>
            <a:graphic>
              <a:graphicData uri="http://schemas.openxmlformats.org/drawingml/2006/picture">
                <pic:pic>
                  <pic:nvPicPr>
                    <pic:cNvPr descr="diagrams/seq-2-publish-article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139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SEQ-2 — publishing through transition_article and the article triggers.</w:t>
      </w:r>
    </w:p>
    <w:bookmarkEnd w:id="68"/>
    <w:bookmarkStart w:id="72" w:name="seq-3-enter-results-and-medals"/>
    <w:p>
      <w:pPr>
        <w:pStyle w:val="Heading2"/>
      </w:pPr>
      <w:r>
        <w:t xml:space="preserve">SEQ-3 Enter results and medals</w:t>
      </w:r>
    </w:p>
    <w:p>
      <w:pPr>
        <w:pStyle w:val="CaptionedFigure"/>
      </w:pPr>
      <w:r>
        <w:drawing>
          <wp:inline>
            <wp:extent cx="5969000" cy="1950933"/>
            <wp:effectExtent b="0" l="0" r="0" t="0"/>
            <wp:docPr descr="SEQ-3 — confirming medals; the medal table and points are computed when read." title="" id="70" name="Picture"/>
            <a:graphic>
              <a:graphicData uri="http://schemas.openxmlformats.org/drawingml/2006/picture">
                <pic:pic>
                  <pic:nvPicPr>
                    <pic:cNvPr descr="diagrams/seq-3-enter-results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1950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SEQ-3 — confirming medals; the medal table and points are computed when read.</w:t>
      </w:r>
    </w:p>
    <w:bookmarkEnd w:id="72"/>
    <w:bookmarkStart w:id="76" w:name="seq-4-live-score-update"/>
    <w:p>
      <w:pPr>
        <w:pStyle w:val="Heading2"/>
      </w:pPr>
      <w:r>
        <w:t xml:space="preserve">SEQ-4 Live score update</w:t>
      </w:r>
    </w:p>
    <w:p>
      <w:pPr>
        <w:pStyle w:val="CaptionedFigure"/>
      </w:pPr>
      <w:r>
        <w:drawing>
          <wp:inline>
            <wp:extent cx="5969000" cy="2079522"/>
            <wp:effectExtent b="0" l="0" r="0" t="0"/>
            <wp:docPr descr="SEQ-4 — a score tap reaches every open page through Supabase Realtime." title="" id="74" name="Picture"/>
            <a:graphic>
              <a:graphicData uri="http://schemas.openxmlformats.org/drawingml/2006/picture">
                <pic:pic>
                  <pic:nvPicPr>
                    <pic:cNvPr descr="diagrams/seq-4-live-score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079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SEQ-4 — a score tap reaches every open page through Supabase Realtime.</w:t>
      </w:r>
    </w:p>
    <w:bookmarkEnd w:id="76"/>
    <w:bookmarkStart w:id="80" w:name="seq-5-schedule-import"/>
    <w:p>
      <w:pPr>
        <w:pStyle w:val="Heading2"/>
      </w:pPr>
      <w:r>
        <w:t xml:space="preserve">SEQ-5 Schedule import</w:t>
      </w:r>
    </w:p>
    <w:p>
      <w:pPr>
        <w:pStyle w:val="CaptionedFigure"/>
      </w:pPr>
      <w:r>
        <w:drawing>
          <wp:inline>
            <wp:extent cx="5969000" cy="2849213"/>
            <wp:effectExtent b="0" l="0" r="0" t="0"/>
            <wp:docPr descr="SEQ-5 — CSV import with validation and duplicate detection." title="" id="78" name="Picture"/>
            <a:graphic>
              <a:graphicData uri="http://schemas.openxmlformats.org/drawingml/2006/picture">
                <pic:pic>
                  <pic:nvPicPr>
                    <pic:cNvPr descr="diagrams/seq-5-schedule-import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849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SEQ-5 — CSV import with validation and duplicate detection.</w:t>
      </w:r>
    </w:p>
    <w:bookmarkEnd w:id="80"/>
    <w:bookmarkStart w:id="84" w:name="X4ba0e06bca95e73b2f676da03d92c99641cfc3d"/>
    <w:p>
      <w:pPr>
        <w:pStyle w:val="Heading2"/>
      </w:pPr>
      <w:r>
        <w:t xml:space="preserve">SEQ-6 Public form with CAPTCHA and attachments</w:t>
      </w:r>
    </w:p>
    <w:p>
      <w:pPr>
        <w:pStyle w:val="CaptionedFigure"/>
      </w:pPr>
      <w:r>
        <w:drawing>
          <wp:inline>
            <wp:extent cx="5969000" cy="3687853"/>
            <wp:effectExtent b="0" l="0" r="0" t="0"/>
            <wp:docPr descr="SEQ-6 — the /api/submit gateway: Turnstile, signed uploads, signed ticket, service-role RPC." title="" id="82" name="Picture"/>
            <a:graphic>
              <a:graphicData uri="http://schemas.openxmlformats.org/drawingml/2006/picture">
                <pic:pic>
                  <pic:nvPicPr>
                    <pic:cNvPr descr="diagrams/seq-6-public-form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687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SEQ-6 — the /api/submit gateway: Turnstile, signed uploads, signed ticket, service-role RPC.</w:t>
      </w:r>
    </w:p>
    <w:p>
      <w:r>
        <w:br w:type="page"/>
      </w:r>
    </w:p>
    <w:bookmarkEnd w:id="84"/>
    <w:bookmarkEnd w:id="85"/>
    <w:bookmarkStart w:id="102" w:name="structure"/>
    <w:p>
      <w:pPr>
        <w:pStyle w:val="Heading1"/>
      </w:pPr>
      <w:r>
        <w:t xml:space="preserve">6. Structure</w:t>
      </w:r>
    </w:p>
    <w:bookmarkStart w:id="89" w:name="arch-1-layered-architecture"/>
    <w:p>
      <w:pPr>
        <w:pStyle w:val="Heading2"/>
      </w:pPr>
      <w:r>
        <w:t xml:space="preserve">ARCH-1 Layered architecture</w:t>
      </w:r>
    </w:p>
    <w:p>
      <w:pPr>
        <w:pStyle w:val="CaptionedFigure"/>
      </w:pPr>
      <w:r>
        <w:drawing>
          <wp:inline>
            <wp:extent cx="5969000" cy="10714702"/>
            <wp:effectExtent b="0" l="0" r="0" t="0"/>
            <wp:docPr descr="ARCH-1 — five layers from React pages to Supabase platform services." title="" id="87" name="Picture"/>
            <a:graphic>
              <a:graphicData uri="http://schemas.openxmlformats.org/drawingml/2006/picture">
                <pic:pic>
                  <pic:nvPicPr>
                    <pic:cNvPr descr="diagrams/arch-1-layers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10714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ARCH-1 — five layers from React pages to Supabase platform services.</w:t>
      </w:r>
    </w:p>
    <w:bookmarkEnd w:id="89"/>
    <w:bookmarkStart w:id="93" w:name="cmp-1-front-end-components"/>
    <w:p>
      <w:pPr>
        <w:pStyle w:val="Heading2"/>
      </w:pPr>
      <w:r>
        <w:t xml:space="preserve">CMP-1 Front-end components</w:t>
      </w:r>
    </w:p>
    <w:p>
      <w:pPr>
        <w:pStyle w:val="CaptionedFigure"/>
      </w:pPr>
      <w:r>
        <w:drawing>
          <wp:inline>
            <wp:extent cx="5969000" cy="8520736"/>
            <wp:effectExtent b="0" l="0" r="0" t="0"/>
            <wp:docPr descr="CMP-1 — main front-end modules and shared libraries." title="" id="91" name="Picture"/>
            <a:graphic>
              <a:graphicData uri="http://schemas.openxmlformats.org/drawingml/2006/picture">
                <pic:pic>
                  <pic:nvPicPr>
                    <pic:cNvPr descr="diagrams/cmp-1-components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8520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CMP-1 — main front-end modules and shared libraries.</w:t>
      </w:r>
    </w:p>
    <w:bookmarkEnd w:id="93"/>
    <w:bookmarkStart w:id="97" w:name="cls-1-domain-class-model"/>
    <w:p>
      <w:pPr>
        <w:pStyle w:val="Heading2"/>
      </w:pPr>
      <w:r>
        <w:t xml:space="preserve">CLS-1 Domain class model</w:t>
      </w:r>
    </w:p>
    <w:p>
      <w:pPr>
        <w:pStyle w:val="CaptionedFigure"/>
      </w:pPr>
      <w:r>
        <w:drawing>
          <wp:inline>
            <wp:extent cx="5969000" cy="4067205"/>
            <wp:effectExtent b="0" l="0" r="0" t="0"/>
            <wp:docPr descr="CLS-1 — the main domain entities and their relationships (simplified; full columns in AMR-DOC-04)." title="" id="95" name="Picture"/>
            <a:graphic>
              <a:graphicData uri="http://schemas.openxmlformats.org/drawingml/2006/picture">
                <pic:pic>
                  <pic:nvPicPr>
                    <pic:cNvPr descr="diagrams/cls-1-domain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4067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CLS-1 — the main domain entities and their relationships (simplified; full columns in AMR-DOC-04).</w:t>
      </w:r>
    </w:p>
    <w:bookmarkEnd w:id="97"/>
    <w:bookmarkStart w:id="101" w:name="dep-1-deployment"/>
    <w:p>
      <w:pPr>
        <w:pStyle w:val="Heading2"/>
      </w:pPr>
      <w:r>
        <w:t xml:space="preserve">DEP-1 Deployment</w:t>
      </w:r>
    </w:p>
    <w:p>
      <w:pPr>
        <w:pStyle w:val="CaptionedFigure"/>
      </w:pPr>
      <w:r>
        <w:drawing>
          <wp:inline>
            <wp:extent cx="5969000" cy="2714650"/>
            <wp:effectExtent b="0" l="0" r="0" t="0"/>
            <wp:docPr descr="DEP-1 — browsers, Vercel and Supabase services." title="" id="99" name="Picture"/>
            <a:graphic>
              <a:graphicData uri="http://schemas.openxmlformats.org/drawingml/2006/picture">
                <pic:pic>
                  <pic:nvPicPr>
                    <pic:cNvPr descr="diagrams/dep-1-deployment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714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DEP-1 — browsers, Vercel and Supabase services.</w:t>
      </w:r>
    </w:p>
    <w:p>
      <w:r>
        <w:br w:type="page"/>
      </w:r>
    </w:p>
    <w:bookmarkEnd w:id="101"/>
    <w:bookmarkEnd w:id="102"/>
    <w:bookmarkStart w:id="111" w:name="states"/>
    <w:p>
      <w:pPr>
        <w:pStyle w:val="Heading1"/>
      </w:pPr>
      <w:r>
        <w:t xml:space="preserve">7. States</w:t>
      </w:r>
    </w:p>
    <w:bookmarkStart w:id="106" w:name="state-1-article-lifecycle"/>
    <w:p>
      <w:pPr>
        <w:pStyle w:val="Heading2"/>
      </w:pPr>
      <w:r>
        <w:t xml:space="preserve">STATE-1 Article lifecycle</w:t>
      </w:r>
    </w:p>
    <w:p>
      <w:pPr>
        <w:pStyle w:val="CaptionedFigure"/>
      </w:pPr>
      <w:r>
        <w:drawing>
          <wp:inline>
            <wp:extent cx="5969000" cy="4074617"/>
            <wp:effectExtent b="0" l="0" r="0" t="0"/>
            <wp:docPr descr="STATE-1 — article statuses and who may move between them." title="" id="104" name="Picture"/>
            <a:graphic>
              <a:graphicData uri="http://schemas.openxmlformats.org/drawingml/2006/picture">
                <pic:pic>
                  <pic:nvPicPr>
                    <pic:cNvPr descr="diagrams/state-1-article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4074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STATE-1 — article statuses and who may move between them.</w:t>
      </w:r>
    </w:p>
    <w:bookmarkEnd w:id="106"/>
    <w:bookmarkStart w:id="110" w:name="state-2-game-status"/>
    <w:p>
      <w:pPr>
        <w:pStyle w:val="Heading2"/>
      </w:pPr>
      <w:r>
        <w:t xml:space="preserve">STATE-2 Game status</w:t>
      </w:r>
    </w:p>
    <w:p>
      <w:pPr>
        <w:pStyle w:val="CaptionedFigure"/>
      </w:pPr>
      <w:r>
        <w:drawing>
          <wp:inline>
            <wp:extent cx="5969000" cy="4373326"/>
            <wp:effectExtent b="0" l="0" r="0" t="0"/>
            <wp:docPr descr="STATE-2 — statuses of a Salingkusog game (sk_match_status) and the scorekeeper actions." title="" id="108" name="Picture"/>
            <a:graphic>
              <a:graphicData uri="http://schemas.openxmlformats.org/drawingml/2006/picture">
                <pic:pic>
                  <pic:nvPicPr>
                    <pic:cNvPr descr="diagrams/state-2-game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4373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STATE-2 — statuses of a Salingkusog game (sk_match_status) and the scorekeeper actions.</w:t>
      </w:r>
    </w:p>
    <w:p>
      <w:r>
        <w:br w:type="page"/>
      </w:r>
    </w:p>
    <w:bookmarkEnd w:id="110"/>
    <w:bookmarkEnd w:id="111"/>
    <w:bookmarkStart w:id="128" w:name="entityrelationship-diagrams"/>
    <w:p>
      <w:pPr>
        <w:pStyle w:val="Heading1"/>
      </w:pPr>
      <w:r>
        <w:t xml:space="preserve">8. Entity–relationship diagrams</w:t>
      </w:r>
    </w:p>
    <w:p>
      <w:pPr>
        <w:pStyle w:val="FirstParagraph"/>
      </w:pPr>
      <w:r>
        <w:t xml:space="preserve">These are generated from the SQL files and show primary keys, foreign keys and a few key columns. Grey boxes without columns are tables from another group, shown for context. The complete data dictionary is in AMR-DOC-04.</w:t>
      </w:r>
    </w:p>
    <w:bookmarkStart w:id="115" w:name="erd-1-content"/>
    <w:p>
      <w:pPr>
        <w:pStyle w:val="Heading2"/>
      </w:pPr>
      <w:r>
        <w:t xml:space="preserve">ERD-1 Content</w:t>
      </w:r>
    </w:p>
    <w:p>
      <w:pPr>
        <w:pStyle w:val="CaptionedFigure"/>
      </w:pPr>
      <w:r>
        <w:drawing>
          <wp:inline>
            <wp:extent cx="5969000" cy="2593559"/>
            <wp:effectExtent b="0" l="0" r="0" t="0"/>
            <wp:docPr descr="ERD-1 — sections, categories, articles and their related tables." title="" id="113" name="Picture"/>
            <a:graphic>
              <a:graphicData uri="http://schemas.openxmlformats.org/drawingml/2006/picture">
                <pic:pic>
                  <pic:nvPicPr>
                    <pic:cNvPr descr="diagrams/erd-1-content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593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ERD-1 — sections, categories, articles and their related tables.</w:t>
      </w:r>
    </w:p>
    <w:bookmarkEnd w:id="115"/>
    <w:bookmarkStart w:id="119" w:name="erd-2-people-intake-and-settings"/>
    <w:p>
      <w:pPr>
        <w:pStyle w:val="Heading2"/>
      </w:pPr>
      <w:r>
        <w:t xml:space="preserve">ERD-2 People, intake and settings</w:t>
      </w:r>
    </w:p>
    <w:p>
      <w:pPr>
        <w:pStyle w:val="CaptionedFigure"/>
      </w:pPr>
      <w:r>
        <w:drawing>
          <wp:inline>
            <wp:extent cx="5969000" cy="1371993"/>
            <wp:effectExtent b="0" l="0" r="0" t="0"/>
            <wp:docPr descr="ERD-2 — staff, invitations, contributors, editorial board, public intake and settings." title="" id="117" name="Picture"/>
            <a:graphic>
              <a:graphicData uri="http://schemas.openxmlformats.org/drawingml/2006/picture">
                <pic:pic>
                  <pic:nvPicPr>
                    <pic:cNvPr descr="diagrams/erd-2-people-intake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1371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ERD-2 — staff, invitations, contributors, editorial board, public intake and settings.</w:t>
      </w:r>
    </w:p>
    <w:bookmarkEnd w:id="119"/>
    <w:bookmarkStart w:id="123" w:name="erd-3-salingkusog"/>
    <w:p>
      <w:pPr>
        <w:pStyle w:val="Heading2"/>
      </w:pPr>
      <w:r>
        <w:t xml:space="preserve">ERD-3 Salingkusog</w:t>
      </w:r>
    </w:p>
    <w:p>
      <w:pPr>
        <w:pStyle w:val="CaptionedFigure"/>
      </w:pPr>
      <w:r>
        <w:drawing>
          <wp:inline>
            <wp:extent cx="5969000" cy="3666547"/>
            <wp:effectExtent b="0" l="0" r="0" t="0"/>
            <wp:docPr descr="ERD-3 — editions, factions, sports, events, matches, entries, placements and awards." title="" id="121" name="Picture"/>
            <a:graphic>
              <a:graphicData uri="http://schemas.openxmlformats.org/drawingml/2006/picture">
                <pic:pic>
                  <pic:nvPicPr>
                    <pic:cNvPr descr="diagrams/erd-3-salingkusog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666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ERD-3 — editions, factions, sports, events, matches, entries, placements and awards.</w:t>
      </w:r>
    </w:p>
    <w:bookmarkEnd w:id="123"/>
    <w:bookmarkStart w:id="127" w:name="erd-4-statistics"/>
    <w:p>
      <w:pPr>
        <w:pStyle w:val="Heading2"/>
      </w:pPr>
      <w:r>
        <w:t xml:space="preserve">ERD-4 Statistics</w:t>
      </w:r>
    </w:p>
    <w:p>
      <w:pPr>
        <w:pStyle w:val="CaptionedFigure"/>
      </w:pPr>
      <w:r>
        <w:drawing>
          <wp:inline>
            <wp:extent cx="5969000" cy="1492249"/>
            <wp:effectExtent b="0" l="0" r="0" t="0"/>
            <wp:docPr descr="ERD-4 — raw events and daily rollups." title="" id="125" name="Picture"/>
            <a:graphic>
              <a:graphicData uri="http://schemas.openxmlformats.org/drawingml/2006/picture">
                <pic:pic>
                  <pic:nvPicPr>
                    <pic:cNvPr descr="diagrams/erd-4-statistics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1492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ERD-4 — raw events and daily rollups.</w:t>
      </w:r>
    </w:p>
    <w:bookmarkEnd w:id="127"/>
    <w:bookmarkEnd w:id="128"/>
    <w:sectPr>
      <w:headerReference r:id="rId9" w:type="default"/>
      <w:footerReference r:id="rId10" w:type="default"/>
      <w:footnotePr>
        <w:numRestart w:val="eachSect"/>
      </w:footnotePr>
      <w:pgSz w:h="16838" w:w="11906"/>
      <w:pgMar w:bottom="1134" w:left="1247" w:right="1247" w:top="124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058"/>
        <w:sz w:val="16"/>
      </w:rPr>
      <w:t xml:space="preserve">Page </w:t>
    </w:r>
    <w:r>
      <w:rPr>
        <w:color w:val="556058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56058"/>
        <w:sz w:val="16"/>
      </w:rPr>
      <w:t>Amaranth v2 — Visayas State University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Arial" w:cs="Arial" w:eastAsia="Arial" w:hAnsi="Arial"/>
      <w:color w:val="111A14"/>
      <w:sz w:val="21"/>
    </w:rPr>
  </w:style>
  <w:style w:styleId="BodyText" w:type="paragraph">
    <w:name w:val="Body Text"/>
    <w:basedOn w:val="Normal"/>
    <w:link w:val="BodyTextChar"/>
    <w:qFormat/>
    <w:pPr>
      <w:spacing w:after="120" w:before="180" w:line="276" w:lineRule="auto"/>
    </w:pPr>
    <w:rPr>
      <w:rFonts w:ascii="Arial" w:cs="Arial" w:eastAsia="Arial" w:hAnsi="Arial"/>
      <w:color w:val="111A14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Arial" w:cs="Arial" w:eastAsia="Arial" w:hAnsi="Arial"/>
      <w:color w:val="111A14"/>
      <w:sz w:val="21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Arial" w:cs="Arial" w:eastAsia="Arial" w:hAnsi="Arial"/>
      <w:color w:val="111A14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before="3200" w:line="240" w:lineRule="auto"/>
      <w:contextualSpacing/>
      <w:jc w:val="center"/>
    </w:pPr>
    <w:rPr>
      <w:rFonts w:ascii="Arial" w:cs="Arial" w:eastAsia="Arial" w:hAnsi="Arial"/>
      <w:b/>
      <w:color w:val="14361F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eastAsia="Arial" w:hAnsi="Arial"/>
      <w:color w:val="3F6A00"/>
      <w:spacing w:val="15"/>
      <w:sz w:val="3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Arial" w:cs="Arial" w:eastAsia="Arial" w:hAnsi="Arial"/>
      <w:color w:val="556058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Arial" w:cs="Arial" w:eastAsia="Arial" w:hAnsi="Arial"/>
      <w:color w:val="556058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 w:val="0"/>
      <w:spacing w:after="120" w:before="320"/>
      <w:outlineLvl w:val="0"/>
    </w:pPr>
    <w:rPr>
      <w:rFonts w:ascii="Arial" w:cs="Arial" w:eastAsia="Arial" w:hAnsi="Arial"/>
      <w:b/>
      <w:color w:val="14361F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outlineLvl w:val="1"/>
    </w:pPr>
    <w:rPr>
      <w:rFonts w:ascii="Arial" w:cs="Arial" w:eastAsia="Arial" w:hAnsi="Arial"/>
      <w:b/>
      <w:color w:val="14361F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/>
      <w:outlineLvl w:val="2"/>
    </w:pPr>
    <w:rPr>
      <w:rFonts w:ascii="Arial" w:cs="Arial" w:eastAsia="Arial" w:hAnsi="Arial"/>
      <w:b/>
      <w:color w:val="3F6A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40"/>
      <w:outlineLvl w:val="3"/>
    </w:pPr>
    <w:rPr>
      <w:rFonts w:ascii="Arial" w:cs="Arial" w:eastAsia="Arial" w:hAnsi="Arial"/>
      <w:b/>
      <w:i/>
      <w:iCs/>
      <w:color w:val="14361F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color w:val="556058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color w:val="111A14"/>
      <w:sz w:val="19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3CB" w:space="0" w:sz="4" w:val="single"/>
        <w:left w:color="C9D3CB" w:space="0" w:sz="4" w:val="single"/>
        <w:bottom w:color="C9D3CB" w:space="0" w:sz="4" w:val="single"/>
        <w:right w:color="C9D3CB" w:space="0" w:sz="4" w:val="single"/>
        <w:insideH w:color="C9D3CB" w:space="0" w:sz="4" w:val="single"/>
        <w:insideV w:color="C9D3CB" w:space="0" w:sz="4" w:val="single"/>
      </w:tblBorders>
      <w:tblCellMar>
        <w:left w:type="dxa" w:w="80"/>
        <w:right w:type="dxa" w:w="80"/>
        <w:top w:type="dxa" w:w="30"/>
        <w:bottom w:type="dxa" w:w="30"/>
      </w:tblCellMar>
    </w:tblPr>
    <w:tblStylePr w:type="firstRow">
      <w:tcPr>
        <w:tcBorders>
          <w:bottom w:val="single"/>
        </w:tcBorders>
        <w:vAlign w:val="bottom"/>
      </w:tcPr>
    </w:tblStylePr>
    <w:tblStylePr w:type="firstRow">
      <w:rPr>
        <w:b/>
        <w:color w:val="14361F"/>
      </w:rPr>
      <w:tcPr>
        <w:shd w:color="auto" w:fill="E8F1E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  <w:color w:val="556058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  <w:i/>
      <w:color w:val="556058"/>
      <w:sz w:val="18"/>
    </w:rPr>
  </w:style>
  <w:style w:customStyle="1" w:styleId="ImageCaption" w:type="paragraph">
    <w:name w:val="Image Caption"/>
    <w:basedOn w:val="Caption"/>
    <w:rPr>
      <w:rFonts w:ascii="Arial" w:cs="Arial" w:eastAsia="Arial" w:hAnsi="Arial"/>
      <w:i/>
      <w:color w:val="556058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111A14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86" Target="media/rId86.png" /><Relationship Type="http://schemas.openxmlformats.org/officeDocument/2006/relationships/image" Id="rId94" Target="media/rId94.png" /><Relationship Type="http://schemas.openxmlformats.org/officeDocument/2006/relationships/image" Id="rId90" Target="media/rId90.png" /><Relationship Type="http://schemas.openxmlformats.org/officeDocument/2006/relationships/image" Id="rId22" Target="media/rId22.png" /><Relationship Type="http://schemas.openxmlformats.org/officeDocument/2006/relationships/image" Id="rId98" Target="media/rId98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UML and Process Diagrams</dc:title>
  <dc:creator/>
  <cp:keywords/>
  <dcterms:created xsi:type="dcterms:W3CDTF">2026-10-19T00:24:26Z</dcterms:created>
  <dcterms:modified xsi:type="dcterms:W3CDTF">2026-10-19T00:24:26Z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2026-10-19</vt:lpwstr>
  </property>
  <property fmtid="{D5CDD505-2E9C-101B-9397-08002B2CF9AE}" pid="3" name="subtitle">
    <vt:lpwstr>Amaranth v2 — context, data flow, use case, activity, sequence, component, deployment, state and ER diagrams</vt:lpwstr>
  </property>
  <property fmtid="{D5CDD505-2E9C-101B-9397-08002B2CF9AE}" pid="4" name="version">
    <vt:lpwstr>1.0</vt:lpwstr>
  </property>
</Properties>
</file>