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Maintenance and Developer Guide</w:t>
      </w:r>
    </w:p>
    <w:p>
      <w:pPr>
        <w:pStyle w:val="Subtitle"/>
      </w:pPr>
      <w:r>
        <w:t xml:space="preserve">Amaranth v2 — set up, conventions, extending the system and common fixes</w:t>
      </w:r>
    </w:p>
    <w:p>
      <w:pPr>
        <w:pStyle w:val="Date"/>
      </w:pPr>
      <w:r>
        <w:t xml:space="preserve">2026-10-19</w:t>
      </w:r>
    </w:p>
    <w:p>
      <w:r>
        <w:br w:type="page"/>
      </w:r>
    </w:p>
    <w:bookmarkStart w:id="19" w:name="document-control"/>
    <w:p>
      <w:pPr>
        <w:pStyle w:val="Heading1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Maintenance and Developer 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AMR-DOC-10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Amaranth development team [TO CONFIRM: names]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 draft for defense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Future student developers and maintainers</w:t>
            </w:r>
          </w:p>
        </w:tc>
      </w:tr>
    </w:tbl>
    <w:bookmarkEnd w:id="19"/>
    <w:bookmarkStart w:id="20" w:name="contents"/>
    <w:p>
      <w:pPr>
        <w:pStyle w:val="Heading1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r>
        <w:t xml:space="preserve">Quick start</w:t>
      </w:r>
    </w:p>
    <w:p>
      <w:pPr>
        <w:pStyle w:val="Compact"/>
        <w:numPr>
          <w:ilvl w:val="0"/>
          <w:numId w:val="1001"/>
        </w:numPr>
      </w:pPr>
      <w:r>
        <w:t xml:space="preserve">Scripts</w:t>
      </w:r>
    </w:p>
    <w:p>
      <w:pPr>
        <w:pStyle w:val="Compact"/>
        <w:numPr>
          <w:ilvl w:val="0"/>
          <w:numId w:val="1001"/>
        </w:numPr>
      </w:pPr>
      <w:r>
        <w:t xml:space="preserve">Folder map</w:t>
      </w:r>
    </w:p>
    <w:p>
      <w:pPr>
        <w:pStyle w:val="Compact"/>
        <w:numPr>
          <w:ilvl w:val="0"/>
          <w:numId w:val="1001"/>
        </w:numPr>
      </w:pPr>
      <w:r>
        <w:t xml:space="preserve">Coding conventions</w:t>
      </w:r>
    </w:p>
    <w:p>
      <w:pPr>
        <w:pStyle w:val="Compact"/>
        <w:numPr>
          <w:ilvl w:val="0"/>
          <w:numId w:val="1001"/>
        </w:numPr>
      </w:pPr>
      <w:r>
        <w:t xml:space="preserve">How data flows in a feature</w:t>
      </w:r>
    </w:p>
    <w:p>
      <w:pPr>
        <w:pStyle w:val="Compact"/>
        <w:numPr>
          <w:ilvl w:val="0"/>
          <w:numId w:val="1001"/>
        </w:numPr>
      </w:pPr>
      <w:r>
        <w:t xml:space="preserve">Writing a database change</w:t>
      </w:r>
    </w:p>
    <w:p>
      <w:pPr>
        <w:pStyle w:val="Compact"/>
        <w:numPr>
          <w:ilvl w:val="0"/>
          <w:numId w:val="1001"/>
        </w:numPr>
      </w:pPr>
      <w:r>
        <w:t xml:space="preserve">How-to recipes</w:t>
      </w:r>
    </w:p>
    <w:p>
      <w:pPr>
        <w:pStyle w:val="Compact"/>
        <w:numPr>
          <w:ilvl w:val="0"/>
          <w:numId w:val="1001"/>
        </w:numPr>
      </w:pPr>
      <w:r>
        <w:t xml:space="preserve">Documentation and diagrams</w:t>
      </w:r>
    </w:p>
    <w:p>
      <w:pPr>
        <w:pStyle w:val="Compact"/>
        <w:numPr>
          <w:ilvl w:val="0"/>
          <w:numId w:val="1001"/>
        </w:numPr>
      </w:pPr>
      <w:r>
        <w:t xml:space="preserve">Common errors and fixes</w:t>
      </w:r>
    </w:p>
    <w:p>
      <w:pPr>
        <w:pStyle w:val="Compact"/>
        <w:numPr>
          <w:ilvl w:val="0"/>
          <w:numId w:val="1001"/>
        </w:numPr>
      </w:pPr>
      <w:r>
        <w:t xml:space="preserve">Where to start reading</w:t>
      </w:r>
    </w:p>
    <w:p>
      <w:r>
        <w:br w:type="page"/>
      </w:r>
    </w:p>
    <w:bookmarkEnd w:id="20"/>
    <w:bookmarkStart w:id="21" w:name="quick-start"/>
    <w:p>
      <w:pPr>
        <w:pStyle w:val="Heading1"/>
      </w:pPr>
      <w:r>
        <w:t xml:space="preserve">1. Quick start</w:t>
      </w:r>
    </w:p>
    <w:p>
      <w:pPr>
        <w:pStyle w:val="FirstParagraph"/>
      </w:pPr>
      <w:r>
        <w:t xml:space="preserve">Requirements: Node.js ≥ 20.19, npm, Git; PostgreSQL 16+ binaries for the SQL tests.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.env.local   </w:t>
      </w:r>
      <w:r>
        <w:rPr>
          <w:rStyle w:val="CommentTok"/>
        </w:rPr>
        <w:t xml:space="preserve"># fill in Supabase URL and anon key; optional service key for forms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    </w:t>
      </w:r>
      <w:r>
        <w:rPr>
          <w:rStyle w:val="CommentTok"/>
        </w:rPr>
        <w:t xml:space="preserve"># http://localhost:3000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/dev</w:t>
      </w:r>
      <w:r>
        <w:t xml:space="preserve"> </w:t>
      </w:r>
      <w:r>
        <w:t xml:space="preserve">(development builds only) lists fixture screens with fake data, so most UI can be worked on without a database.</w:t>
      </w:r>
    </w:p>
    <w:p>
      <w:pPr>
        <w:pStyle w:val="Compact"/>
        <w:numPr>
          <w:ilvl w:val="0"/>
          <w:numId w:val="1002"/>
        </w:numPr>
      </w:pPr>
      <w:r>
        <w:t xml:space="preserve">Without</w:t>
      </w:r>
      <w:r>
        <w:t xml:space="preserve"> </w:t>
      </w:r>
      <w:r>
        <w:rPr>
          <w:rStyle w:val="VerbatimChar"/>
        </w:rPr>
        <w:t xml:space="preserve">VITE_TURNSTILE_SITE_KEY</w:t>
      </w:r>
      <w:r>
        <w:t xml:space="preserve">, the dev server uses Cloudflare’s test keys and serves</w:t>
      </w:r>
      <w:r>
        <w:t xml:space="preserve"> </w:t>
      </w:r>
      <w:r>
        <w:rPr>
          <w:rStyle w:val="VerbatimChar"/>
        </w:rPr>
        <w:t xml:space="preserve">/api/submit</w:t>
      </w:r>
      <w:r>
        <w:t xml:space="preserve"> </w:t>
      </w:r>
      <w:r>
        <w:t xml:space="preserve">itself (</w:t>
      </w:r>
      <w:r>
        <w:rPr>
          <w:rStyle w:val="VerbatimChar"/>
        </w:rPr>
        <w:t xml:space="preserve">devApi</w:t>
      </w:r>
      <w:r>
        <w:t xml:space="preserve"> </w:t>
      </w:r>
      <w:r>
        <w:t xml:space="preserve">plugin in</w:t>
      </w:r>
      <w:r>
        <w:t xml:space="preserve"> </w:t>
      </w:r>
      <w:r>
        <w:rPr>
          <w:rStyle w:val="VerbatimChar"/>
        </w:rPr>
        <w:t xml:space="preserve">vite.config.ts</w:t>
      </w:r>
      <w:r>
        <w:t xml:space="preserve">); forms then need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.</w:t>
      </w:r>
    </w:p>
    <w:p>
      <w:pPr>
        <w:pStyle w:val="FirstParagraph"/>
      </w:pPr>
      <w:r>
        <w:t xml:space="preserve">Branching: create</w:t>
      </w:r>
      <w:r>
        <w:t xml:space="preserve"> </w:t>
      </w:r>
      <w:r>
        <w:rPr>
          <w:rStyle w:val="VerbatimChar"/>
        </w:rPr>
        <w:t xml:space="preserve">feature/&lt;name&gt;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; one feature per branch; Conventional Commits (</w:t>
      </w:r>
      <w:r>
        <w:rPr>
          <w:rStyle w:val="VerbatimChar"/>
        </w:rPr>
        <w:t xml:space="preserve">feat(scope):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fix: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docs: …</w:t>
      </w:r>
      <w:r>
        <w:t xml:space="preserve">); merge with</w:t>
      </w:r>
      <w:r>
        <w:t xml:space="preserve"> </w:t>
      </w:r>
      <w:r>
        <w:rPr>
          <w:rStyle w:val="VerbatimChar"/>
        </w:rPr>
        <w:t xml:space="preserve">--no-ff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after the gates pass; never commit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directly; never commit</w:t>
      </w:r>
      <w:r>
        <w:t xml:space="preserve"> </w:t>
      </w:r>
      <w:r>
        <w:rPr>
          <w:rStyle w:val="VerbatimChar"/>
        </w:rPr>
        <w:t xml:space="preserve">.env*</w:t>
      </w:r>
      <w:r>
        <w:t xml:space="preserve"> </w:t>
      </w:r>
      <w:r>
        <w:t xml:space="preserve">files (except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).</w:t>
      </w:r>
    </w:p>
    <w:bookmarkEnd w:id="21"/>
    <w:bookmarkStart w:id="22" w:name="scripts"/>
    <w:p>
      <w:pPr>
        <w:pStyle w:val="Heading1"/>
      </w:pPr>
      <w:r>
        <w:t xml:space="preserve">2. Scripts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</w:t>
            </w:r>
          </w:p>
        </w:tc>
        <w:tc>
          <w:tcPr/>
          <w:p>
            <w:pPr>
              <w:pStyle w:val="Compact"/>
            </w:pPr>
            <w:r>
              <w:t xml:space="preserve">Vite dev server (port 3000)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</w:pPr>
            <w:r>
              <w:t xml:space="preserve">Type-check and production build to</w:t>
            </w:r>
            <w:r>
              <w:t xml:space="preserve"> </w:t>
            </w:r>
            <w:r>
              <w:rPr>
                <w:rStyle w:val="VerbatimChar"/>
              </w:rPr>
              <w:t xml:space="preserve">dist/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preview</w:t>
            </w:r>
          </w:p>
        </w:tc>
        <w:tc>
          <w:tcPr/>
          <w:p>
            <w:pPr>
              <w:pStyle w:val="Compact"/>
            </w:pPr>
            <w:r>
              <w:t xml:space="preserve">Serve the production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lint</w:t>
            </w:r>
          </w:p>
        </w:tc>
        <w:tc>
          <w:tcPr/>
          <w:p>
            <w:pPr>
              <w:pStyle w:val="Compact"/>
            </w:pPr>
            <w:r>
              <w:t xml:space="preserve">ESLint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typecheck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tsc -b</w:t>
            </w:r>
            <w:r>
              <w:t xml:space="preserve"> </w:t>
            </w:r>
            <w:r>
              <w:t xml:space="preserve">(strict)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test:watch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check</w:t>
            </w:r>
          </w:p>
        </w:tc>
        <w:tc>
          <w:tcPr/>
          <w:p>
            <w:pPr>
              <w:pStyle w:val="Compact"/>
            </w:pPr>
            <w:r>
              <w:t xml:space="preserve">lint + typecheck + test + build (</w:t>
            </w:r>
            <w:r>
              <w:rPr>
                <w:b/>
                <w:bCs/>
              </w:rPr>
              <w:t xml:space="preserve">the merge gate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db:test</w:t>
            </w:r>
          </w:p>
        </w:tc>
        <w:tc>
          <w:tcPr/>
          <w:p>
            <w:pPr>
              <w:pStyle w:val="Compact"/>
            </w:pPr>
            <w:r>
              <w:t xml:space="preserve">SQL tests in a throwaway PostgreSQL (</w:t>
            </w:r>
            <w:r>
              <w:rPr>
                <w:b/>
                <w:bCs/>
              </w:rPr>
              <w:t xml:space="preserve">gate for database changes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check:contrast</w:t>
            </w:r>
          </w:p>
        </w:tc>
        <w:tc>
          <w:tcPr/>
          <w:p>
            <w:pPr>
              <w:pStyle w:val="Compact"/>
            </w:pPr>
            <w:r>
              <w:t xml:space="preserve">WCAG contrast of design-token pairs</w:t>
            </w:r>
          </w:p>
        </w:tc>
      </w:tr>
    </w:tbl>
    <w:bookmarkEnd w:id="22"/>
    <w:bookmarkStart w:id="23" w:name="folder-map"/>
    <w:p>
      <w:pPr>
        <w:pStyle w:val="Heading1"/>
      </w:pPr>
      <w:r>
        <w:t xml:space="preserve">3. Folder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router.tsx</w:t>
            </w:r>
            <w:r>
              <w:t xml:space="preserve"> </w:t>
            </w:r>
            <w:r>
              <w:t xml:space="preserve">(all routes, lazy),</w:t>
            </w:r>
            <w:r>
              <w:t xml:space="preserve"> </w:t>
            </w:r>
            <w:r>
              <w:rPr>
                <w:rStyle w:val="VerbatimChar"/>
              </w:rPr>
              <w:t xml:space="preserve">RootLayout.tsx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RouteError.tsx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src/components/ui/</w:t>
            </w:r>
          </w:p>
        </w:tc>
        <w:tc>
          <w:tcPr/>
          <w:p>
            <w:pPr>
              <w:pStyle w:val="Compact"/>
            </w:pPr>
            <w:r>
              <w:t xml:space="preserve">Buttons, fields, modal, image (</w:t>
            </w:r>
            <w:r>
              <w:rPr>
                <w:rStyle w:val="VerbatimChar"/>
              </w:rPr>
              <w:t xml:space="preserve">Img</w:t>
            </w:r>
            <w:r>
              <w:t xml:space="preserve">), pagination, pills, Turnstile widget, loader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src/components/story/</w:t>
            </w:r>
          </w:p>
        </w:tc>
        <w:tc>
          <w:tcPr/>
          <w:p>
            <w:pPr>
              <w:pStyle w:val="Compact"/>
            </w:pPr>
            <w:r>
              <w:t xml:space="preserve">Story cards, rows, section header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src/features/auth/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AuthProvider</w:t>
            </w:r>
            <w:r>
              <w:t xml:space="preserve">, guards, login/reset pages,</w:t>
            </w:r>
            <w:r>
              <w:t xml:space="preserve"> </w:t>
            </w:r>
            <w:r>
              <w:rPr>
                <w:rStyle w:val="VerbatimChar"/>
              </w:rPr>
              <w:t xml:space="preserve">permissions.ts</w:t>
            </w:r>
            <w:r>
              <w:t xml:space="preserve"> </w:t>
            </w:r>
            <w:r>
              <w:t xml:space="preserve">(UI mirror of DB rules)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src/features/public/</w:t>
            </w:r>
          </w:p>
        </w:tc>
        <w:tc>
          <w:tcPr/>
          <w:p>
            <w:pPr>
              <w:pStyle w:val="Compact"/>
            </w:pPr>
            <w:r>
              <w:t xml:space="preserve">Public site:</w:t>
            </w:r>
            <w:r>
              <w:t xml:space="preserve"> </w:t>
            </w:r>
            <w:r>
              <w:rPr>
                <w:rStyle w:val="VerbatimChar"/>
              </w:rPr>
              <w:t xml:space="preserve">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section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landing/</w:t>
            </w:r>
            <w:r>
              <w:t xml:space="preserve"> </w:t>
            </w:r>
            <w:r>
              <w:t xml:space="preserve">per section),</w:t>
            </w:r>
            <w:r>
              <w:t xml:space="preserve"> </w:t>
            </w:r>
            <w:r>
              <w:rPr>
                <w:rStyle w:val="VerbatimChar"/>
              </w:rPr>
              <w:t xml:space="preserve">article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archives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about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intake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salingkusog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src/features/cms/</w:t>
            </w:r>
          </w:p>
        </w:tc>
        <w:tc>
          <w:tcPr/>
          <w:p>
            <w:pPr>
              <w:pStyle w:val="Compact"/>
            </w:pPr>
            <w:r>
              <w:t xml:space="preserve">Newsroom:</w:t>
            </w:r>
            <w:r>
              <w:t xml:space="preserve"> </w:t>
            </w:r>
            <w:r>
              <w:rPr>
                <w:rStyle w:val="VerbatimChar"/>
              </w:rPr>
              <w:t xml:space="preserve">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articles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editor/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intake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people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statistics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salingkusog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setup/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scores/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awards/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database.types.ts</w:t>
            </w:r>
            <w:r>
              <w:t xml:space="preserve"> </w:t>
            </w:r>
            <w:r>
              <w:t xml:space="preserve">(hand-written),</w:t>
            </w:r>
            <w:r>
              <w:t xml:space="preserve"> </w:t>
            </w:r>
            <w:r>
              <w:rPr>
                <w:rStyle w:val="VerbatimChar"/>
              </w:rPr>
              <w:t xml:space="preserve">sanitize.ts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media.ts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manila.ts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edgeCache.ts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sendForm.ts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turnstile.ts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skSources.ts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skContests.ts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skLabels.ts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src/styles/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tokens.css</w:t>
            </w:r>
            <w:r>
              <w:t xml:space="preserve"> </w:t>
            </w:r>
            <w:r>
              <w:t xml:space="preserve">(design tokens),</w:t>
            </w:r>
            <w:r>
              <w:t xml:space="preserve"> </w:t>
            </w:r>
            <w:r>
              <w:rPr>
                <w:rStyle w:val="VerbatimChar"/>
              </w:rPr>
              <w:t xml:space="preserve">app.css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src/dev/</w:t>
            </w:r>
          </w:p>
        </w:tc>
        <w:tc>
          <w:tcPr/>
          <w:p>
            <w:pPr>
              <w:pStyle w:val="Compact"/>
            </w:pPr>
            <w:r>
              <w:t xml:space="preserve">Fixture screens and the DOM checker (never in production)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</w:t>
            </w:r>
          </w:p>
        </w:tc>
        <w:tc>
          <w:tcPr/>
          <w:p>
            <w:pPr>
              <w:pStyle w:val="Compact"/>
            </w:pPr>
            <w:r>
              <w:t xml:space="preserve">Vercel functions;</w:t>
            </w:r>
            <w:r>
              <w:t xml:space="preserve"> </w:t>
            </w:r>
            <w:r>
              <w:rPr>
                <w:rStyle w:val="VerbatimChar"/>
              </w:rPr>
              <w:t xml:space="preserve">_lib/</w:t>
            </w:r>
            <w:r>
              <w:t xml:space="preserve"> </w:t>
            </w:r>
            <w:r>
              <w:t xml:space="preserve">shared server code (Node ESM — relative imports need</w:t>
            </w:r>
            <w:r>
              <w:t xml:space="preserve"> </w:t>
            </w:r>
            <w:r>
              <w:rPr>
                <w:rStyle w:val="VerbatimChar"/>
              </w:rPr>
              <w:t xml:space="preserve">.js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middleware.ts</w:t>
            </w:r>
          </w:p>
        </w:tc>
        <w:tc>
          <w:tcPr/>
          <w:p>
            <w:pPr>
              <w:pStyle w:val="Compact"/>
            </w:pPr>
            <w:r>
              <w:t xml:space="preserve">Crawler link previews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supabase/v2/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salingkusog.sql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stats.sql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seed.sql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seed_board.sql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supabase/tests/</w:t>
            </w:r>
          </w:p>
        </w:tc>
        <w:tc>
          <w:tcPr/>
          <w:p>
            <w:pPr>
              <w:pStyle w:val="Compact"/>
            </w:pPr>
            <w:r>
              <w:t xml:space="preserve">Stub, helpers, fixtures and</w:t>
            </w:r>
            <w:r>
              <w:t xml:space="preserve"> </w:t>
            </w:r>
            <w:r>
              <w:rPr>
                <w:rStyle w:val="VerbatimChar"/>
              </w:rPr>
              <w:t xml:space="preserve">*.test.sql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db-test.mjs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check-contrast.mjs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countdown-og.py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</w:pPr>
            <w:r>
              <w:t xml:space="preserve">This documentation;</w:t>
            </w:r>
            <w:r>
              <w:t xml:space="preserve"> </w:t>
            </w:r>
            <w:r>
              <w:rPr>
                <w:rStyle w:val="VerbatimChar"/>
              </w:rPr>
              <w:t xml:space="preserve">docs/v2/</w:t>
            </w:r>
            <w:r>
              <w:t xml:space="preserve"> </w:t>
            </w:r>
            <w:r>
              <w:t xml:space="preserve">holds the build plans and progress log</w:t>
            </w:r>
          </w:p>
        </w:tc>
      </w:tr>
    </w:tbl>
    <w:bookmarkEnd w:id="23"/>
    <w:bookmarkStart w:id="24" w:name="coding-conventions"/>
    <w:p>
      <w:pPr>
        <w:pStyle w:val="Heading1"/>
      </w:pPr>
      <w:r>
        <w:t xml:space="preserve">4. Coding conventions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TypeScript strict;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without a reason.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Design tokens only:</w:t>
      </w:r>
      <w:r>
        <w:t xml:space="preserve"> </w:t>
      </w:r>
      <w:r>
        <w:t xml:space="preserve">no hex colours in components (ESLint rule</w:t>
      </w:r>
      <w:r>
        <w:t xml:space="preserve"> </w:t>
      </w:r>
      <w:r>
        <w:rPr>
          <w:rStyle w:val="VerbatimChar"/>
        </w:rPr>
        <w:t xml:space="preserve">no-restricted-syntax</w:t>
      </w:r>
      <w:r>
        <w:t xml:space="preserve">); use token utilities (</w:t>
      </w:r>
      <w:r>
        <w:rPr>
          <w:rStyle w:val="VerbatimChar"/>
        </w:rPr>
        <w:t xml:space="preserve">bg-paper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text-ink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text-lime-dark-text</w:t>
      </w:r>
      <w:r>
        <w:t xml:space="preserve">) from</w:t>
      </w:r>
      <w:r>
        <w:t xml:space="preserve"> </w:t>
      </w:r>
      <w:r>
        <w:rPr>
          <w:rStyle w:val="VerbatimChar"/>
        </w:rPr>
        <w:t xml:space="preserve">src/styles/tokens.css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Server state through TanStack Query hooks</w:t>
      </w:r>
      <w:r>
        <w:t xml:space="preserve"> </w:t>
      </w:r>
      <w:r>
        <w:t xml:space="preserve">in the feature’s</w:t>
      </w:r>
      <w:r>
        <w:t xml:space="preserve"> </w:t>
      </w:r>
      <w:r>
        <w:rPr>
          <w:rStyle w:val="VerbatimChar"/>
        </w:rPr>
        <w:t xml:space="preserve">*Api.ts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*Data.ts</w:t>
      </w:r>
      <w:r>
        <w:t xml:space="preserve">; components do not call</w:t>
      </w:r>
      <w:r>
        <w:t xml:space="preserve"> </w:t>
      </w:r>
      <w:r>
        <w:rPr>
          <w:rStyle w:val="VerbatimChar"/>
        </w:rPr>
        <w:t xml:space="preserve">supabase</w:t>
      </w:r>
      <w:r>
        <w:t xml:space="preserve"> </w:t>
      </w:r>
      <w:r>
        <w:t xml:space="preserve">directly.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Permissions:</w:t>
      </w:r>
      <w:r>
        <w:t xml:space="preserve"> </w:t>
      </w:r>
      <w:r>
        <w:t xml:space="preserve">add the rule in SQL first (helper + policy or trigger), then mirror it in</w:t>
      </w:r>
      <w:r>
        <w:t xml:space="preserve"> </w:t>
      </w:r>
      <w:r>
        <w:rPr>
          <w:rStyle w:val="VerbatimChar"/>
        </w:rPr>
        <w:t xml:space="preserve">permissions.ts</w:t>
      </w:r>
      <w:r>
        <w:t xml:space="preserve"> </w:t>
      </w:r>
      <w:r>
        <w:t xml:space="preserve">for display. Never rely on the UI check.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Accessibility:</w:t>
      </w:r>
      <w:r>
        <w:t xml:space="preserve"> </w:t>
      </w:r>
      <w:r>
        <w:t xml:space="preserve">every control has a label; one</w:t>
      </w:r>
      <w:r>
        <w:t xml:space="preserve"> </w:t>
      </w:r>
      <w:r>
        <w:rPr>
          <w:rStyle w:val="VerbatimChar"/>
        </w:rPr>
        <w:t xml:space="preserve">h1</w:t>
      </w:r>
      <w:r>
        <w:t xml:space="preserve"> </w:t>
      </w:r>
      <w:r>
        <w:t xml:space="preserve">per page; headings in order; images need</w:t>
      </w:r>
      <w:r>
        <w:t xml:space="preserve"> </w:t>
      </w:r>
      <w:r>
        <w:rPr>
          <w:rStyle w:val="VerbatimChar"/>
        </w:rPr>
        <w:t xml:space="preserve">alt</w:t>
      </w:r>
      <w:r>
        <w:t xml:space="preserve">; respect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Copy:</w:t>
      </w:r>
      <w:r>
        <w:t xml:space="preserve"> </w:t>
      </w:r>
      <w:r>
        <w:t xml:space="preserve">plain, short English; error messages say what to do next.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Server code (</w:t>
      </w:r>
      <w:r>
        <w:rPr>
          <w:rStyle w:val="VerbatimChar"/>
          <w:b/>
          <w:bCs/>
        </w:rPr>
        <w:t xml:space="preserve">api/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middleware.ts</w:t>
      </w:r>
      <w:r>
        <w:rPr>
          <w:b/>
          <w:bCs/>
        </w:rPr>
        <w:t xml:space="preserve">):</w:t>
      </w:r>
      <w:r>
        <w:t xml:space="preserve"> </w:t>
      </w:r>
      <w:r>
        <w:t xml:space="preserve">relative imports end in</w:t>
      </w:r>
      <w:r>
        <w:t xml:space="preserve"> </w:t>
      </w:r>
      <w:r>
        <w:rPr>
          <w:rStyle w:val="VerbatimChar"/>
        </w:rPr>
        <w:t xml:space="preserve">.js</w:t>
      </w:r>
      <w:r>
        <w:t xml:space="preserve"> </w:t>
      </w:r>
      <w:r>
        <w:t xml:space="preserve">(a test enforces this); never return secrets; validate all input.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Philippine time: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src/lib/manila.ts</w:t>
      </w:r>
      <w:r>
        <w:t xml:space="preserve"> </w:t>
      </w:r>
      <w:r>
        <w:t xml:space="preserve">helpers for Salingkusog dates.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Tests:</w:t>
      </w:r>
      <w:r>
        <w:t xml:space="preserve"> </w:t>
      </w:r>
      <w:r>
        <w:t xml:space="preserve">add a unit or component test with each feature; SQL tests for every database rule.</w:t>
      </w:r>
    </w:p>
    <w:bookmarkEnd w:id="24"/>
    <w:bookmarkStart w:id="25" w:name="how-data-flows-in-a-feature"/>
    <w:p>
      <w:pPr>
        <w:pStyle w:val="Heading1"/>
      </w:pPr>
      <w:r>
        <w:t xml:space="preserve">5. How data flows in a feature</w:t>
      </w:r>
    </w:p>
    <w:p>
      <w:pPr>
        <w:pStyle w:val="FirstParagraph"/>
      </w:pPr>
      <w:r>
        <w:t xml:space="preserve">Example: the Salingkusog results editor.</w:t>
      </w:r>
    </w:p>
    <w:p>
      <w:pPr>
        <w:pStyle w:val="Compact"/>
        <w:numPr>
          <w:ilvl w:val="0"/>
          <w:numId w:val="1004"/>
        </w:numPr>
      </w:pPr>
      <w:r>
        <w:t xml:space="preserve">Route in the feature router (</w:t>
      </w:r>
      <w:r>
        <w:rPr>
          <w:rStyle w:val="VerbatimChar"/>
        </w:rPr>
        <w:t xml:space="preserve">cms/salingkusog/SalingkusogPage.tsx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results/:eventId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The page uses hooks from</w:t>
      </w:r>
      <w:r>
        <w:t xml:space="preserve"> </w:t>
      </w:r>
      <w:r>
        <w:rPr>
          <w:rStyle w:val="VerbatimChar"/>
        </w:rPr>
        <w:t xml:space="preserve">cms/salingkusog/skApi.ts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useSkPlacements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useSkMatches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useSetPlacements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Hooks call Supabase (</w:t>
      </w:r>
      <w:r>
        <w:rPr>
          <w:rStyle w:val="VerbatimChar"/>
        </w:rPr>
        <w:t xml:space="preserve">from('sk_placements')</w:t>
      </w:r>
      <w:r>
        <w:t xml:space="preserve">,</w:t>
      </w:r>
      <w:r>
        <w:t xml:space="preserve"> </w:t>
      </w:r>
      <w:r>
        <w:rPr>
          <w:rStyle w:val="VerbatimChar"/>
        </w:rPr>
        <w:t xml:space="preserve">rpc('sk_set_placements')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The database enforces</w:t>
      </w:r>
      <w:r>
        <w:t xml:space="preserve"> </w:t>
      </w:r>
      <w:r>
        <w:rPr>
          <w:rStyle w:val="VerbatimChar"/>
        </w:rPr>
        <w:t xml:space="preserve">app.can_edit_sk()</w:t>
      </w:r>
      <w:r>
        <w:t xml:space="preserve"> </w:t>
      </w:r>
      <w:r>
        <w:t xml:space="preserve">(RLS and inside the RPC) and the medal/place check constraint.</w:t>
      </w:r>
    </w:p>
    <w:p>
      <w:pPr>
        <w:pStyle w:val="Compact"/>
        <w:numPr>
          <w:ilvl w:val="0"/>
          <w:numId w:val="1004"/>
        </w:numPr>
      </w:pPr>
      <w:r>
        <w:t xml:space="preserve">On success the mutation invalidates the</w:t>
      </w:r>
      <w:r>
        <w:t xml:space="preserve"> </w:t>
      </w:r>
      <w:r>
        <w:rPr>
          <w:rStyle w:val="VerbatimChar"/>
        </w:rPr>
        <w:t xml:space="preserve">['sk', …]</w:t>
      </w:r>
      <w:r>
        <w:t xml:space="preserve"> </w:t>
      </w:r>
      <w:r>
        <w:t xml:space="preserve">query keys; Realtime notifies public pages.</w:t>
      </w:r>
    </w:p>
    <w:bookmarkEnd w:id="25"/>
    <w:bookmarkStart w:id="26" w:name="writing-a-database-change"/>
    <w:p>
      <w:pPr>
        <w:pStyle w:val="Heading1"/>
      </w:pPr>
      <w:r>
        <w:t xml:space="preserve">6. Writing a database change</w:t>
      </w:r>
    </w:p>
    <w:p>
      <w:pPr>
        <w:pStyle w:val="Compact"/>
        <w:numPr>
          <w:ilvl w:val="0"/>
          <w:numId w:val="1005"/>
        </w:numPr>
      </w:pPr>
      <w:r>
        <w:t xml:space="preserve">Edit the right file: newsroom →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; Salingkusog →</w:t>
      </w:r>
      <w:r>
        <w:t xml:space="preserve"> </w:t>
      </w:r>
      <w:r>
        <w:rPr>
          <w:rStyle w:val="VerbatimChar"/>
        </w:rPr>
        <w:t xml:space="preserve">salingkusog.sql</w:t>
      </w:r>
      <w:r>
        <w:t xml:space="preserve">; statistics →</w:t>
      </w:r>
      <w:r>
        <w:t xml:space="preserve"> </w:t>
      </w:r>
      <w:r>
        <w:rPr>
          <w:rStyle w:val="VerbatimChar"/>
        </w:rPr>
        <w:t xml:space="preserve">stats.sql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Keep it</w:t>
      </w:r>
      <w:r>
        <w:t xml:space="preserve"> </w:t>
      </w:r>
      <w:r>
        <w:rPr>
          <w:b/>
          <w:bCs/>
        </w:rPr>
        <w:t xml:space="preserve">re-runnable</w:t>
      </w:r>
      <w:r>
        <w:t xml:space="preserve">:</w:t>
      </w:r>
      <w:r>
        <w:t xml:space="preserve"> </w:t>
      </w:r>
      <w:r>
        <w:rPr>
          <w:rStyle w:val="VerbatimChar"/>
        </w:rPr>
        <w:t xml:space="preserve">if not exists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 or replace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 … if exists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create policy</w:t>
      </w:r>
      <w:r>
        <w:t xml:space="preserve">/</w:t>
      </w:r>
      <w:r>
        <w:rPr>
          <w:rStyle w:val="VerbatimChar"/>
        </w:rPr>
        <w:t xml:space="preserve">create trigger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add value if not exists</w:t>
      </w:r>
      <w:r>
        <w:t xml:space="preserve"> </w:t>
      </w:r>
      <w:r>
        <w:t xml:space="preserve">for enums (compare new enum values as text inside functions created in the same file).</w:t>
      </w:r>
    </w:p>
    <w:p>
      <w:pPr>
        <w:pStyle w:val="Compact"/>
        <w:numPr>
          <w:ilvl w:val="0"/>
          <w:numId w:val="1005"/>
        </w:numPr>
      </w:pPr>
      <w:r>
        <w:t xml:space="preserve">Private helpers go in schema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set search_path = ''</w:t>
      </w:r>
      <w:r>
        <w:t xml:space="preserve">; public RPCs need explicit</w:t>
      </w:r>
      <w:r>
        <w:t xml:space="preserve"> </w:t>
      </w:r>
      <w:r>
        <w:rPr>
          <w:rStyle w:val="VerbatimChar"/>
        </w:rPr>
        <w:t xml:space="preserve">revoke … from public, anon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grant … to authenticated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Enable RLS and add policies for any new table; add it to the touch/edition trigger loops if relevant.</w:t>
      </w:r>
    </w:p>
    <w:p>
      <w:pPr>
        <w:pStyle w:val="Compact"/>
        <w:numPr>
          <w:ilvl w:val="0"/>
          <w:numId w:val="1005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src/lib/database.types.ts</w:t>
      </w:r>
      <w:r>
        <w:t xml:space="preserve"> </w:t>
      </w:r>
      <w:r>
        <w:t xml:space="preserve">by hand.</w:t>
      </w:r>
    </w:p>
    <w:p>
      <w:pPr>
        <w:pStyle w:val="Compact"/>
        <w:numPr>
          <w:ilvl w:val="0"/>
          <w:numId w:val="1005"/>
        </w:numPr>
      </w:pPr>
      <w:r>
        <w:t xml:space="preserve">Add checks to the right</w:t>
      </w:r>
      <w:r>
        <w:t xml:space="preserve"> </w:t>
      </w:r>
      <w:r>
        <w:rPr>
          <w:rStyle w:val="VerbatimChar"/>
        </w:rPr>
        <w:t xml:space="preserve">supabase/tests/*.test.sql</w:t>
      </w:r>
      <w:r>
        <w:t xml:space="preserve"> </w:t>
      </w:r>
      <w:r>
        <w:t xml:space="preserve">file (use</w:t>
      </w:r>
      <w:r>
        <w:t xml:space="preserve"> </w:t>
      </w:r>
      <w:r>
        <w:rPr>
          <w:rStyle w:val="VerbatimChar"/>
        </w:rPr>
        <w:t xml:space="preserve">tests.login('&lt;fixture email&gt;')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npm run db:test</w:t>
      </w:r>
      <w:r>
        <w:t xml:space="preserve"> </w:t>
      </w:r>
      <w:r>
        <w:t xml:space="preserve">(applies each file twice) and</w:t>
      </w:r>
      <w:r>
        <w:t xml:space="preserve"> </w:t>
      </w:r>
      <w:r>
        <w:rPr>
          <w:rStyle w:val="VerbatimChar"/>
        </w:rPr>
        <w:t xml:space="preserve">npm run check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the release notes, say which file must be re-pasted and in which order relative to the code deploy.</w:t>
      </w:r>
    </w:p>
    <w:bookmarkEnd w:id="26"/>
    <w:bookmarkStart w:id="33" w:name="how-to-recipes"/>
    <w:p>
      <w:pPr>
        <w:pStyle w:val="Heading1"/>
      </w:pPr>
      <w:r>
        <w:t xml:space="preserve">7. How-to recipes</w:t>
      </w:r>
    </w:p>
    <w:bookmarkStart w:id="27" w:name="add-a-sport-or-event-no-code"/>
    <w:p>
      <w:pPr>
        <w:pStyle w:val="Heading2"/>
      </w:pPr>
      <w:r>
        <w:t xml:space="preserve">7.1 Add a sport or event (no code)</w:t>
      </w:r>
    </w:p>
    <w:p>
      <w:pPr>
        <w:pStyle w:val="FirstParagraph"/>
      </w:pPr>
      <w:r>
        <w:t xml:space="preserve">Sports, events, factions and venues are</w:t>
      </w:r>
      <w:r>
        <w:t xml:space="preserve"> </w:t>
      </w:r>
      <w:r>
        <w:rPr>
          <w:b/>
          <w:bCs/>
        </w:rPr>
        <w:t xml:space="preserve">data</w:t>
      </w:r>
      <w:r>
        <w:t xml:space="preserve">. In the newsroom: Salingkusog → Sports &amp; events → Add sport (choose a category) → Add event (division, format, team or individual, result unit</w:t>
      </w:r>
      <w:r>
        <w:t xml:space="preserve"> </w:t>
      </w:r>
      <w:r>
        <w:t xml:space="preserve">“s”</w:t>
      </w:r>
      <w:r>
        <w:t xml:space="preserve"> </w:t>
      </w:r>
      <w:r>
        <w:t xml:space="preserve">for times or</w:t>
      </w:r>
      <w:r>
        <w:t xml:space="preserve"> </w:t>
      </w:r>
      <w:r>
        <w:t xml:space="preserve">“m”</w:t>
      </w:r>
      <w:r>
        <w:t xml:space="preserve">/</w:t>
      </w:r>
      <w:r>
        <w:t xml:space="preserve">“pts”</w:t>
      </w:r>
      <w:r>
        <w:t xml:space="preserve"> </w:t>
      </w:r>
      <w:r>
        <w:t xml:space="preserve">for highest-wins, venue).</w:t>
      </w:r>
    </w:p>
    <w:bookmarkEnd w:id="27"/>
    <w:bookmarkStart w:id="28" w:name="add-a-new-sport-category-code"/>
    <w:p>
      <w:pPr>
        <w:pStyle w:val="Heading2"/>
      </w:pPr>
      <w:r>
        <w:t xml:space="preserve">7.2 Add a new sport category (code)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salingkusog.sql</w:t>
      </w:r>
      <w:r>
        <w:t xml:space="preserve">:</w:t>
      </w:r>
      <w:r>
        <w:t xml:space="preserve"> </w:t>
      </w:r>
      <w:r>
        <w:rPr>
          <w:rStyle w:val="VerbatimChar"/>
        </w:rPr>
        <w:t xml:space="preserve">alter type public.sk_category add value if not exists '&lt;value&gt;';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src/lib/database.types.ts</w:t>
      </w:r>
      <w:r>
        <w:t xml:space="preserve">: add to</w:t>
      </w:r>
      <w:r>
        <w:t xml:space="preserve"> </w:t>
      </w:r>
      <w:r>
        <w:rPr>
          <w:rStyle w:val="VerbatimChar"/>
        </w:rPr>
        <w:t xml:space="preserve">SkCategory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src/lib/skLabels.ts</w:t>
      </w:r>
      <w:r>
        <w:t xml:space="preserve">: add the label to</w:t>
      </w:r>
      <w:r>
        <w:t xml:space="preserve"> </w:t>
      </w:r>
      <w:r>
        <w:rPr>
          <w:rStyle w:val="VerbatimChar"/>
        </w:rPr>
        <w:t xml:space="preserve">categoryLabels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Run the gates; re-paste</w:t>
      </w:r>
      <w:r>
        <w:t xml:space="preserve"> </w:t>
      </w:r>
      <w:r>
        <w:rPr>
          <w:rStyle w:val="VerbatimChar"/>
        </w:rPr>
        <w:t xml:space="preserve">salingkusog.sql</w:t>
      </w:r>
      <w:r>
        <w:t xml:space="preserve">.</w:t>
      </w:r>
    </w:p>
    <w:bookmarkEnd w:id="28"/>
    <w:bookmarkStart w:id="29" w:name="add-a-role"/>
    <w:p>
      <w:pPr>
        <w:pStyle w:val="Heading2"/>
      </w:pPr>
      <w:r>
        <w:t xml:space="preserve">7.3 Add a role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schema.sql</w:t>
      </w:r>
      <w:r>
        <w:t xml:space="preserve">:</w:t>
      </w:r>
      <w:r>
        <w:t xml:space="preserve"> </w:t>
      </w:r>
      <w:r>
        <w:rPr>
          <w:rStyle w:val="VerbatimChar"/>
        </w:rPr>
        <w:t xml:space="preserve">alter type public.app_role add value if not exists '&lt;role&gt;' …;</w:t>
      </w:r>
    </w:p>
    <w:p>
      <w:pPr>
        <w:pStyle w:val="Compact"/>
        <w:numPr>
          <w:ilvl w:val="0"/>
          <w:numId w:val="1007"/>
        </w:numPr>
      </w:pPr>
      <w:r>
        <w:t xml:space="preserve">Decide its powers and update the helpers (</w:t>
      </w:r>
      <w:r>
        <w:rPr>
          <w:rStyle w:val="VerbatimChar"/>
        </w:rPr>
        <w:t xml:space="preserve">app.can_publish_articles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app.is_editor</w:t>
      </w:r>
      <w:r>
        <w:t xml:space="preserve">, …) — compare as text (</w:t>
      </w:r>
      <w:r>
        <w:rPr>
          <w:rStyle w:val="VerbatimChar"/>
        </w:rPr>
        <w:t xml:space="preserve">app.current_role()::text = '&lt;role&gt;'</w:t>
      </w:r>
      <w:r>
        <w:t xml:space="preserve">) in the same file.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src/lib/database.types.ts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AppRole</w:t>
      </w:r>
      <w:r>
        <w:t xml:space="preserve">),</w:t>
      </w:r>
      <w:r>
        <w:t xml:space="preserve"> </w:t>
      </w:r>
      <w:r>
        <w:rPr>
          <w:rStyle w:val="VerbatimChar"/>
        </w:rPr>
        <w:t xml:space="preserve">src/features/auth/permissions.ts</w:t>
      </w:r>
      <w:r>
        <w:t xml:space="preserve"> </w:t>
      </w:r>
      <w:r>
        <w:t xml:space="preserve">(</w:t>
      </w:r>
      <w:r>
        <w:rPr>
          <w:rStyle w:val="VerbatimChar"/>
        </w:rPr>
        <w:t xml:space="preserve">roleLabels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roleOrder</w:t>
      </w:r>
      <w:r>
        <w:t xml:space="preserve">, helper mirrors,</w:t>
      </w:r>
      <w:r>
        <w:t xml:space="preserve"> </w:t>
      </w:r>
      <w:r>
        <w:rPr>
          <w:rStyle w:val="VerbatimChar"/>
        </w:rPr>
        <w:t xml:space="preserve">assignableRoles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Add a fixture user in</w:t>
      </w:r>
      <w:r>
        <w:t xml:space="preserve"> </w:t>
      </w:r>
      <w:r>
        <w:rPr>
          <w:rStyle w:val="VerbatimChar"/>
        </w:rPr>
        <w:t xml:space="preserve">supabase/tests/02_fixtures.sql</w:t>
      </w:r>
      <w:r>
        <w:t xml:space="preserve"> </w:t>
      </w:r>
      <w:r>
        <w:t xml:space="preserve">and SQL tests for what the role may and may not do; unit tests in</w:t>
      </w:r>
      <w:r>
        <w:t xml:space="preserve"> </w:t>
      </w:r>
      <w:r>
        <w:rPr>
          <w:rStyle w:val="VerbatimChar"/>
        </w:rPr>
        <w:t xml:space="preserve">permissions.test.ts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Example to follow: the Business Manager role (</w:t>
      </w:r>
      <w:r>
        <w:rPr>
          <w:rStyle w:val="VerbatimChar"/>
        </w:rPr>
        <w:t xml:space="preserve">feature/publish-permissions</w:t>
      </w:r>
      <w:r>
        <w:t xml:space="preserve">).</w:t>
      </w:r>
    </w:p>
    <w:bookmarkEnd w:id="29"/>
    <w:bookmarkStart w:id="30" w:name="add-a-newsroom-screen"/>
    <w:p>
      <w:pPr>
        <w:pStyle w:val="Heading2"/>
      </w:pPr>
      <w:r>
        <w:t xml:space="preserve">7.4 Add a newsroom screen</w:t>
      </w:r>
    </w:p>
    <w:p>
      <w:pPr>
        <w:pStyle w:val="Compact"/>
        <w:numPr>
          <w:ilvl w:val="0"/>
          <w:numId w:val="1008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src/features/cms/&lt;area&gt;/&lt;Screen&gt;.tsx</w:t>
      </w:r>
      <w:r>
        <w:t xml:space="preserve"> </w:t>
      </w:r>
      <w:r>
        <w:t xml:space="preserve">and hooks in</w:t>
      </w:r>
      <w:r>
        <w:t xml:space="preserve"> </w:t>
      </w:r>
      <w:r>
        <w:rPr>
          <w:rStyle w:val="VerbatimChar"/>
        </w:rPr>
        <w:t xml:space="preserve">&lt;area&gt;Api.ts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a lazy route in</w:t>
      </w:r>
      <w:r>
        <w:t xml:space="preserve"> </w:t>
      </w:r>
      <w:r>
        <w:rPr>
          <w:rStyle w:val="VerbatimChar"/>
        </w:rPr>
        <w:t xml:space="preserve">src/app/router.tsx</w:t>
      </w:r>
      <w:r>
        <w:t xml:space="preserve"> </w:t>
      </w:r>
      <w:r>
        <w:t xml:space="preserve">(or the area’s nested router) and a menu entry in</w:t>
      </w:r>
      <w:r>
        <w:t xml:space="preserve"> </w:t>
      </w:r>
      <w:r>
        <w:rPr>
          <w:rStyle w:val="VerbatimChar"/>
        </w:rPr>
        <w:t xml:space="preserve">src/features/cms/nav.ts</w:t>
      </w:r>
      <w:r>
        <w:t xml:space="preserve">, limited by role.</w:t>
      </w:r>
    </w:p>
    <w:p>
      <w:pPr>
        <w:pStyle w:val="Compact"/>
        <w:numPr>
          <w:ilvl w:val="0"/>
          <w:numId w:val="1008"/>
        </w:numPr>
      </w:pPr>
      <w:r>
        <w:t xml:space="preserve">Wrap role-limited screens with</w:t>
      </w:r>
      <w:r>
        <w:t xml:space="preserve"> </w:t>
      </w:r>
      <w:r>
        <w:rPr>
          <w:rStyle w:val="VerbatimChar"/>
        </w:rPr>
        <w:t xml:space="preserve">RequireRole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a fixture screen in</w:t>
      </w:r>
      <w:r>
        <w:t xml:space="preserve"> </w:t>
      </w:r>
      <w:r>
        <w:rPr>
          <w:rStyle w:val="VerbatimChar"/>
        </w:rPr>
        <w:t xml:space="preserve">src/dev/</w:t>
      </w:r>
      <w:r>
        <w:t xml:space="preserve"> </w:t>
      </w:r>
      <w:r>
        <w:t xml:space="preserve">and a component test.</w:t>
      </w:r>
    </w:p>
    <w:bookmarkEnd w:id="30"/>
    <w:bookmarkStart w:id="31" w:name="add-a-public-form-field"/>
    <w:p>
      <w:pPr>
        <w:pStyle w:val="Heading2"/>
      </w:pPr>
      <w:r>
        <w:t xml:space="preserve">7.5 Add a public form field</w:t>
      </w:r>
    </w:p>
    <w:p>
      <w:pPr>
        <w:pStyle w:val="Compact"/>
        <w:numPr>
          <w:ilvl w:val="0"/>
          <w:numId w:val="1009"/>
        </w:numPr>
      </w:pPr>
      <w:r>
        <w:t xml:space="preserve">Add the parameter to the RPC in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(validation inside).</w:t>
      </w:r>
    </w:p>
    <w:p>
      <w:pPr>
        <w:pStyle w:val="Compact"/>
        <w:numPr>
          <w:ilvl w:val="0"/>
          <w:numId w:val="1009"/>
        </w:numPr>
      </w:pPr>
      <w:r>
        <w:t xml:space="preserve">Add the parameter name to</w:t>
      </w:r>
      <w:r>
        <w:t xml:space="preserve"> </w:t>
      </w:r>
      <w:r>
        <w:rPr>
          <w:rStyle w:val="VerbatimChar"/>
        </w:rPr>
        <w:t xml:space="preserve">FORMS[kind].params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api/_lib/forms.ts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Send it from the form via</w:t>
      </w:r>
      <w:r>
        <w:t xml:space="preserve"> </w:t>
      </w:r>
      <w:r>
        <w:rPr>
          <w:rStyle w:val="VerbatimChar"/>
        </w:rPr>
        <w:t xml:space="preserve">sendForm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Update tests (</w:t>
      </w:r>
      <w:r>
        <w:rPr>
          <w:rStyle w:val="VerbatimChar"/>
        </w:rPr>
        <w:t xml:space="preserve">forms.test.ts</w:t>
      </w:r>
      <w:r>
        <w:t xml:space="preserve">, SQL tests).</w:t>
      </w:r>
    </w:p>
    <w:bookmarkEnd w:id="31"/>
    <w:bookmarkStart w:id="32" w:name="add-a-new-salingkusog-format"/>
    <w:p>
      <w:pPr>
        <w:pStyle w:val="Heading2"/>
      </w:pPr>
      <w:r>
        <w:t xml:space="preserve">7.6 Add a new Salingkusog format</w:t>
      </w:r>
    </w:p>
    <w:p>
      <w:pPr>
        <w:pStyle w:val="FirstParagraph"/>
      </w:pPr>
      <w:r>
        <w:t xml:space="preserve">Follow ADR-012 and ADR-014 (AMR-DOC-03): add the enum value, generate games with sources in</w:t>
      </w:r>
      <w:r>
        <w:t xml:space="preserve"> </w:t>
      </w:r>
      <w:r>
        <w:rPr>
          <w:rStyle w:val="VerbatimChar"/>
        </w:rPr>
        <w:t xml:space="preserve">sk_build_schedule</w:t>
      </w:r>
      <w:r>
        <w:t xml:space="preserve"> </w:t>
      </w:r>
      <w:r>
        <w:t xml:space="preserve">(or a contest RPC), teach</w:t>
      </w:r>
      <w:r>
        <w:t xml:space="preserve"> </w:t>
      </w:r>
      <w:r>
        <w:rPr>
          <w:rStyle w:val="VerbatimChar"/>
        </w:rPr>
        <w:t xml:space="preserve">app.sk_resolve</w:t>
      </w:r>
      <w:r>
        <w:t xml:space="preserve">/</w:t>
      </w:r>
      <w:r>
        <w:rPr>
          <w:rStyle w:val="VerbatimChar"/>
        </w:rPr>
        <w:t xml:space="preserve">app.sk_source_side</w:t>
      </w:r>
      <w:r>
        <w:t xml:space="preserve"> </w:t>
      </w:r>
      <w:r>
        <w:t xml:space="preserve">how to fill sides, extend</w:t>
      </w:r>
      <w:r>
        <w:t xml:space="preserve"> </w:t>
      </w:r>
      <w:r>
        <w:rPr>
          <w:rStyle w:val="VerbatimChar"/>
        </w:rPr>
        <w:t xml:space="preserve">suggestedPodium</w:t>
      </w:r>
      <w:r>
        <w:t xml:space="preserve">, the sport page and tests in</w:t>
      </w:r>
      <w:r>
        <w:t xml:space="preserve"> </w:t>
      </w:r>
      <w:r>
        <w:rPr>
          <w:rStyle w:val="VerbatimChar"/>
        </w:rPr>
        <w:t xml:space="preserve">sk_brackets.test.sql</w:t>
      </w:r>
      <w:r>
        <w:t xml:space="preserve">.</w:t>
      </w:r>
    </w:p>
    <w:bookmarkEnd w:id="32"/>
    <w:bookmarkEnd w:id="33"/>
    <w:bookmarkStart w:id="34" w:name="documentation-and-diagrams"/>
    <w:p>
      <w:pPr>
        <w:pStyle w:val="Heading1"/>
      </w:pPr>
      <w:r>
        <w:t xml:space="preserve">8. Documentation and diagrams</w:t>
      </w:r>
    </w:p>
    <w:p>
      <w:pPr>
        <w:pStyle w:val="Compact"/>
        <w:numPr>
          <w:ilvl w:val="0"/>
          <w:numId w:val="1010"/>
        </w:numPr>
      </w:pPr>
      <w:r>
        <w:t xml:space="preserve">Markdown sources:</w:t>
      </w:r>
      <w:r>
        <w:t xml:space="preserve"> </w:t>
      </w:r>
      <w:r>
        <w:rPr>
          <w:rStyle w:val="VerbatimChar"/>
        </w:rPr>
        <w:t xml:space="preserve">docs/*.md</w:t>
      </w:r>
      <w:r>
        <w:t xml:space="preserve">; diagrams:</w:t>
      </w:r>
      <w:r>
        <w:t xml:space="preserve"> </w:t>
      </w:r>
      <w:r>
        <w:rPr>
          <w:rStyle w:val="VerbatimChar"/>
        </w:rPr>
        <w:t xml:space="preserve">docs/diagrams/*.mmd</w:t>
      </w:r>
      <w:r>
        <w:t xml:space="preserve"> </w:t>
      </w:r>
      <w:r>
        <w:t xml:space="preserve">(Mermaid) with rendered</w:t>
      </w:r>
      <w:r>
        <w:t xml:space="preserve"> </w:t>
      </w:r>
      <w:r>
        <w:rPr>
          <w:rStyle w:val="VerbatimChar"/>
        </w:rPr>
        <w:t xml:space="preserve">.png</w:t>
      </w:r>
      <w:r>
        <w:t xml:space="preserve">/</w:t>
      </w:r>
      <w:r>
        <w:rPr>
          <w:rStyle w:val="VerbatimChar"/>
        </w:rPr>
        <w:t xml:space="preserve">.svg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Exports (</w:t>
      </w:r>
      <w:r>
        <w:rPr>
          <w:rStyle w:val="VerbatimChar"/>
        </w:rPr>
        <w:t xml:space="preserve">docs/export/</w:t>
      </w:r>
      <w:r>
        <w:t xml:space="preserve">):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per document, one combined</w:t>
      </w:r>
      <w:r>
        <w:t xml:space="preserve"> </w:t>
      </w:r>
      <w:r>
        <w:rPr>
          <w:rStyle w:val="VerbatimChar"/>
        </w:rPr>
        <w:t xml:space="preserve">.pdf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.pptx</w:t>
      </w:r>
      <w:r>
        <w:t xml:space="preserve"> </w:t>
      </w:r>
      <w:r>
        <w:t xml:space="preserve">decks, produced with Pandoc (DOCX), Chrome print-to-PDF (PDF), python-pptx (decks) and Mermaid (diagrams). The build scripts are in</w:t>
      </w:r>
      <w:r>
        <w:t xml:space="preserve"> </w:t>
      </w:r>
      <w:r>
        <w:rPr>
          <w:rStyle w:val="VerbatimChar"/>
        </w:rPr>
        <w:t xml:space="preserve">docs/tools/</w:t>
      </w:r>
      <w:r>
        <w:t xml:space="preserve">; see</w:t>
      </w:r>
      <w:r>
        <w:t xml:space="preserve"> </w:t>
      </w:r>
      <w:r>
        <w:t xml:space="preserve">“Rebuilding”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docs/README.md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docs/v2/PROGRESS.md</w:t>
      </w:r>
      <w:r>
        <w:t xml:space="preserve"> </w:t>
      </w:r>
      <w:r>
        <w:t xml:space="preserve">with every merge.</w:t>
      </w:r>
    </w:p>
    <w:bookmarkEnd w:id="34"/>
    <w:bookmarkStart w:id="35" w:name="common-errors-and-fixes"/>
    <w:p>
      <w:pPr>
        <w:pStyle w:val="Heading1"/>
      </w:pPr>
      <w:r>
        <w:t xml:space="preserve">9. Common errors and fixes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500 /</w:t>
            </w:r>
            <w:r>
              <w:t xml:space="preserve"> </w:t>
            </w:r>
            <w:r>
              <w:rPr>
                <w:rStyle w:val="VerbatimChar"/>
              </w:rPr>
              <w:t xml:space="preserve">ERR_MODULE_NOT_FOUND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or middleware</w:t>
            </w:r>
          </w:p>
        </w:tc>
        <w:tc>
          <w:tcPr/>
          <w:p>
            <w:pPr>
              <w:pStyle w:val="Compact"/>
            </w:pPr>
            <w:r>
              <w:t xml:space="preserve">Relative import without</w:t>
            </w:r>
            <w:r>
              <w:t xml:space="preserve"> </w:t>
            </w:r>
            <w:r>
              <w:rPr>
                <w:rStyle w:val="VerbatimChar"/>
              </w:rPr>
              <w:t xml:space="preserve">.js</w:t>
            </w:r>
            <w:r>
              <w:t xml:space="preserve"> </w:t>
            </w:r>
            <w:r>
              <w:t xml:space="preserve">in server code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.js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esm-imports.test.ts</w:t>
            </w:r>
            <w:r>
              <w:t xml:space="preserve"> </w:t>
            </w:r>
            <w:r>
              <w:t xml:space="preserve">catches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“permission denied for function …”</w:t>
            </w:r>
          </w:p>
        </w:tc>
        <w:tc>
          <w:tcPr/>
          <w:p>
            <w:pPr>
              <w:pStyle w:val="Compact"/>
            </w:pPr>
            <w:r>
              <w:t xml:space="preserve">Missing grant after editing a function</w:t>
            </w:r>
          </w:p>
        </w:tc>
        <w:tc>
          <w:tcPr/>
          <w:p>
            <w:pPr>
              <w:pStyle w:val="Compact"/>
            </w:pPr>
            <w:r>
              <w:t xml:space="preserve">Re-run the whole SQL file (grants at the end)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“unsafe use of new value … of enum type”</w:t>
            </w:r>
          </w:p>
        </w:tc>
        <w:tc>
          <w:tcPr/>
          <w:p>
            <w:pPr>
              <w:pStyle w:val="Compact"/>
            </w:pPr>
            <w:r>
              <w:t xml:space="preserve">Using a new enum value in the same transaction</w:t>
            </w:r>
          </w:p>
        </w:tc>
        <w:tc>
          <w:tcPr/>
          <w:p>
            <w:pPr>
              <w:pStyle w:val="Compact"/>
            </w:pPr>
            <w:r>
              <w:t xml:space="preserve">Compare as text (</w:t>
            </w:r>
            <w:r>
              <w:rPr>
                <w:rStyle w:val="VerbatimChar"/>
              </w:rPr>
              <w:t xml:space="preserve">::text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db:test</w:t>
            </w:r>
            <w:r>
              <w:t xml:space="preserve"> </w:t>
            </w:r>
            <w:r>
              <w:t xml:space="preserve">fails to start on port 54329</w:t>
            </w:r>
          </w:p>
        </w:tc>
        <w:tc>
          <w:tcPr/>
          <w:p>
            <w:pPr>
              <w:pStyle w:val="Compact"/>
            </w:pPr>
            <w:r>
              <w:t xml:space="preserve">A previous cluster still running</w:t>
            </w:r>
          </w:p>
        </w:tc>
        <w:tc>
          <w:tcPr/>
          <w:p>
            <w:pPr>
              <w:pStyle w:val="Compact"/>
            </w:pPr>
            <w:r>
              <w:t xml:space="preserve">Stop the stray PostgreSQL process, rerun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page</w:t>
            </w:r>
            <w:r>
              <w:t xml:space="preserve"> </w:t>
            </w:r>
            <w:r>
              <w:t xml:space="preserve">“Something went wrong”</w:t>
            </w:r>
            <w:r>
              <w:t xml:space="preserve"> </w:t>
            </w:r>
            <w:r>
              <w:t xml:space="preserve">after moving files</w:t>
            </w:r>
          </w:p>
        </w:tc>
        <w:tc>
          <w:tcPr/>
          <w:p>
            <w:pPr>
              <w:pStyle w:val="Compact"/>
            </w:pPr>
            <w:r>
              <w:t xml:space="preserve">Vite’s module graph stale</w:t>
            </w:r>
          </w:p>
        </w:tc>
        <w:tc>
          <w:tcPr/>
          <w:p>
            <w:pPr>
              <w:pStyle w:val="Compact"/>
            </w:pPr>
            <w:r>
              <w:t xml:space="preserve">Restart the dev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showModal is not a function</w:t>
            </w:r>
            <w:r>
              <w:t xml:space="preserve"> </w:t>
            </w:r>
            <w:r>
              <w:t xml:space="preserve">in tests</w:t>
            </w:r>
          </w:p>
        </w:tc>
        <w:tc>
          <w:tcPr/>
          <w:p>
            <w:pPr>
              <w:pStyle w:val="Compact"/>
            </w:pPr>
            <w:r>
              <w:t xml:space="preserve">jsdom lacks</w:t>
            </w:r>
            <w:r>
              <w:t xml:space="preserve"> </w:t>
            </w:r>
            <w:r>
              <w:rPr>
                <w:rStyle w:val="VerbatimChar"/>
              </w:rPr>
              <w:t xml:space="preserve">&lt;dialog&gt;</w:t>
            </w:r>
            <w:r>
              <w:t xml:space="preserve"> </w:t>
            </w: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Stub</w:t>
            </w:r>
            <w:r>
              <w:t xml:space="preserve"> </w:t>
            </w:r>
            <w:r>
              <w:rPr>
                <w:rStyle w:val="VerbatimChar"/>
              </w:rPr>
              <w:t xml:space="preserve">HTMLDialogElement.prototype.showModal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beforeAll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 don’t match the database</w:t>
            </w:r>
          </w:p>
        </w:tc>
        <w:tc>
          <w:tcPr/>
          <w:p>
            <w:pPr>
              <w:pStyle w:val="Compact"/>
            </w:pPr>
            <w:r>
              <w:t xml:space="preserve">Hand-written types not updated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database.types.ts</w:t>
            </w:r>
            <w:r>
              <w:t xml:space="preserve"> </w:t>
            </w:r>
            <w:r>
              <w:t xml:space="preserve">with the schema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Lint: hex colour not allowed</w:t>
            </w:r>
          </w:p>
        </w:tc>
        <w:tc>
          <w:tcPr/>
          <w:p>
            <w:pPr>
              <w:pStyle w:val="Compact"/>
            </w:pPr>
            <w:r>
              <w:t xml:space="preserve">Colour literal in a component</w:t>
            </w:r>
          </w:p>
        </w:tc>
        <w:tc>
          <w:tcPr/>
          <w:p>
            <w:pPr>
              <w:pStyle w:val="Compact"/>
            </w:pPr>
            <w:r>
              <w:t xml:space="preserve">Use a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Forms answer 501 locally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SUPABASE_SERVICE_ROLE_KEY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.env.local</w:t>
            </w:r>
          </w:p>
        </w:tc>
        <w:tc>
          <w:tcPr/>
          <w:p>
            <w:pPr>
              <w:pStyle w:val="Compact"/>
            </w:pPr>
            <w:r>
              <w:t xml:space="preserve">Add it (never commit 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scores don’t update</w:t>
            </w:r>
          </w:p>
        </w:tc>
        <w:tc>
          <w:tcPr/>
          <w:p>
            <w:pPr>
              <w:pStyle w:val="Compact"/>
            </w:pPr>
            <w:r>
              <w:t xml:space="preserve">Table not in the Realtime publication</w:t>
            </w:r>
          </w:p>
        </w:tc>
        <w:tc>
          <w:tcPr/>
          <w:p>
            <w:pPr>
              <w:pStyle w:val="Compact"/>
            </w:pPr>
            <w:r>
              <w:t xml:space="preserve">Re-run</w:t>
            </w:r>
            <w:r>
              <w:t xml:space="preserve"> </w:t>
            </w:r>
            <w:r>
              <w:rPr>
                <w:rStyle w:val="VerbatimChar"/>
              </w:rPr>
              <w:t xml:space="preserve">salingkusog.sql</w:t>
            </w:r>
          </w:p>
        </w:tc>
      </w:tr>
    </w:tbl>
    <w:bookmarkEnd w:id="35"/>
    <w:bookmarkStart w:id="36" w:name="where-to-start-reading"/>
    <w:p>
      <w:pPr>
        <w:pStyle w:val="Heading1"/>
      </w:pPr>
      <w:r>
        <w:t xml:space="preserve">10. Where to start reading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docs/00-audit-report.md</w:t>
      </w:r>
      <w:r>
        <w:t xml:space="preserve"> </w:t>
      </w:r>
      <w:r>
        <w:t xml:space="preserve">— the whole system on a few pages.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src/app/router.tsx</w:t>
      </w:r>
      <w:r>
        <w:t xml:space="preserve"> </w:t>
      </w:r>
      <w:r>
        <w:t xml:space="preserve">— every screen.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supabase/v2/schema.sql</w:t>
      </w:r>
      <w:r>
        <w:t xml:space="preserve"> </w:t>
      </w:r>
      <w:r>
        <w:t xml:space="preserve">sections</w:t>
      </w:r>
      <w:r>
        <w:t xml:space="preserve"> </w:t>
      </w:r>
      <w:r>
        <w:t xml:space="preserve">“Helpers”</w:t>
      </w:r>
      <w:r>
        <w:t xml:space="preserve"> </w:t>
      </w:r>
      <w:r>
        <w:t xml:space="preserve">and</w:t>
      </w:r>
      <w:r>
        <w:t xml:space="preserve"> </w:t>
      </w:r>
      <w:r>
        <w:t xml:space="preserve">“Article workflow”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src/features/cms/articles/editor/ArticleEditorPage.tsx</w:t>
      </w:r>
      <w:r>
        <w:t xml:space="preserve"> </w:t>
      </w:r>
      <w:r>
        <w:t xml:space="preserve">— a full feature end to end.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supabase/v2/salingkusog.sql</w:t>
      </w:r>
      <w:r>
        <w:t xml:space="preserve"> </w:t>
      </w:r>
      <w:r>
        <w:t xml:space="preserve">—</w:t>
      </w:r>
      <w:r>
        <w:t xml:space="preserve"> </w:t>
      </w:r>
      <w:r>
        <w:t xml:space="preserve">“Auto brackets and round robins”</w:t>
      </w:r>
      <w:r>
        <w:t xml:space="preserve"> </w:t>
      </w:r>
      <w:r>
        <w:t xml:space="preserve">and</w:t>
      </w:r>
      <w:r>
        <w:t xml:space="preserve"> </w:t>
      </w:r>
      <w:r>
        <w:t xml:space="preserve">“Contests”</w:t>
      </w:r>
      <w:r>
        <w:t xml:space="preserve">.</w:t>
      </w:r>
    </w:p>
    <w:bookmarkEnd w:id="36"/>
    <w:sectPr>
      <w:headerReference r:id="rId9" w:type="default"/>
      <w:footerReference r:id="rId10" w:type="default"/>
      <w:footnotePr>
        <w:numRestart w:val="eachSect"/>
      </w:footnotePr>
      <w:pgSz w:h="16838" w:w="11906"/>
      <w:pgMar w:bottom="1134" w:left="1247" w:right="1247" w:top="12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058"/>
        <w:sz w:val="16"/>
      </w:rPr>
      <w:t xml:space="preserve">Page </w:t>
    </w:r>
    <w:r>
      <w:rPr>
        <w:color w:val="556058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56058"/>
        <w:sz w:val="16"/>
      </w:rPr>
      <w:t>Amaranth v2 — Visayas State University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Arial" w:cs="Arial" w:eastAsia="Arial" w:hAnsi="Arial"/>
      <w:color w:val="111A14"/>
      <w:sz w:val="21"/>
    </w:rPr>
  </w:style>
  <w:style w:styleId="BodyText" w:type="paragraph">
    <w:name w:val="Body Text"/>
    <w:basedOn w:val="Normal"/>
    <w:link w:val="BodyTextChar"/>
    <w:qFormat/>
    <w:pPr>
      <w:spacing w:after="120" w:before="180" w:line="276" w:lineRule="auto"/>
    </w:pPr>
    <w:rPr>
      <w:rFonts w:ascii="Arial" w:cs="Arial" w:eastAsia="Arial" w:hAnsi="Arial"/>
      <w:color w:val="111A14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Arial" w:cs="Arial" w:eastAsia="Arial" w:hAnsi="Arial"/>
      <w:color w:val="111A14"/>
      <w:sz w:val="21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Arial" w:cs="Arial" w:eastAsia="Arial" w:hAnsi="Arial"/>
      <w:color w:val="111A14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before="3200" w:line="240" w:lineRule="auto"/>
      <w:contextualSpacing/>
      <w:jc w:val="center"/>
    </w:pPr>
    <w:rPr>
      <w:rFonts w:ascii="Arial" w:cs="Arial" w:eastAsia="Arial" w:hAnsi="Arial"/>
      <w:b/>
      <w:color w:val="14361F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eastAsia="Arial" w:hAnsi="Arial"/>
      <w:color w:val="3F6A00"/>
      <w:spacing w:val="15"/>
      <w:sz w:val="3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Arial" w:cs="Arial" w:eastAsia="Arial" w:hAnsi="Arial"/>
      <w:color w:val="556058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Arial" w:cs="Arial" w:eastAsia="Arial" w:hAnsi="Arial"/>
      <w:color w:val="556058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 w:val="0"/>
      <w:spacing w:after="120" w:before="320"/>
      <w:outlineLvl w:val="0"/>
    </w:pPr>
    <w:rPr>
      <w:rFonts w:ascii="Arial" w:cs="Arial" w:eastAsia="Arial" w:hAnsi="Arial"/>
      <w:b/>
      <w:color w:val="14361F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outlineLvl w:val="1"/>
    </w:pPr>
    <w:rPr>
      <w:rFonts w:ascii="Arial" w:cs="Arial" w:eastAsia="Arial" w:hAnsi="Arial"/>
      <w:b/>
      <w:color w:val="14361F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/>
      <w:outlineLvl w:val="2"/>
    </w:pPr>
    <w:rPr>
      <w:rFonts w:ascii="Arial" w:cs="Arial" w:eastAsia="Arial" w:hAnsi="Arial"/>
      <w:b/>
      <w:color w:val="3F6A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40"/>
      <w:outlineLvl w:val="3"/>
    </w:pPr>
    <w:rPr>
      <w:rFonts w:ascii="Arial" w:cs="Arial" w:eastAsia="Arial" w:hAnsi="Arial"/>
      <w:b/>
      <w:i/>
      <w:iCs/>
      <w:color w:val="14361F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556058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color w:val="111A14"/>
      <w:sz w:val="19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3CB" w:space="0" w:sz="4" w:val="single"/>
        <w:left w:color="C9D3CB" w:space="0" w:sz="4" w:val="single"/>
        <w:bottom w:color="C9D3CB" w:space="0" w:sz="4" w:val="single"/>
        <w:right w:color="C9D3CB" w:space="0" w:sz="4" w:val="single"/>
        <w:insideH w:color="C9D3CB" w:space="0" w:sz="4" w:val="single"/>
        <w:insideV w:color="C9D3CB" w:space="0" w:sz="4" w:val="single"/>
      </w:tblBorders>
      <w:tblCellMar>
        <w:left w:type="dxa" w:w="80"/>
        <w:right w:type="dxa" w:w="80"/>
        <w:top w:type="dxa" w:w="30"/>
        <w:bottom w:type="dxa" w:w="30"/>
      </w:tblCellMar>
    </w:tblPr>
    <w:tblStylePr w:type="firstRow">
      <w:tcPr>
        <w:tcBorders>
          <w:bottom w:val="single"/>
        </w:tcBorders>
        <w:vAlign w:val="bottom"/>
      </w:tcPr>
    </w:tblStylePr>
    <w:tblStylePr w:type="firstRow">
      <w:rPr>
        <w:b/>
        <w:color w:val="14361F"/>
      </w:rPr>
      <w:tcPr>
        <w:shd w:color="auto" w:fill="E8F1E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  <w:color w:val="556058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  <w:i/>
      <w:color w:val="556058"/>
      <w:sz w:val="18"/>
    </w:rPr>
  </w:style>
  <w:style w:customStyle="1" w:styleId="ImageCaption" w:type="paragraph">
    <w:name w:val="Image Caption"/>
    <w:basedOn w:val="Caption"/>
    <w:rPr>
      <w:rFonts w:ascii="Arial" w:cs="Arial" w:eastAsia="Arial" w:hAnsi="Arial"/>
      <w:i/>
      <w:color w:val="556058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111A14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Maintenance and Developer Guide</dc:title>
  <dc:creator/>
  <cp:keywords/>
  <dcterms:created xsi:type="dcterms:W3CDTF">2026-10-19T00:24:31Z</dcterms:created>
  <dcterms:modified xsi:type="dcterms:W3CDTF">2026-10-19T00:24:31Z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2026-10-19</vt:lpwstr>
  </property>
  <property fmtid="{D5CDD505-2E9C-101B-9397-08002B2CF9AE}" pid="3" name="subtitle">
    <vt:lpwstr>Amaranth v2 — set up, conventions, extending the system and common fixes</vt:lpwstr>
  </property>
  <property fmtid="{D5CDD505-2E9C-101B-9397-08002B2CF9AE}" pid="4" name="version">
    <vt:lpwstr>1.0</vt:lpwstr>
  </property>
</Properties>
</file>