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1.png" ContentType="image/png"/>
  <Override PartName="/word/media/rId26.png" ContentType="image/png"/>
  <Override PartName="/word/media/rId34.png" ContentType="image/png"/>
  <Override PartName="/word/media/rId41.png" ContentType="image/png"/>
  <Override PartName="/word/media/rId2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 Manual — Executive Editor, Managing Editor and Super Admin</w:t>
      </w:r>
    </w:p>
    <w:p>
      <w:pPr>
        <w:pStyle w:val="Subtitle"/>
      </w:pPr>
      <w:r>
        <w:t xml:space="preserve">Amaranth v2 newsroom: staff, publishing, settings, statistics and Salingkusog oversight</w:t>
      </w:r>
    </w:p>
    <w:p>
      <w:pPr>
        <w:pStyle w:val="Date"/>
      </w:pPr>
      <w:r>
        <w:t xml:space="preserve">2026-10-19</w:t>
      </w:r>
    </w:p>
    <w:p>
      <w:r>
        <w:br w:type="page"/>
      </w:r>
    </w:p>
    <w:bookmarkStart w:id="19"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User Manual — Executive Editor, Managing Editor and Super Admin</w:t>
            </w:r>
          </w:p>
        </w:tc>
      </w:tr>
      <w:tr>
        <w:tc>
          <w:tcPr/>
          <w:p>
            <w:pPr>
              <w:pStyle w:val="Compact"/>
            </w:pPr>
            <w:r>
              <w:t xml:space="preserve">Document ID</w:t>
            </w:r>
          </w:p>
        </w:tc>
        <w:tc>
          <w:tcPr/>
          <w:p>
            <w:pPr>
              <w:pStyle w:val="Compact"/>
            </w:pPr>
            <w:r>
              <w:t xml:space="preserve">AMR-DOC-11a</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2026-10-19</w:t>
            </w:r>
          </w:p>
        </w:tc>
      </w:tr>
      <w:tr>
        <w:tc>
          <w:tcPr/>
          <w:p>
            <w:pPr>
              <w:pStyle w:val="Compact"/>
            </w:pPr>
            <w:r>
              <w:t xml:space="preserve">Author</w:t>
            </w:r>
          </w:p>
        </w:tc>
        <w:tc>
          <w:tcPr/>
          <w:p>
            <w:pPr>
              <w:pStyle w:val="Compact"/>
            </w:pPr>
            <w:r>
              <w:t xml:space="preserve">Amaranth development team [TO CONFIRM: names]</w:t>
            </w:r>
          </w:p>
        </w:tc>
      </w:tr>
      <w:tr>
        <w:tc>
          <w:tcPr/>
          <w:p>
            <w:pPr>
              <w:pStyle w:val="Compact"/>
            </w:pPr>
            <w:r>
              <w:t xml:space="preserve">Status</w:t>
            </w:r>
          </w:p>
        </w:tc>
        <w:tc>
          <w:tcPr/>
          <w:p>
            <w:pPr>
              <w:pStyle w:val="Compact"/>
            </w:pPr>
            <w:r>
              <w:t xml:space="preserve">Final draft</w:t>
            </w:r>
          </w:p>
        </w:tc>
      </w:tr>
      <w:tr>
        <w:tc>
          <w:tcPr/>
          <w:p>
            <w:pPr>
              <w:pStyle w:val="Compact"/>
            </w:pPr>
            <w:r>
              <w:t xml:space="preserve">Screens</w:t>
            </w:r>
          </w:p>
        </w:tc>
        <w:tc>
          <w:tcPr/>
          <w:p>
            <w:pPr>
              <w:pStyle w:val="Compact"/>
            </w:pPr>
            <w:r>
              <w:t xml:space="preserve">Captured from the development fixture screens with fictional data</w:t>
            </w:r>
          </w:p>
        </w:tc>
      </w:tr>
    </w:tbl>
    <w:bookmarkEnd w:id="19"/>
    <w:bookmarkStart w:id="20" w:name="contents"/>
    <w:p>
      <w:pPr>
        <w:pStyle w:val="Heading1"/>
      </w:pPr>
      <w:r>
        <w:t xml:space="preserve">Contents</w:t>
      </w:r>
    </w:p>
    <w:p>
      <w:pPr>
        <w:pStyle w:val="Compact"/>
        <w:numPr>
          <w:ilvl w:val="0"/>
          <w:numId w:val="1001"/>
        </w:numPr>
      </w:pPr>
      <w:r>
        <w:t xml:space="preserve">Who this manual is for</w:t>
      </w:r>
    </w:p>
    <w:p>
      <w:pPr>
        <w:pStyle w:val="Compact"/>
        <w:numPr>
          <w:ilvl w:val="0"/>
          <w:numId w:val="1001"/>
        </w:numPr>
      </w:pPr>
      <w:r>
        <w:t xml:space="preserve">Signing in</w:t>
      </w:r>
    </w:p>
    <w:p>
      <w:pPr>
        <w:pStyle w:val="Compact"/>
        <w:numPr>
          <w:ilvl w:val="0"/>
          <w:numId w:val="1001"/>
        </w:numPr>
      </w:pPr>
      <w:r>
        <w:t xml:space="preserve">The newsroom at a glance</w:t>
      </w:r>
    </w:p>
    <w:p>
      <w:pPr>
        <w:pStyle w:val="Compact"/>
        <w:numPr>
          <w:ilvl w:val="0"/>
          <w:numId w:val="1001"/>
        </w:numPr>
      </w:pPr>
      <w:r>
        <w:t xml:space="preserve">Managing staff</w:t>
      </w:r>
    </w:p>
    <w:p>
      <w:pPr>
        <w:pStyle w:val="Compact"/>
        <w:numPr>
          <w:ilvl w:val="0"/>
          <w:numId w:val="1001"/>
        </w:numPr>
      </w:pPr>
      <w:r>
        <w:t xml:space="preserve">Publishing: review, publish, schedule, archive</w:t>
      </w:r>
    </w:p>
    <w:p>
      <w:pPr>
        <w:pStyle w:val="Compact"/>
        <w:numPr>
          <w:ilvl w:val="0"/>
          <w:numId w:val="1001"/>
        </w:numPr>
      </w:pPr>
      <w:r>
        <w:t xml:space="preserve">Giving publishing access to staff</w:t>
      </w:r>
    </w:p>
    <w:p>
      <w:pPr>
        <w:pStyle w:val="Compact"/>
        <w:numPr>
          <w:ilvl w:val="0"/>
          <w:numId w:val="1001"/>
        </w:numPr>
      </w:pPr>
      <w:r>
        <w:t xml:space="preserve">The front page and the ticker</w:t>
      </w:r>
    </w:p>
    <w:p>
      <w:pPr>
        <w:pStyle w:val="Compact"/>
        <w:numPr>
          <w:ilvl w:val="0"/>
          <w:numId w:val="1001"/>
        </w:numPr>
      </w:pPr>
      <w:r>
        <w:t xml:space="preserve">Settings</w:t>
      </w:r>
    </w:p>
    <w:p>
      <w:pPr>
        <w:pStyle w:val="Compact"/>
        <w:numPr>
          <w:ilvl w:val="0"/>
          <w:numId w:val="1001"/>
        </w:numPr>
      </w:pPr>
      <w:r>
        <w:t xml:space="preserve">Moderation: comments, inbox, submissions, events</w:t>
      </w:r>
    </w:p>
    <w:p>
      <w:pPr>
        <w:pStyle w:val="Compact"/>
        <w:numPr>
          <w:ilvl w:val="0"/>
          <w:numId w:val="1001"/>
        </w:numPr>
      </w:pPr>
      <w:r>
        <w:t xml:space="preserve">Statistics</w:t>
      </w:r>
    </w:p>
    <w:p>
      <w:pPr>
        <w:pStyle w:val="Compact"/>
        <w:numPr>
          <w:ilvl w:val="0"/>
          <w:numId w:val="1001"/>
        </w:numPr>
      </w:pPr>
      <w:r>
        <w:t xml:space="preserve">Salingkusog oversight</w:t>
      </w:r>
    </w:p>
    <w:p>
      <w:pPr>
        <w:pStyle w:val="Compact"/>
        <w:numPr>
          <w:ilvl w:val="0"/>
          <w:numId w:val="1001"/>
        </w:numPr>
      </w:pPr>
      <w:r>
        <w:t xml:space="preserve">Good practice</w:t>
      </w:r>
    </w:p>
    <w:p>
      <w:r>
        <w:br w:type="page"/>
      </w:r>
    </w:p>
    <w:bookmarkEnd w:id="20"/>
    <w:bookmarkStart w:id="21" w:name="who-this-manual-is-for"/>
    <w:p>
      <w:pPr>
        <w:pStyle w:val="Heading1"/>
      </w:pPr>
      <w:r>
        <w:t xml:space="preserve">1. Who this manual is for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You are</w:t>
            </w:r>
          </w:p>
        </w:tc>
        <w:tc>
          <w:tcPr/>
          <w:p>
            <w:pPr>
              <w:pStyle w:val="Compact"/>
            </w:pPr>
            <w:r>
              <w:t xml:space="preserve">Role in the system</w:t>
            </w:r>
          </w:p>
        </w:tc>
        <w:tc>
          <w:tcPr/>
          <w:p>
            <w:pPr>
              <w:pStyle w:val="Compact"/>
            </w:pPr>
            <w:r>
              <w:t xml:space="preserve">What only you can do</w:t>
            </w:r>
          </w:p>
        </w:tc>
      </w:tr>
      <w:tr>
        <w:tc>
          <w:tcPr/>
          <w:p>
            <w:pPr>
              <w:pStyle w:val="Compact"/>
            </w:pPr>
            <w:r>
              <w:t xml:space="preserve">Executive Editor (Editor-in-Chief)</w:t>
            </w:r>
          </w:p>
        </w:tc>
        <w:tc>
          <w:tcPr/>
          <w:p>
            <w:pPr>
              <w:pStyle w:val="Compact"/>
            </w:pPr>
            <w:r>
              <w:rPr>
                <w:rStyle w:val="VerbatimChar"/>
              </w:rPr>
              <w:t xml:space="preserve">editor_in_chief</w:t>
            </w:r>
          </w:p>
        </w:tc>
        <w:tc>
          <w:tcPr/>
          <w:p>
            <w:pPr>
              <w:pStyle w:val="Compact"/>
            </w:pPr>
            <w:r>
              <w:t xml:space="preserve">Everything below except granting the Super admin role</w:t>
            </w:r>
          </w:p>
        </w:tc>
      </w:tr>
      <w:tr>
        <w:tc>
          <w:tcPr/>
          <w:p>
            <w:pPr>
              <w:pStyle w:val="Compact"/>
            </w:pPr>
            <w:r>
              <w:t xml:space="preserve">Super admin</w:t>
            </w:r>
          </w:p>
        </w:tc>
        <w:tc>
          <w:tcPr/>
          <w:p>
            <w:pPr>
              <w:pStyle w:val="Compact"/>
            </w:pPr>
            <w:r>
              <w:rPr>
                <w:rStyle w:val="VerbatimChar"/>
              </w:rPr>
              <w:t xml:space="preserve">super_admin</w:t>
            </w:r>
          </w:p>
        </w:tc>
        <w:tc>
          <w:tcPr/>
          <w:p>
            <w:pPr>
              <w:pStyle w:val="Compact"/>
            </w:pPr>
            <w:r>
              <w:t xml:space="preserve">Everything, including granting or removing Super admin</w:t>
            </w:r>
          </w:p>
        </w:tc>
      </w:tr>
      <w:tr>
        <w:tc>
          <w:tcPr/>
          <w:p>
            <w:pPr>
              <w:pStyle w:val="Compact"/>
            </w:pPr>
            <w:r>
              <w:t xml:space="preserve">Managing Editor</w:t>
            </w:r>
          </w:p>
        </w:tc>
        <w:tc>
          <w:tcPr/>
          <w:p>
            <w:pPr>
              <w:pStyle w:val="Compact"/>
            </w:pPr>
            <w:r>
              <w:rPr>
                <w:rStyle w:val="VerbatimChar"/>
              </w:rPr>
              <w:t xml:space="preserve">managing_editor</w:t>
            </w:r>
          </w:p>
        </w:tc>
        <w:tc>
          <w:tcPr/>
          <w:p>
            <w:pPr>
              <w:pStyle w:val="Compact"/>
            </w:pPr>
            <w:r>
              <w:t xml:space="preserve">Publish, front page, ticker, editorial board, print issues, statistics, publishing access, Salingkusog team — but not roles, invites or general settings</w:t>
            </w:r>
          </w:p>
        </w:tc>
      </w:tr>
    </w:tbl>
    <w:p>
      <w:pPr>
        <w:pStyle w:val="BodyText"/>
      </w:pPr>
      <w:r>
        <w:t xml:space="preserve">Writing and editing articles is covered in AMR-DOC-11b; Salingkusog data entry in AMR-DOC-11c.</w:t>
      </w:r>
    </w:p>
    <w:bookmarkEnd w:id="21"/>
    <w:bookmarkStart w:id="25" w:name="signing-in"/>
    <w:p>
      <w:pPr>
        <w:pStyle w:val="Heading1"/>
      </w:pPr>
      <w:r>
        <w:t xml:space="preserve">2. Signing in</w:t>
      </w:r>
    </w:p>
    <w:p>
      <w:pPr>
        <w:pStyle w:val="Compact"/>
        <w:numPr>
          <w:ilvl w:val="0"/>
          <w:numId w:val="1002"/>
        </w:numPr>
      </w:pPr>
      <w:r>
        <w:t xml:space="preserve">Go to</w:t>
      </w:r>
      <w:r>
        <w:t xml:space="preserve"> </w:t>
      </w:r>
      <w:r>
        <w:rPr>
          <w:rStyle w:val="VerbatimChar"/>
        </w:rPr>
        <w:t xml:space="preserve">/admin/login</w:t>
      </w:r>
      <w:r>
        <w:t xml:space="preserve"> </w:t>
      </w:r>
      <w:r>
        <w:t xml:space="preserve">(or</w:t>
      </w:r>
      <w:r>
        <w:t xml:space="preserve"> </w:t>
      </w:r>
      <w:r>
        <w:t xml:space="preserve">“Staff login”</w:t>
      </w:r>
      <w:r>
        <w:t xml:space="preserve"> </w:t>
      </w:r>
      <w:r>
        <w:t xml:space="preserve">in the site footer).</w:t>
      </w:r>
    </w:p>
    <w:p>
      <w:pPr>
        <w:pStyle w:val="Compact"/>
        <w:numPr>
          <w:ilvl w:val="0"/>
          <w:numId w:val="1002"/>
        </w:numPr>
      </w:pPr>
      <w:r>
        <w:t xml:space="preserve">Enter your email and password, then</w:t>
      </w:r>
      <w:r>
        <w:t xml:space="preserve"> </w:t>
      </w:r>
      <w:r>
        <w:rPr>
          <w:b/>
          <w:bCs/>
        </w:rPr>
        <w:t xml:space="preserve">Sign in</w:t>
      </w:r>
      <w:r>
        <w:t xml:space="preserve">.</w:t>
      </w:r>
    </w:p>
    <w:p>
      <w:pPr>
        <w:pStyle w:val="Compact"/>
        <w:numPr>
          <w:ilvl w:val="0"/>
          <w:numId w:val="1002"/>
        </w:numPr>
      </w:pPr>
      <w:r>
        <w:t xml:space="preserve">Forgot your password? Choose</w:t>
      </w:r>
      <w:r>
        <w:t xml:space="preserve"> </w:t>
      </w:r>
      <w:r>
        <w:rPr>
          <w:b/>
          <w:bCs/>
        </w:rPr>
        <w:t xml:space="preserve">Forgot password</w:t>
      </w:r>
      <w:r>
        <w:t xml:space="preserve">, enter your email, and follow the link in the email to set a new one.</w:t>
      </w:r>
    </w:p>
    <w:p>
      <w:pPr>
        <w:pStyle w:val="CaptionedFigure"/>
      </w:pPr>
      <w:r>
        <w:drawing>
          <wp:inline>
            <wp:extent cx="5969000" cy="3730625"/>
            <wp:effectExtent b="0" l="0" r="0" t="0"/>
            <wp:docPr descr="The staff sign-in screen." title="" id="23" name="Picture"/>
            <a:graphic>
              <a:graphicData uri="http://schemas.openxmlformats.org/drawingml/2006/picture">
                <pic:pic>
                  <pic:nvPicPr>
                    <pic:cNvPr descr="screenshots/adm-login.png" id="24" name="Picture"/>
                    <pic:cNvPicPr>
                      <a:picLocks noChangeArrowheads="1" noChangeAspect="1"/>
                    </pic:cNvPicPr>
                  </pic:nvPicPr>
                  <pic:blipFill>
                    <a:blip r:embed="rId22"/>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The staff sign-in screen.</w:t>
      </w:r>
    </w:p>
    <w:p>
      <w:pPr>
        <w:pStyle w:val="BodyText"/>
      </w:pPr>
      <w:r>
        <w:t xml:space="preserve">If you see</w:t>
      </w:r>
      <w:r>
        <w:t xml:space="preserve"> </w:t>
      </w:r>
      <w:r>
        <w:rPr>
          <w:b/>
          <w:bCs/>
        </w:rPr>
        <w:t xml:space="preserve">Access pending</w:t>
      </w:r>
      <w:r>
        <w:t xml:space="preserve">, your account has not been invited or has been deactivated; ask the Super admin.</w:t>
      </w:r>
    </w:p>
    <w:bookmarkEnd w:id="25"/>
    <w:bookmarkStart w:id="29" w:name="the-newsroom-at-a-glance"/>
    <w:p>
      <w:pPr>
        <w:pStyle w:val="Heading1"/>
      </w:pPr>
      <w:r>
        <w:t xml:space="preserve">3. The newsroom at a glance</w:t>
      </w:r>
    </w:p>
    <w:p>
      <w:pPr>
        <w:pStyle w:val="FirstParagraph"/>
      </w:pPr>
      <w:r>
        <w:t xml:space="preserve">The left menu shows</w:t>
      </w:r>
      <w:r>
        <w:t xml:space="preserve"> </w:t>
      </w:r>
      <w:r>
        <w:rPr>
          <w:b/>
          <w:bCs/>
        </w:rPr>
        <w:t xml:space="preserve">Overview, Articles, Submissions, Events, Media Library, Salingkusog, Statistics, Staff, Settings</w:t>
      </w:r>
      <w:r>
        <w:t xml:space="preserve">. Items you cannot use are hidden. The</w:t>
      </w:r>
      <w:r>
        <w:t xml:space="preserve"> </w:t>
      </w:r>
      <w:r>
        <w:rPr>
          <w:b/>
          <w:bCs/>
        </w:rPr>
        <w:t xml:space="preserve">Overview</w:t>
      </w:r>
      <w:r>
        <w:t xml:space="preserve"> </w:t>
      </w:r>
      <w:r>
        <w:t xml:space="preserve">dashboard shows published, scheduled, drafts and in-review counts, and article views this month compared with last month.</w:t>
      </w:r>
    </w:p>
    <w:p>
      <w:pPr>
        <w:pStyle w:val="CaptionedFigure"/>
      </w:pPr>
      <w:r>
        <w:drawing>
          <wp:inline>
            <wp:extent cx="5969000" cy="3730625"/>
            <wp:effectExtent b="0" l="0" r="0" t="0"/>
            <wp:docPr descr="The newsroom dashboard for an editor." title="" id="27" name="Picture"/>
            <a:graphic>
              <a:graphicData uri="http://schemas.openxmlformats.org/drawingml/2006/picture">
                <pic:pic>
                  <pic:nvPicPr>
                    <pic:cNvPr descr="screenshots/adm-dashboard.png" id="28" name="Picture"/>
                    <pic:cNvPicPr>
                      <a:picLocks noChangeArrowheads="1" noChangeAspect="1"/>
                    </pic:cNvPicPr>
                  </pic:nvPicPr>
                  <pic:blipFill>
                    <a:blip r:embed="rId26"/>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The newsroom dashboard for an editor.</w:t>
      </w:r>
    </w:p>
    <w:bookmarkEnd w:id="29"/>
    <w:bookmarkStart w:id="30" w:name="Xae9f622b281e2f9395383fbf375f1337ddd18ec"/>
    <w:p>
      <w:pPr>
        <w:pStyle w:val="Heading1"/>
      </w:pPr>
      <w:r>
        <w:t xml:space="preserve">4. Managing staff (Executive Editor, Super admin)</w:t>
      </w:r>
    </w:p>
    <w:p>
      <w:pPr>
        <w:pStyle w:val="FirstParagraph"/>
      </w:pPr>
      <w:r>
        <w:rPr>
          <w:b/>
          <w:bCs/>
        </w:rPr>
        <w:t xml:space="preserve">Invite someone</w:t>
      </w:r>
    </w:p>
    <w:p>
      <w:pPr>
        <w:pStyle w:val="Compact"/>
        <w:numPr>
          <w:ilvl w:val="0"/>
          <w:numId w:val="1003"/>
        </w:numPr>
      </w:pPr>
      <w:r>
        <w:rPr>
          <w:b/>
          <w:bCs/>
        </w:rPr>
        <w:t xml:space="preserve">Staff → Invites</w:t>
      </w:r>
      <w:r>
        <w:t xml:space="preserve">.</w:t>
      </w:r>
    </w:p>
    <w:p>
      <w:pPr>
        <w:pStyle w:val="Compact"/>
        <w:numPr>
          <w:ilvl w:val="0"/>
          <w:numId w:val="1003"/>
        </w:numPr>
      </w:pPr>
      <w:r>
        <w:t xml:space="preserve">Enter the</w:t>
      </w:r>
      <w:r>
        <w:t xml:space="preserve"> </w:t>
      </w:r>
      <w:r>
        <w:rPr>
          <w:b/>
          <w:bCs/>
        </w:rPr>
        <w:t xml:space="preserve">Email</w:t>
      </w:r>
      <w:r>
        <w:t xml:space="preserve">, choose the</w:t>
      </w:r>
      <w:r>
        <w:t xml:space="preserve"> </w:t>
      </w:r>
      <w:r>
        <w:rPr>
          <w:b/>
          <w:bCs/>
        </w:rPr>
        <w:t xml:space="preserve">Role</w:t>
      </w:r>
      <w:r>
        <w:t xml:space="preserve">, and for a Section editor tick the</w:t>
      </w:r>
      <w:r>
        <w:t xml:space="preserve"> </w:t>
      </w:r>
      <w:r>
        <w:rPr>
          <w:b/>
          <w:bCs/>
        </w:rPr>
        <w:t xml:space="preserve">Sections</w:t>
      </w:r>
      <w:r>
        <w:t xml:space="preserve"> </w:t>
      </w:r>
      <w:r>
        <w:t xml:space="preserve">they will edit.</w:t>
      </w:r>
    </w:p>
    <w:p>
      <w:pPr>
        <w:pStyle w:val="Compact"/>
        <w:numPr>
          <w:ilvl w:val="0"/>
          <w:numId w:val="1003"/>
        </w:numPr>
      </w:pPr>
      <w:r>
        <w:t xml:space="preserve">Save. Then, in Supabase, send the invitation email (Authentication → Invite user) [TO CONFIRM who does this step]; when they accept, their account is active with that role.</w:t>
      </w:r>
    </w:p>
    <w:p>
      <w:pPr>
        <w:pStyle w:val="FirstParagraph"/>
      </w:pPr>
      <w:r>
        <w:rPr>
          <w:b/>
          <w:bCs/>
        </w:rPr>
        <w:t xml:space="preserve">Change a role or deactivate</w:t>
      </w:r>
    </w:p>
    <w:p>
      <w:pPr>
        <w:pStyle w:val="Compact"/>
        <w:numPr>
          <w:ilvl w:val="0"/>
          <w:numId w:val="1004"/>
        </w:numPr>
      </w:pPr>
      <w:r>
        <w:rPr>
          <w:b/>
          <w:bCs/>
        </w:rPr>
        <w:t xml:space="preserve">Staff → Accounts → Edit</w:t>
      </w:r>
      <w:r>
        <w:t xml:space="preserve"> </w:t>
      </w:r>
      <w:r>
        <w:t xml:space="preserve">next to the person.</w:t>
      </w:r>
    </w:p>
    <w:p>
      <w:pPr>
        <w:pStyle w:val="Compact"/>
        <w:numPr>
          <w:ilvl w:val="0"/>
          <w:numId w:val="1004"/>
        </w:numPr>
      </w:pPr>
      <w:r>
        <w:t xml:space="preserve">Change the</w:t>
      </w:r>
      <w:r>
        <w:t xml:space="preserve"> </w:t>
      </w:r>
      <w:r>
        <w:rPr>
          <w:b/>
          <w:bCs/>
        </w:rPr>
        <w:t xml:space="preserve">Role</w:t>
      </w:r>
      <w:r>
        <w:t xml:space="preserve">, the sections, or untick</w:t>
      </w:r>
      <w:r>
        <w:t xml:space="preserve"> </w:t>
      </w:r>
      <w:r>
        <w:rPr>
          <w:b/>
          <w:bCs/>
        </w:rPr>
        <w:t xml:space="preserve">Active — can sign in to the newsroom</w:t>
      </w:r>
      <w:r>
        <w:t xml:space="preserve">.</w:t>
      </w:r>
    </w:p>
    <w:p>
      <w:pPr>
        <w:pStyle w:val="Compact"/>
        <w:numPr>
          <w:ilvl w:val="0"/>
          <w:numId w:val="1004"/>
        </w:numPr>
      </w:pPr>
      <w:r>
        <w:rPr>
          <w:b/>
          <w:bCs/>
        </w:rPr>
        <w:t xml:space="preserve">Save</w:t>
      </w:r>
      <w:r>
        <w:t xml:space="preserve">. The change is recorded in the audit log.</w:t>
      </w:r>
    </w:p>
    <w:p>
      <w:pPr>
        <w:pStyle w:val="FirstParagraph"/>
      </w:pPr>
      <w:r>
        <w:t xml:space="preserve">Rules the system enforces: only a Super admin can make or remove another Super admin; you cannot deactivate yourself; at least one active Super admin must remain.</w:t>
      </w:r>
    </w:p>
    <w:p>
      <w:pPr>
        <w:pStyle w:val="BodyText"/>
      </w:pPr>
      <w:r>
        <w:rPr>
          <w:b/>
          <w:bCs/>
        </w:rPr>
        <w:t xml:space="preserve">Contributors and editorial board</w:t>
      </w:r>
    </w:p>
    <w:p>
      <w:pPr>
        <w:pStyle w:val="Compact"/>
        <w:numPr>
          <w:ilvl w:val="0"/>
          <w:numId w:val="1005"/>
        </w:numPr>
      </w:pPr>
      <w:r>
        <w:rPr>
          <w:b/>
          <w:bCs/>
        </w:rPr>
        <w:t xml:space="preserve">Staff → Contributors</w:t>
      </w:r>
      <w:r>
        <w:t xml:space="preserve">: public bylines (staff, student, guest, faculty, alumni). Editors can add and edit them.</w:t>
      </w:r>
    </w:p>
    <w:p>
      <w:pPr>
        <w:pStyle w:val="Compact"/>
        <w:numPr>
          <w:ilvl w:val="0"/>
          <w:numId w:val="1005"/>
        </w:numPr>
      </w:pPr>
      <w:r>
        <w:rPr>
          <w:b/>
          <w:bCs/>
        </w:rPr>
        <w:t xml:space="preserve">Staff → Editorial board</w:t>
      </w:r>
      <w:r>
        <w:t xml:space="preserve"> </w:t>
      </w:r>
      <w:r>
        <w:t xml:space="preserve">(Executive Editor, Managing Editor, Super admin): terms and members shown on the public Editorial Board page.</w:t>
      </w:r>
    </w:p>
    <w:bookmarkEnd w:id="30"/>
    <w:bookmarkStart w:id="37" w:name="X37a7f1cdfb3116fcb95943d8651f2f872d6a045"/>
    <w:p>
      <w:pPr>
        <w:pStyle w:val="Heading1"/>
      </w:pPr>
      <w:r>
        <w:t xml:space="preserve">5. Publishing: review, publish, schedule, archive</w:t>
      </w:r>
    </w:p>
    <w:p>
      <w:pPr>
        <w:pStyle w:val="FirstParagraph"/>
      </w:pPr>
      <w:r>
        <w:t xml:space="preserve">Open</w:t>
      </w:r>
      <w:r>
        <w:t xml:space="preserve"> </w:t>
      </w:r>
      <w:r>
        <w:rPr>
          <w:b/>
          <w:bCs/>
        </w:rPr>
        <w:t xml:space="preserve">Articles</w:t>
      </w:r>
      <w:r>
        <w:t xml:space="preserve">. Use the tabs</w:t>
      </w:r>
      <w:r>
        <w:t xml:space="preserve"> </w:t>
      </w:r>
      <w:r>
        <w:rPr>
          <w:b/>
          <w:bCs/>
        </w:rPr>
        <w:t xml:space="preserve">All, Mine, Drafts, Needs review, Scheduled, Published</w:t>
      </w:r>
      <w:r>
        <w:t xml:space="preserve">, the section and status filters, or search by title.</w:t>
      </w:r>
    </w:p>
    <w:p>
      <w:pPr>
        <w:pStyle w:val="CaptionedFigure"/>
      </w:pPr>
      <w:r>
        <w:drawing>
          <wp:inline>
            <wp:extent cx="5969000" cy="3730625"/>
            <wp:effectExtent b="0" l="0" r="0" t="0"/>
            <wp:docPr descr="The articles list with filters." title="" id="32" name="Picture"/>
            <a:graphic>
              <a:graphicData uri="http://schemas.openxmlformats.org/drawingml/2006/picture">
                <pic:pic>
                  <pic:nvPicPr>
                    <pic:cNvPr descr="screenshots/adm-articles.png" id="33" name="Picture"/>
                    <pic:cNvPicPr>
                      <a:picLocks noChangeArrowheads="1" noChangeAspect="1"/>
                    </pic:cNvPicPr>
                  </pic:nvPicPr>
                  <pic:blipFill>
                    <a:blip r:embed="rId31"/>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The articles list with filters.</w:t>
      </w:r>
    </w:p>
    <w:p>
      <w:pPr>
        <w:pStyle w:val="BodyText"/>
      </w:pPr>
      <w:r>
        <w:t xml:space="preserve">Open an article. The</w:t>
      </w:r>
      <w:r>
        <w:t xml:space="preserve"> </w:t>
      </w:r>
      <w:r>
        <w:rPr>
          <w:b/>
          <w:bCs/>
        </w:rPr>
        <w:t xml:space="preserve">Status</w:t>
      </w:r>
      <w:r>
        <w:t xml:space="preserve"> </w:t>
      </w:r>
      <w:r>
        <w:t xml:space="preserve">panel on the right shows only the actions you are allowed to take: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Button</w:t>
            </w:r>
          </w:p>
        </w:tc>
        <w:tc>
          <w:tcPr/>
          <w:p>
            <w:pPr>
              <w:pStyle w:val="Compact"/>
            </w:pPr>
            <w:r>
              <w:t xml:space="preserve">Effect</w:t>
            </w:r>
          </w:p>
        </w:tc>
      </w:tr>
      <w:tr>
        <w:tc>
          <w:tcPr/>
          <w:p>
            <w:pPr>
              <w:pStyle w:val="Compact"/>
            </w:pPr>
            <w:r>
              <w:rPr>
                <w:b/>
                <w:bCs/>
              </w:rPr>
              <w:t xml:space="preserve">Start review</w:t>
            </w:r>
          </w:p>
        </w:tc>
        <w:tc>
          <w:tcPr/>
          <w:p>
            <w:pPr>
              <w:pStyle w:val="Compact"/>
            </w:pPr>
            <w:r>
              <w:t xml:space="preserve">Submitted → In review (tells the writer you are on it)</w:t>
            </w:r>
          </w:p>
        </w:tc>
      </w:tr>
      <w:tr>
        <w:tc>
          <w:tcPr/>
          <w:p>
            <w:pPr>
              <w:pStyle w:val="Compact"/>
            </w:pPr>
            <w:r>
              <w:rPr>
                <w:b/>
                <w:bCs/>
              </w:rPr>
              <w:t xml:space="preserve">Return to draft</w:t>
            </w:r>
          </w:p>
        </w:tc>
        <w:tc>
          <w:tcPr/>
          <w:p>
            <w:pPr>
              <w:pStyle w:val="Compact"/>
            </w:pPr>
            <w:r>
              <w:t xml:space="preserve">Back to the writer, with your note</w:t>
            </w:r>
          </w:p>
        </w:tc>
      </w:tr>
      <w:tr>
        <w:tc>
          <w:tcPr/>
          <w:p>
            <w:pPr>
              <w:pStyle w:val="Compact"/>
            </w:pPr>
            <w:r>
              <w:rPr>
                <w:b/>
                <w:bCs/>
              </w:rPr>
              <w:t xml:space="preserve">Reject</w:t>
            </w:r>
          </w:p>
        </w:tc>
        <w:tc>
          <w:tcPr/>
          <w:p>
            <w:pPr>
              <w:pStyle w:val="Compact"/>
            </w:pPr>
            <w:r>
              <w:t xml:space="preserve">Rejected (a note is required)</w:t>
            </w:r>
          </w:p>
        </w:tc>
      </w:tr>
      <w:tr>
        <w:tc>
          <w:tcPr/>
          <w:p>
            <w:pPr>
              <w:pStyle w:val="Compact"/>
            </w:pPr>
            <w:r>
              <w:rPr>
                <w:b/>
                <w:bCs/>
              </w:rPr>
              <w:t xml:space="preserve">Publish</w:t>
            </w:r>
          </w:p>
        </w:tc>
        <w:tc>
          <w:tcPr/>
          <w:p>
            <w:pPr>
              <w:pStyle w:val="Compact"/>
            </w:pPr>
            <w:r>
              <w:t xml:space="preserve">Live now</w:t>
            </w:r>
          </w:p>
        </w:tc>
      </w:tr>
      <w:tr>
        <w:tc>
          <w:tcPr/>
          <w:p>
            <w:pPr>
              <w:pStyle w:val="Compact"/>
            </w:pPr>
            <w:r>
              <w:rPr>
                <w:b/>
                <w:bCs/>
              </w:rPr>
              <w:t xml:space="preserve">Schedule</w:t>
            </w:r>
          </w:p>
        </w:tc>
        <w:tc>
          <w:tcPr/>
          <w:p>
            <w:pPr>
              <w:pStyle w:val="Compact"/>
            </w:pPr>
            <w:r>
              <w:t xml:space="preserve">Pick a future date and time; it goes live by itself</w:t>
            </w:r>
          </w:p>
        </w:tc>
      </w:tr>
      <w:tr>
        <w:tc>
          <w:tcPr/>
          <w:p>
            <w:pPr>
              <w:pStyle w:val="Compact"/>
            </w:pPr>
            <w:r>
              <w:rPr>
                <w:b/>
                <w:bCs/>
              </w:rPr>
              <w:t xml:space="preserve">Archive</w:t>
            </w:r>
          </w:p>
        </w:tc>
        <w:tc>
          <w:tcPr/>
          <w:p>
            <w:pPr>
              <w:pStyle w:val="Compact"/>
            </w:pPr>
            <w:r>
              <w:t xml:space="preserve">Removes a published article from the site (it can be restored)</w:t>
            </w:r>
          </w:p>
        </w:tc>
      </w:tr>
    </w:tbl>
    <w:p>
      <w:pPr>
        <w:pStyle w:val="CaptionedFigure"/>
      </w:pPr>
      <w:r>
        <w:drawing>
          <wp:inline>
            <wp:extent cx="5969000" cy="3730625"/>
            <wp:effectExtent b="0" l="0" r="0" t="0"/>
            <wp:docPr descr="The article editor with the workflow panel." title="" id="35" name="Picture"/>
            <a:graphic>
              <a:graphicData uri="http://schemas.openxmlformats.org/drawingml/2006/picture">
                <pic:pic>
                  <pic:nvPicPr>
                    <pic:cNvPr descr="screenshots/adm-editor.png" id="36" name="Picture"/>
                    <pic:cNvPicPr>
                      <a:picLocks noChangeArrowheads="1" noChangeAspect="1"/>
                    </pic:cNvPicPr>
                  </pic:nvPicPr>
                  <pic:blipFill>
                    <a:blip r:embed="rId34"/>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The article editor with the workflow panel.</w:t>
      </w:r>
    </w:p>
    <w:p>
      <w:pPr>
        <w:pStyle w:val="BodyText"/>
      </w:pPr>
      <w:r>
        <w:t xml:space="preserve">Use</w:t>
      </w:r>
      <w:r>
        <w:t xml:space="preserve"> </w:t>
      </w:r>
      <w:r>
        <w:rPr>
          <w:b/>
          <w:bCs/>
        </w:rPr>
        <w:t xml:space="preserve">Note to the newsroom → Add note</w:t>
      </w:r>
      <w:r>
        <w:t xml:space="preserve"> </w:t>
      </w:r>
      <w:r>
        <w:t xml:space="preserve">to leave feedback without changing the status.</w:t>
      </w:r>
      <w:r>
        <w:t xml:space="preserve"> </w:t>
      </w:r>
      <w:r>
        <w:rPr>
          <w:b/>
          <w:bCs/>
        </w:rPr>
        <w:t xml:space="preserve">Notes &amp; activity</w:t>
      </w:r>
      <w:r>
        <w:t xml:space="preserve"> </w:t>
      </w:r>
      <w:r>
        <w:t xml:space="preserve">shows who did what;</w:t>
      </w:r>
      <w:r>
        <w:t xml:space="preserve"> </w:t>
      </w:r>
      <w:r>
        <w:rPr>
          <w:b/>
          <w:bCs/>
        </w:rPr>
        <w:t xml:space="preserve">Revisions</w:t>
      </w:r>
      <w:r>
        <w:t xml:space="preserve"> </w:t>
      </w:r>
      <w:r>
        <w:t xml:space="preserve">lets you restore an earlier version.</w:t>
      </w:r>
      <w:r>
        <w:t xml:space="preserve"> </w:t>
      </w:r>
      <w:r>
        <w:rPr>
          <w:b/>
          <w:bCs/>
        </w:rPr>
        <w:t xml:space="preserve">Article settings</w:t>
      </w:r>
      <w:r>
        <w:t xml:space="preserve"> </w:t>
      </w:r>
      <w:r>
        <w:t xml:space="preserve">lets editors tick</w:t>
      </w:r>
      <w:r>
        <w:t xml:space="preserve"> </w:t>
      </w:r>
      <w:r>
        <w:rPr>
          <w:b/>
          <w:bCs/>
        </w:rPr>
        <w:t xml:space="preserve">Feature on the front page</w:t>
      </w:r>
      <w:r>
        <w:t xml:space="preserve">.</w:t>
      </w:r>
    </w:p>
    <w:bookmarkEnd w:id="37"/>
    <w:bookmarkStart w:id="38" w:name="X9441a1cabc1ad45621fce7429d61e7630e97dfc"/>
    <w:p>
      <w:pPr>
        <w:pStyle w:val="Heading1"/>
      </w:pPr>
      <w:r>
        <w:t xml:space="preserve">6. Giving publishing access to staff (Executive Editor, Managing Editor, Super admin)</w:t>
      </w:r>
    </w:p>
    <w:p>
      <w:pPr>
        <w:pStyle w:val="FirstParagraph"/>
      </w:pPr>
      <w:r>
        <w:t xml:space="preserve">By default only the Super admin, Executive Editor, Managing Editor and Business Manager can publish or schedule. To trust a writer or section editor with publishing:</w:t>
      </w:r>
    </w:p>
    <w:p>
      <w:pPr>
        <w:pStyle w:val="Compact"/>
        <w:numPr>
          <w:ilvl w:val="0"/>
          <w:numId w:val="1006"/>
        </w:numPr>
      </w:pPr>
      <w:r>
        <w:rPr>
          <w:b/>
          <w:bCs/>
        </w:rPr>
        <w:t xml:space="preserve">Staff → Accounts → Edit</w:t>
      </w:r>
      <w:r>
        <w:t xml:space="preserve"> </w:t>
      </w:r>
      <w:r>
        <w:t xml:space="preserve">next to the person.</w:t>
      </w:r>
    </w:p>
    <w:p>
      <w:pPr>
        <w:pStyle w:val="Compact"/>
        <w:numPr>
          <w:ilvl w:val="0"/>
          <w:numId w:val="1006"/>
        </w:numPr>
      </w:pPr>
      <w:r>
        <w:t xml:space="preserve">Under</w:t>
      </w:r>
      <w:r>
        <w:t xml:space="preserve"> </w:t>
      </w:r>
      <w:r>
        <w:rPr>
          <w:b/>
          <w:bCs/>
        </w:rPr>
        <w:t xml:space="preserve">Publishing</w:t>
      </w:r>
      <w:r>
        <w:t xml:space="preserve">, tick</w:t>
      </w:r>
      <w:r>
        <w:t xml:space="preserve"> </w:t>
      </w:r>
      <w:r>
        <w:rPr>
          <w:b/>
          <w:bCs/>
        </w:rPr>
        <w:t xml:space="preserve">Can publish and schedule articles</w:t>
      </w:r>
      <w:r>
        <w:t xml:space="preserve">.</w:t>
      </w:r>
    </w:p>
    <w:p>
      <w:pPr>
        <w:pStyle w:val="Compact"/>
        <w:numPr>
          <w:ilvl w:val="0"/>
          <w:numId w:val="1006"/>
        </w:numPr>
      </w:pPr>
      <w:r>
        <w:rPr>
          <w:b/>
          <w:bCs/>
        </w:rPr>
        <w:t xml:space="preserve">Save</w:t>
      </w:r>
      <w:r>
        <w:t xml:space="preserve">. The change is audited. Untick it to take the access back.</w:t>
      </w:r>
    </w:p>
    <w:p>
      <w:pPr>
        <w:pStyle w:val="FirstParagraph"/>
      </w:pPr>
      <w:r>
        <w:t xml:space="preserve">The Business Manager can publish but cannot give access to others.</w:t>
      </w:r>
    </w:p>
    <w:bookmarkEnd w:id="38"/>
    <w:bookmarkStart w:id="39" w:name="Xb6284a07c6615318670061ae4c982ec17309157"/>
    <w:p>
      <w:pPr>
        <w:pStyle w:val="Heading1"/>
      </w:pPr>
      <w:r>
        <w:t xml:space="preserve">7. The front page and the ticker (Executive Editor, Managing Editor, Super admin)</w:t>
      </w:r>
    </w:p>
    <w:p>
      <w:pPr>
        <w:pStyle w:val="FirstParagraph"/>
      </w:pPr>
      <w:r>
        <w:rPr>
          <w:b/>
          <w:bCs/>
        </w:rPr>
        <w:t xml:space="preserve">Settings → Front page</w:t>
      </w:r>
      <w:r>
        <w:t xml:space="preserve">:</w:t>
      </w:r>
    </w:p>
    <w:p>
      <w:pPr>
        <w:pStyle w:val="Compact"/>
        <w:numPr>
          <w:ilvl w:val="0"/>
          <w:numId w:val="1007"/>
        </w:numPr>
      </w:pPr>
      <w:r>
        <w:t xml:space="preserve">choose the</w:t>
      </w:r>
      <w:r>
        <w:t xml:space="preserve"> </w:t>
      </w:r>
      <w:r>
        <w:rPr>
          <w:b/>
          <w:bCs/>
        </w:rPr>
        <w:t xml:space="preserve">lead story</w:t>
      </w:r>
      <w:r>
        <w:t xml:space="preserve">;</w:t>
      </w:r>
    </w:p>
    <w:p>
      <w:pPr>
        <w:pStyle w:val="Compact"/>
        <w:numPr>
          <w:ilvl w:val="0"/>
          <w:numId w:val="1007"/>
        </w:numPr>
      </w:pPr>
      <w:r>
        <w:t xml:space="preserve">choose the</w:t>
      </w:r>
      <w:r>
        <w:t xml:space="preserve"> </w:t>
      </w:r>
      <w:r>
        <w:rPr>
          <w:b/>
          <w:bCs/>
        </w:rPr>
        <w:t xml:space="preserve">literary folio</w:t>
      </w:r>
      <w:r>
        <w:t xml:space="preserve"> </w:t>
      </w:r>
      <w:r>
        <w:t xml:space="preserve">piece, with a</w:t>
      </w:r>
      <w:r>
        <w:t xml:space="preserve"> </w:t>
      </w:r>
      <w:r>
        <w:rPr>
          <w:b/>
          <w:bCs/>
        </w:rPr>
        <w:t xml:space="preserve">Pull quote</w:t>
      </w:r>
      <w:r>
        <w:t xml:space="preserve"> </w:t>
      </w:r>
      <w:r>
        <w:t xml:space="preserve">and</w:t>
      </w:r>
      <w:r>
        <w:t xml:space="preserve"> </w:t>
      </w:r>
      <w:r>
        <w:rPr>
          <w:b/>
          <w:bCs/>
        </w:rPr>
        <w:t xml:space="preserve">Attribution</w:t>
      </w:r>
      <w:r>
        <w:t xml:space="preserve">;</w:t>
      </w:r>
    </w:p>
    <w:p>
      <w:pPr>
        <w:pStyle w:val="Compact"/>
        <w:numPr>
          <w:ilvl w:val="0"/>
          <w:numId w:val="1007"/>
        </w:numPr>
      </w:pPr>
      <w:r>
        <w:t xml:space="preserve">the latest-news ticker:</w:t>
      </w:r>
      <w:r>
        <w:t xml:space="preserve"> </w:t>
      </w:r>
      <w:r>
        <w:rPr>
          <w:b/>
          <w:bCs/>
        </w:rPr>
        <w:t xml:space="preserve">Show</w:t>
      </w:r>
      <w:r>
        <w:t xml:space="preserve"> </w:t>
      </w:r>
      <w:r>
        <w:t xml:space="preserve">“The newest headlines”</w:t>
      </w:r>
      <w:r>
        <w:t xml:space="preserve"> </w:t>
      </w:r>
      <w:r>
        <w:t xml:space="preserve">or</w:t>
      </w:r>
      <w:r>
        <w:t xml:space="preserve"> </w:t>
      </w:r>
      <w:r>
        <w:t xml:space="preserve">“My own announcements”</w:t>
      </w:r>
      <w:r>
        <w:t xml:space="preserve">, and</w:t>
      </w:r>
      <w:r>
        <w:t xml:space="preserve"> </w:t>
      </w:r>
      <w:r>
        <w:rPr>
          <w:b/>
          <w:bCs/>
        </w:rPr>
        <w:t xml:space="preserve">How many</w:t>
      </w:r>
      <w:r>
        <w:t xml:space="preserve">.</w:t>
      </w:r>
    </w:p>
    <w:bookmarkEnd w:id="39"/>
    <w:bookmarkStart w:id="40" w:name="settings-executive-editor-super-admin"/>
    <w:p>
      <w:pPr>
        <w:pStyle w:val="Heading1"/>
      </w:pPr>
      <w:r>
        <w:t xml:space="preserve">8. Settings (Executive Editor, Super admin)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w:t>
            </w:r>
          </w:p>
        </w:tc>
        <w:tc>
          <w:tcPr/>
          <w:p>
            <w:pPr>
              <w:pStyle w:val="Compact"/>
            </w:pPr>
            <w:r>
              <w:t xml:space="preserve">What you manage</w:t>
            </w:r>
          </w:p>
        </w:tc>
      </w:tr>
      <w:tr>
        <w:tc>
          <w:tcPr/>
          <w:p>
            <w:pPr>
              <w:pStyle w:val="Compact"/>
            </w:pPr>
            <w:r>
              <w:t xml:space="preserve">Front page</w:t>
            </w:r>
          </w:p>
        </w:tc>
        <w:tc>
          <w:tcPr/>
          <w:p>
            <w:pPr>
              <w:pStyle w:val="Compact"/>
            </w:pPr>
            <w:r>
              <w:t xml:space="preserve">Lead story, folio pick, ticker (also Managing Editor)</w:t>
            </w:r>
          </w:p>
        </w:tc>
      </w:tr>
      <w:tr>
        <w:tc>
          <w:tcPr/>
          <w:p>
            <w:pPr>
              <w:pStyle w:val="Compact"/>
            </w:pPr>
            <w:r>
              <w:t xml:space="preserve">Comments</w:t>
            </w:r>
          </w:p>
        </w:tc>
        <w:tc>
          <w:tcPr/>
          <w:p>
            <w:pPr>
              <w:pStyle w:val="Compact"/>
            </w:pPr>
            <w:r>
              <w:t xml:space="preserve">Moderation queue</w:t>
            </w:r>
          </w:p>
        </w:tc>
      </w:tr>
      <w:tr>
        <w:tc>
          <w:tcPr/>
          <w:p>
            <w:pPr>
              <w:pStyle w:val="Compact"/>
            </w:pPr>
            <w:r>
              <w:t xml:space="preserve">Inbox</w:t>
            </w:r>
          </w:p>
        </w:tc>
        <w:tc>
          <w:tcPr/>
          <w:p>
            <w:pPr>
              <w:pStyle w:val="Compact"/>
            </w:pPr>
            <w:r>
              <w:t xml:space="preserve">Contact form messages</w:t>
            </w:r>
          </w:p>
        </w:tc>
      </w:tr>
      <w:tr>
        <w:tc>
          <w:tcPr/>
          <w:p>
            <w:pPr>
              <w:pStyle w:val="Compact"/>
            </w:pPr>
            <w:r>
              <w:t xml:space="preserve">Sections</w:t>
            </w:r>
          </w:p>
        </w:tc>
        <w:tc>
          <w:tcPr/>
          <w:p>
            <w:pPr>
              <w:pStyle w:val="Compact"/>
            </w:pPr>
            <w:r>
              <w:t xml:space="preserve">Section names, descriptions, menu placement (main menu or</w:t>
            </w:r>
            <w:r>
              <w:t xml:space="preserve"> </w:t>
            </w:r>
            <w:r>
              <w:t xml:space="preserve">“More”</w:t>
            </w:r>
            <w:r>
              <w:t xml:space="preserve">), order, whether they accept submissions; categories, including categories reserved for editors</w:t>
            </w:r>
          </w:p>
        </w:tc>
      </w:tr>
      <w:tr>
        <w:tc>
          <w:tcPr/>
          <w:p>
            <w:pPr>
              <w:pStyle w:val="Compact"/>
            </w:pPr>
            <w:r>
              <w:t xml:space="preserve">Desks</w:t>
            </w:r>
          </w:p>
        </w:tc>
        <w:tc>
          <w:tcPr/>
          <w:p>
            <w:pPr>
              <w:pStyle w:val="Compact"/>
            </w:pPr>
            <w:r>
              <w:t xml:space="preserve">Desk contacts shown on the Contact page</w:t>
            </w:r>
          </w:p>
        </w:tc>
      </w:tr>
      <w:tr>
        <w:tc>
          <w:tcPr/>
          <w:p>
            <w:pPr>
              <w:pStyle w:val="Compact"/>
            </w:pPr>
            <w:r>
              <w:t xml:space="preserve">General</w:t>
            </w:r>
          </w:p>
        </w:tc>
        <w:tc>
          <w:tcPr/>
          <w:p>
            <w:pPr>
              <w:pStyle w:val="Compact"/>
            </w:pPr>
            <w:r>
              <w:t xml:space="preserve">Site details, social links (web addresses only), comments on/off</w:t>
            </w:r>
          </w:p>
        </w:tc>
      </w:tr>
    </w:tbl>
    <w:bookmarkEnd w:id="40"/>
    <w:bookmarkStart w:id="44" w:name="Xb484df8f82da47393a9a35e38ae6ed5809d670a"/>
    <w:p>
      <w:pPr>
        <w:pStyle w:val="Heading1"/>
      </w:pPr>
      <w:r>
        <w:t xml:space="preserve">9. Moderation: comments, inbox, submissions, events</w:t>
      </w:r>
    </w:p>
    <w:p>
      <w:pPr>
        <w:pStyle w:val="Compact"/>
        <w:numPr>
          <w:ilvl w:val="0"/>
          <w:numId w:val="1008"/>
        </w:numPr>
      </w:pPr>
      <w:r>
        <w:rPr>
          <w:b/>
          <w:bCs/>
        </w:rPr>
        <w:t xml:space="preserve">Settings → Comments</w:t>
      </w:r>
      <w:r>
        <w:t xml:space="preserve">: approve, reject or mark as spam. Comments are hidden until approved.</w:t>
      </w:r>
    </w:p>
    <w:p>
      <w:pPr>
        <w:pStyle w:val="Compact"/>
        <w:numPr>
          <w:ilvl w:val="0"/>
          <w:numId w:val="1008"/>
        </w:numPr>
      </w:pPr>
      <w:r>
        <w:rPr>
          <w:b/>
          <w:bCs/>
        </w:rPr>
        <w:t xml:space="preserve">Settings → Inbox</w:t>
      </w:r>
      <w:r>
        <w:t xml:space="preserve">: contact messages; mark in progress, resolved or spam.</w:t>
      </w:r>
    </w:p>
    <w:p>
      <w:pPr>
        <w:pStyle w:val="Compact"/>
        <w:numPr>
          <w:ilvl w:val="0"/>
          <w:numId w:val="1008"/>
        </w:numPr>
      </w:pPr>
      <w:r>
        <w:rPr>
          <w:b/>
          <w:bCs/>
        </w:rPr>
        <w:t xml:space="preserve">Submissions</w:t>
      </w:r>
      <w:r>
        <w:t xml:space="preserve"> </w:t>
      </w:r>
      <w:r>
        <w:t xml:space="preserve">and</w:t>
      </w:r>
      <w:r>
        <w:t xml:space="preserve"> </w:t>
      </w:r>
      <w:r>
        <w:rPr>
          <w:b/>
          <w:bCs/>
        </w:rPr>
        <w:t xml:space="preserve">Events</w:t>
      </w:r>
      <w:r>
        <w:t xml:space="preserve">: open an item, read it and its</w:t>
      </w:r>
      <w:r>
        <w:t xml:space="preserve"> </w:t>
      </w:r>
      <w:r>
        <w:rPr>
          <w:b/>
          <w:bCs/>
        </w:rPr>
        <w:t xml:space="preserve">Attachments</w:t>
      </w:r>
      <w:r>
        <w:t xml:space="preserve">, write a</w:t>
      </w:r>
      <w:r>
        <w:t xml:space="preserve"> </w:t>
      </w:r>
      <w:r>
        <w:rPr>
          <w:b/>
          <w:bCs/>
        </w:rPr>
        <w:t xml:space="preserve">Review</w:t>
      </w:r>
      <w:r>
        <w:t xml:space="preserve"> </w:t>
      </w:r>
      <w:r>
        <w:t xml:space="preserve">note, then</w:t>
      </w:r>
      <w:r>
        <w:t xml:space="preserve"> </w:t>
      </w:r>
      <w:r>
        <w:rPr>
          <w:b/>
          <w:bCs/>
        </w:rPr>
        <w:t xml:space="preserve">Decline</w:t>
      </w:r>
      <w:r>
        <w:t xml:space="preserve">, accept, or</w:t>
      </w:r>
      <w:r>
        <w:t xml:space="preserve"> </w:t>
      </w:r>
      <w:r>
        <w:rPr>
          <w:b/>
          <w:bCs/>
        </w:rPr>
        <w:t xml:space="preserve">Turn into an article</w:t>
      </w:r>
      <w:r>
        <w:t xml:space="preserve"> </w:t>
      </w:r>
      <w:r>
        <w:t xml:space="preserve">by choosing a</w:t>
      </w:r>
      <w:r>
        <w:t xml:space="preserve"> </w:t>
      </w:r>
      <w:r>
        <w:rPr>
          <w:b/>
          <w:bCs/>
        </w:rPr>
        <w:t xml:space="preserve">Category for the new article</w:t>
      </w:r>
      <w:r>
        <w:t xml:space="preserve">. The draft opens in the editor and the submission is marked converted.</w:t>
      </w:r>
    </w:p>
    <w:p>
      <w:pPr>
        <w:pStyle w:val="CaptionedFigure"/>
      </w:pPr>
      <w:r>
        <w:drawing>
          <wp:inline>
            <wp:extent cx="5969000" cy="3730625"/>
            <wp:effectExtent b="0" l="0" r="0" t="0"/>
            <wp:docPr descr="Reviewing a story submission." title="" id="42" name="Picture"/>
            <a:graphic>
              <a:graphicData uri="http://schemas.openxmlformats.org/drawingml/2006/picture">
                <pic:pic>
                  <pic:nvPicPr>
                    <pic:cNvPr descr="screenshots/adm-intake.png" id="43" name="Picture"/>
                    <pic:cNvPicPr>
                      <a:picLocks noChangeArrowheads="1" noChangeAspect="1"/>
                    </pic:cNvPicPr>
                  </pic:nvPicPr>
                  <pic:blipFill>
                    <a:blip r:embed="rId41"/>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Reviewing a story submission.</w:t>
      </w:r>
    </w:p>
    <w:bookmarkEnd w:id="44"/>
    <w:bookmarkStart w:id="45" w:name="X06e4c0492d671fdf96c5518f50af058641c66dd"/>
    <w:p>
      <w:pPr>
        <w:pStyle w:val="Heading1"/>
      </w:pPr>
      <w:r>
        <w:t xml:space="preserve">10. Statistics (Executive Editor, Managing Editor, Super admin)</w:t>
      </w:r>
    </w:p>
    <w:p>
      <w:pPr>
        <w:pStyle w:val="FirstParagraph"/>
      </w:pPr>
      <w:r>
        <w:rPr>
          <w:b/>
          <w:bCs/>
        </w:rPr>
        <w:t xml:space="preserve">Statistics</w:t>
      </w:r>
      <w:r>
        <w:t xml:space="preserve"> </w:t>
      </w:r>
      <w:r>
        <w:t xml:space="preserve">shows, for the date range you choose: pageviews, article views, readers, average read time, shares, a daily trend, top articles, authors, sections, traffic sources and referrers, devices and browsers, share channels, and staff active time (H:MM:SS). Each figure compares with the previous period.</w:t>
      </w:r>
    </w:p>
    <w:p>
      <w:pPr>
        <w:pStyle w:val="BodyText"/>
      </w:pPr>
      <w:r>
        <w:t xml:space="preserve">Privacy: no cookies are set on readers, IP addresses are not stored, readers who ask browsers not to track are counted only as an anonymous pageview, and individual visits are deleted after 13 months (see</w:t>
      </w:r>
      <w:r>
        <w:t xml:space="preserve"> </w:t>
      </w:r>
      <w:r>
        <w:rPr>
          <w:rStyle w:val="VerbatimChar"/>
        </w:rPr>
        <w:t xml:space="preserve">/privacy</w:t>
      </w:r>
      <w:r>
        <w:t xml:space="preserve">).</w:t>
      </w:r>
    </w:p>
    <w:bookmarkEnd w:id="45"/>
    <w:bookmarkStart w:id="49" w:name="X4dcac50e6c9f341a62cf9f7b1faa6064e97bb04"/>
    <w:p>
      <w:pPr>
        <w:pStyle w:val="Heading1"/>
      </w:pPr>
      <w:r>
        <w:t xml:space="preserve">11. Salingkusog oversight (Executive Editor, Managing Editor, Super admin)</w:t>
      </w:r>
    </w:p>
    <w:p>
      <w:pPr>
        <w:pStyle w:val="Compact"/>
        <w:numPr>
          <w:ilvl w:val="0"/>
          <w:numId w:val="1009"/>
        </w:numPr>
      </w:pPr>
      <w:r>
        <w:rPr>
          <w:b/>
          <w:bCs/>
        </w:rPr>
        <w:t xml:space="preserve">Salingkusog → Team</w:t>
      </w:r>
      <w:r>
        <w:t xml:space="preserve">: add or remove the staff who may enter Salingkusog data. You three always have access.</w:t>
      </w:r>
    </w:p>
    <w:p>
      <w:pPr>
        <w:pStyle w:val="Compact"/>
        <w:numPr>
          <w:ilvl w:val="0"/>
          <w:numId w:val="1009"/>
        </w:numPr>
      </w:pPr>
      <w:r>
        <w:rPr>
          <w:b/>
          <w:bCs/>
        </w:rPr>
        <w:t xml:space="preserve">Salingkusog → Edition</w:t>
      </w:r>
      <w:r>
        <w:t xml:space="preserve">: dates, medal points, publish the edition, and switch the countdown page on or off.</w:t>
      </w:r>
    </w:p>
    <w:p>
      <w:pPr>
        <w:pStyle w:val="Compact"/>
        <w:numPr>
          <w:ilvl w:val="0"/>
          <w:numId w:val="1009"/>
        </w:numPr>
      </w:pPr>
      <w:r>
        <w:rPr>
          <w:b/>
          <w:bCs/>
        </w:rPr>
        <w:t xml:space="preserve">Results &amp; medals</w:t>
      </w:r>
      <w:r>
        <w:t xml:space="preserve">: confirm medals when an event shows</w:t>
      </w:r>
      <w:r>
        <w:t xml:space="preserve"> </w:t>
      </w:r>
      <w:r>
        <w:rPr>
          <w:b/>
          <w:bCs/>
        </w:rPr>
        <w:t xml:space="preserve">Ready to confirm</w:t>
      </w:r>
      <w:r>
        <w:t xml:space="preserve">. Nothing counts in the medal tally until someone saves the results.</w:t>
      </w:r>
    </w:p>
    <w:p>
      <w:pPr>
        <w:pStyle w:val="CaptionedFigure"/>
      </w:pPr>
      <w:r>
        <w:drawing>
          <wp:inline>
            <wp:extent cx="5969000" cy="3730625"/>
            <wp:effectExtent b="0" l="0" r="0" t="0"/>
            <wp:docPr descr="Choosing the Salingkusog team." title="" id="47" name="Picture"/>
            <a:graphic>
              <a:graphicData uri="http://schemas.openxmlformats.org/drawingml/2006/picture">
                <pic:pic>
                  <pic:nvPicPr>
                    <pic:cNvPr descr="screenshots/adm-sk-team.png" id="48" name="Picture"/>
                    <pic:cNvPicPr>
                      <a:picLocks noChangeArrowheads="1" noChangeAspect="1"/>
                    </pic:cNvPicPr>
                  </pic:nvPicPr>
                  <pic:blipFill>
                    <a:blip r:embed="rId46"/>
                    <a:stretch>
                      <a:fillRect/>
                    </a:stretch>
                  </pic:blipFill>
                  <pic:spPr bwMode="auto">
                    <a:xfrm>
                      <a:off x="0" y="0"/>
                      <a:ext cx="5969000" cy="3730625"/>
                    </a:xfrm>
                    <a:prstGeom prst="rect">
                      <a:avLst/>
                    </a:prstGeom>
                    <a:noFill/>
                    <a:ln w="9525">
                      <a:noFill/>
                      <a:headEnd/>
                      <a:tailEnd/>
                    </a:ln>
                  </pic:spPr>
                </pic:pic>
              </a:graphicData>
            </a:graphic>
          </wp:inline>
        </w:drawing>
      </w:r>
    </w:p>
    <w:p>
      <w:pPr>
        <w:pStyle w:val="ImageCaption"/>
      </w:pPr>
      <w:r>
        <w:t xml:space="preserve">Choosing the Salingkusog team.</w:t>
      </w:r>
    </w:p>
    <w:p>
      <w:pPr>
        <w:pStyle w:val="BodyText"/>
      </w:pPr>
      <w:r>
        <w:t xml:space="preserve">Full Salingkusog procedures: AMR-DOC-11c.</w:t>
      </w:r>
    </w:p>
    <w:bookmarkEnd w:id="49"/>
    <w:bookmarkStart w:id="50" w:name="good-practice"/>
    <w:p>
      <w:pPr>
        <w:pStyle w:val="Heading1"/>
      </w:pPr>
      <w:r>
        <w:t xml:space="preserve">12. Good practice</w:t>
      </w:r>
    </w:p>
    <w:p>
      <w:pPr>
        <w:pStyle w:val="Compact"/>
        <w:numPr>
          <w:ilvl w:val="0"/>
          <w:numId w:val="1010"/>
        </w:numPr>
      </w:pPr>
      <w:r>
        <w:t xml:space="preserve">Give publishing access sparingly and review it each semester.</w:t>
      </w:r>
    </w:p>
    <w:p>
      <w:pPr>
        <w:pStyle w:val="Compact"/>
        <w:numPr>
          <w:ilvl w:val="0"/>
          <w:numId w:val="1010"/>
        </w:numPr>
      </w:pPr>
      <w:r>
        <w:t xml:space="preserve">Deactivate accounts of members who leave.</w:t>
      </w:r>
    </w:p>
    <w:p>
      <w:pPr>
        <w:pStyle w:val="Compact"/>
        <w:numPr>
          <w:ilvl w:val="0"/>
          <w:numId w:val="1010"/>
        </w:numPr>
      </w:pPr>
      <w:r>
        <w:t xml:space="preserve">Keep at least two people who can publish during events.</w:t>
      </w:r>
    </w:p>
    <w:p>
      <w:pPr>
        <w:pStyle w:val="Compact"/>
        <w:numPr>
          <w:ilvl w:val="0"/>
          <w:numId w:val="1010"/>
        </w:numPr>
      </w:pPr>
      <w:r>
        <w:t xml:space="preserve">Before the games, check the event-week checklist (AMR-DOC-09 §10).</w:t>
      </w:r>
    </w:p>
    <w:bookmarkEnd w:id="50"/>
    <w:sectPr>
      <w:headerReference r:id="rId9" w:type="default"/>
      <w:footerReference r:id="rId10" w:type="default"/>
      <w:footnotePr>
        <w:numRestart w:val="eachSect"/>
      </w:footnotePr>
      <w:pgSz w:h="16838" w:w="11906"/>
      <w:pgMar w:bottom="1134" w:left="1247" w:right="1247" w:top="124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58"/>
        <w:sz w:val="16"/>
      </w:rPr>
      <w:t xml:space="preserve">Page </w:t>
    </w:r>
    <w:r>
      <w:rPr>
        <w:color w:val="556058"/>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6058"/>
        <w:sz w:val="16"/>
      </w:rPr>
      <w:t>Amaranth v2 — Visayas State University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Arial" w:cs="Arial" w:eastAsia="Arial" w:hAnsi="Arial"/>
      <w:color w:val="111A14"/>
      <w:sz w:val="21"/>
    </w:rPr>
  </w:style>
  <w:style w:styleId="BodyText" w:type="paragraph">
    <w:name w:val="Body Text"/>
    <w:basedOn w:val="Normal"/>
    <w:link w:val="BodyTextChar"/>
    <w:qFormat/>
    <w:pPr>
      <w:spacing w:after="120" w:before="180" w:line="276" w:lineRule="auto"/>
    </w:pPr>
    <w:rPr>
      <w:rFonts w:ascii="Arial" w:cs="Arial" w:eastAsia="Arial" w:hAnsi="Arial"/>
      <w:color w:val="111A14"/>
      <w:sz w:val="21"/>
    </w:rPr>
  </w:style>
  <w:style w:customStyle="1" w:styleId="FirstParagraph" w:type="paragraph">
    <w:name w:val="First Paragraph"/>
    <w:basedOn w:val="BodyText"/>
    <w:next w:val="BodyText"/>
    <w:qFormat/>
    <w:pPr>
      <w:spacing w:after="120" w:line="276" w:lineRule="auto"/>
    </w:pPr>
    <w:rPr>
      <w:rFonts w:ascii="Arial" w:cs="Arial" w:eastAsia="Arial" w:hAnsi="Arial"/>
      <w:color w:val="111A14"/>
      <w:sz w:val="21"/>
    </w:rPr>
  </w:style>
  <w:style w:customStyle="1" w:styleId="Compact" w:type="paragraph">
    <w:name w:val="Compact"/>
    <w:basedOn w:val="BodyText"/>
    <w:qFormat/>
    <w:pPr>
      <w:spacing w:after="120" w:before="36" w:line="276" w:lineRule="auto"/>
    </w:pPr>
    <w:rPr>
      <w:rFonts w:ascii="Arial" w:cs="Arial" w:eastAsia="Arial" w:hAnsi="Arial"/>
      <w:color w:val="111A14"/>
      <w:sz w:val="21"/>
    </w:rPr>
  </w:style>
  <w:style w:styleId="Title" w:type="paragraph">
    <w:name w:val="Title"/>
    <w:basedOn w:val="Normal"/>
    <w:next w:val="BodyText"/>
    <w:link w:val="TitleChar"/>
    <w:uiPriority w:val="10"/>
    <w:qFormat/>
    <w:rsid w:val="00A10FD9"/>
    <w:pPr>
      <w:spacing w:after="80" w:before="3200" w:line="240" w:lineRule="auto"/>
      <w:contextualSpacing/>
      <w:jc w:val="center"/>
    </w:pPr>
    <w:rPr>
      <w:rFonts w:ascii="Arial" w:cs="Arial" w:eastAsia="Arial" w:hAnsi="Arial"/>
      <w:b/>
      <w:color w:val="14361F"/>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Arial" w:hAnsi="Arial"/>
      <w:color w:val="3F6A00"/>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Arial" w:cs="Arial" w:eastAsia="Arial" w:hAnsi="Arial"/>
      <w:color w:val="556058"/>
      <w:sz w:val="22"/>
      <w:szCs w:val="24"/>
    </w:rPr>
  </w:style>
  <w:style w:styleId="Date" w:type="paragraph">
    <w:name w:val="Date"/>
    <w:basedOn w:val="Title"/>
    <w:next w:val="BodyText"/>
    <w:qFormat/>
    <w:pPr>
      <w:keepNext/>
      <w:keepLines/>
    </w:pPr>
    <w:rPr>
      <w:rFonts w:ascii="Arial" w:cs="Arial" w:eastAsia="Arial" w:hAnsi="Arial"/>
      <w:color w:val="556058"/>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320"/>
      <w:outlineLvl w:val="0"/>
    </w:pPr>
    <w:rPr>
      <w:rFonts w:ascii="Arial" w:cs="Arial" w:eastAsia="Arial" w:hAnsi="Arial"/>
      <w:b/>
      <w:color w:val="14361F"/>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Arial" w:cs="Arial" w:eastAsia="Arial" w:hAnsi="Arial"/>
      <w:b/>
      <w:color w:val="14361F"/>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eastAsia="Arial" w:hAnsi="Arial"/>
      <w:b/>
      <w:color w:val="3F6A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ascii="Arial" w:cs="Arial" w:eastAsia="Arial" w:hAnsi="Arial"/>
      <w:b/>
      <w:i/>
      <w:iCs/>
      <w:color w:val="14361F"/>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55605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111A14"/>
      <w:sz w:val="19"/>
    </w:rPr>
    <w:tblPr>
      <w:tblInd w:type="dxa" w:w="0"/>
      <w:tblCellMar>
        <w:top w:type="dxa" w:w="0"/>
        <w:left w:type="dxa" w:w="108"/>
        <w:bottom w:type="dxa" w:w="0"/>
        <w:right w:type="dxa" w:w="108"/>
      </w:tblCellMar>
      <w:tblBorders>
        <w:top w:color="C9D3CB" w:space="0" w:sz="4" w:val="single"/>
        <w:left w:color="C9D3CB" w:space="0" w:sz="4" w:val="single"/>
        <w:bottom w:color="C9D3CB" w:space="0" w:sz="4" w:val="single"/>
        <w:right w:color="C9D3CB" w:space="0" w:sz="4" w:val="single"/>
        <w:insideH w:color="C9D3CB" w:space="0" w:sz="4" w:val="single"/>
        <w:insideV w:color="C9D3CB" w:space="0" w:sz="4" w:val="single"/>
      </w:tblBorders>
      <w:tblCellMar>
        <w:left w:type="dxa" w:w="80"/>
        <w:right w:type="dxa" w:w="80"/>
        <w:top w:type="dxa" w:w="30"/>
        <w:bottom w:type="dxa" w:w="30"/>
      </w:tblCellMar>
    </w:tblPr>
    <w:tblStylePr w:type="firstRow">
      <w:tcPr>
        <w:tcBorders>
          <w:bottom w:val="single"/>
        </w:tcBorders>
        <w:vAlign w:val="bottom"/>
      </w:tcPr>
    </w:tblStylePr>
    <w:tblStylePr w:type="firstRow">
      <w:rPr>
        <w:b/>
        <w:color w:val="14361F"/>
      </w:rPr>
      <w:tcPr>
        <w:shd w:color="auto" w:fill="E8F1E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cs="Arial" w:eastAsia="Arial" w:hAnsi="Arial"/>
      <w:i/>
      <w:color w:val="556058"/>
      <w:sz w:val="18"/>
    </w:rPr>
  </w:style>
  <w:style w:customStyle="1" w:styleId="TableCaption" w:type="paragraph">
    <w:name w:val="Table Caption"/>
    <w:basedOn w:val="Caption"/>
    <w:pPr>
      <w:keepNext/>
    </w:pPr>
    <w:rPr>
      <w:rFonts w:ascii="Arial" w:cs="Arial" w:eastAsia="Arial" w:hAnsi="Arial"/>
      <w:i/>
      <w:color w:val="556058"/>
      <w:sz w:val="18"/>
    </w:rPr>
  </w:style>
  <w:style w:customStyle="1" w:styleId="ImageCaption" w:type="paragraph">
    <w:name w:val="Image Caption"/>
    <w:basedOn w:val="Caption"/>
    <w:rPr>
      <w:rFonts w:ascii="Arial" w:cs="Arial" w:eastAsia="Arial" w:hAnsi="Arial"/>
      <w:i/>
      <w:color w:val="55605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11A14"/>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22" Target="media/rId22.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Executive Editor, Managing Editor and Super Admin</dc:title>
  <dc:creator/>
  <cp:keywords/>
  <dcterms:created xsi:type="dcterms:W3CDTF">2026-10-19T00:24:31Z</dcterms:created>
  <dcterms:modified xsi:type="dcterms:W3CDTF">2026-10-19T00:24:31Z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2026-10-19</vt:lpwstr>
  </property>
  <property fmtid="{D5CDD505-2E9C-101B-9397-08002B2CF9AE}" pid="3" name="subtitle">
    <vt:lpwstr>Amaranth v2 newsroom: staff, publishing, settings, statistics and Salingkusog oversight</vt:lpwstr>
  </property>
  <property fmtid="{D5CDD505-2E9C-101B-9397-08002B2CF9AE}" pid="4" name="version">
    <vt:lpwstr>1.0</vt:lpwstr>
  </property>
</Properties>
</file>