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 Management Documents</w:t>
      </w:r>
    </w:p>
    <w:p>
      <w:pPr>
        <w:pStyle w:val="Subtitle"/>
      </w:pPr>
      <w:r>
        <w:t xml:space="preserve">Amaranth v2 — WBS, timeline, risks, resources and change log</w:t>
      </w:r>
    </w:p>
    <w:p>
      <w:pPr>
        <w:pStyle w:val="Date"/>
      </w:pPr>
      <w:r>
        <w:t xml:space="preserve">2026-10-19</w:t>
      </w:r>
    </w:p>
    <w:p>
      <w:r>
        <w:br w:type="page"/>
      </w:r>
    </w:p>
    <w:bookmarkStart w:id="19" w:name="document-control"/>
    <w:p>
      <w:pPr>
        <w:pStyle w:val="Heading1"/>
      </w:pPr>
      <w:r>
        <w:t xml:space="preserve">Document 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Project Management 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AMR-DOC-12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2026-10-19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Amaranth development team [TO CONFIRM: names]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Final draft for defense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Sources</w:t>
            </w:r>
          </w:p>
        </w:tc>
        <w:tc>
          <w:tcPr/>
          <w:p>
            <w:pPr>
              <w:pStyle w:val="Compact"/>
            </w:pPr>
            <w:r>
              <w:t xml:space="preserve">git history (183 commits, 82 merged branches),</w:t>
            </w:r>
            <w:r>
              <w:t xml:space="preserve"> </w:t>
            </w:r>
            <w:r>
              <w:rPr>
                <w:rStyle w:val="VerbatimChar"/>
              </w:rPr>
              <w:t xml:space="preserve">docs/v2/PLAN.md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docs/v2/PLAN-PHASE2.md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docs/v2/PROGRESS.md</w:t>
            </w:r>
          </w:p>
        </w:tc>
      </w:tr>
    </w:tbl>
    <w:bookmarkEnd w:id="19"/>
    <w:bookmarkStart w:id="20" w:name="contents"/>
    <w:p>
      <w:pPr>
        <w:pStyle w:val="Heading1"/>
      </w:pPr>
      <w:r>
        <w:t xml:space="preserve">Contents</w:t>
      </w:r>
    </w:p>
    <w:p>
      <w:pPr>
        <w:pStyle w:val="Compact"/>
        <w:numPr>
          <w:ilvl w:val="0"/>
          <w:numId w:val="1001"/>
        </w:numPr>
      </w:pPr>
      <w:r>
        <w:t xml:space="preserve">Approach</w:t>
      </w:r>
    </w:p>
    <w:p>
      <w:pPr>
        <w:pStyle w:val="Compact"/>
        <w:numPr>
          <w:ilvl w:val="0"/>
          <w:numId w:val="1001"/>
        </w:numPr>
      </w:pPr>
      <w:r>
        <w:t xml:space="preserve">Work breakdown structure (WBS)</w:t>
      </w:r>
    </w:p>
    <w:p>
      <w:pPr>
        <w:pStyle w:val="Compact"/>
        <w:numPr>
          <w:ilvl w:val="0"/>
          <w:numId w:val="1001"/>
        </w:numPr>
      </w:pPr>
      <w:r>
        <w:t xml:space="preserve">Timeline</w:t>
      </w:r>
    </w:p>
    <w:p>
      <w:pPr>
        <w:pStyle w:val="Compact"/>
        <w:numPr>
          <w:ilvl w:val="0"/>
          <w:numId w:val="1001"/>
        </w:numPr>
      </w:pPr>
      <w:r>
        <w:t xml:space="preserve">Milestones</w:t>
      </w:r>
    </w:p>
    <w:p>
      <w:pPr>
        <w:pStyle w:val="Compact"/>
        <w:numPr>
          <w:ilvl w:val="0"/>
          <w:numId w:val="1001"/>
        </w:numPr>
      </w:pPr>
      <w:r>
        <w:t xml:space="preserve">Risk register</w:t>
      </w:r>
    </w:p>
    <w:p>
      <w:pPr>
        <w:pStyle w:val="Compact"/>
        <w:numPr>
          <w:ilvl w:val="0"/>
          <w:numId w:val="1001"/>
        </w:numPr>
      </w:pPr>
      <w:r>
        <w:t xml:space="preserve">Cost and resources</w:t>
      </w:r>
    </w:p>
    <w:p>
      <w:pPr>
        <w:pStyle w:val="Compact"/>
        <w:numPr>
          <w:ilvl w:val="0"/>
          <w:numId w:val="1001"/>
        </w:numPr>
      </w:pPr>
      <w:r>
        <w:t xml:space="preserve">Change log</w:t>
      </w:r>
    </w:p>
    <w:p>
      <w:pPr>
        <w:pStyle w:val="Compact"/>
        <w:numPr>
          <w:ilvl w:val="0"/>
          <w:numId w:val="1001"/>
        </w:numPr>
      </w:pPr>
      <w:r>
        <w:t xml:space="preserve">Lessons learned</w:t>
      </w:r>
    </w:p>
    <w:p>
      <w:r>
        <w:br w:type="page"/>
      </w:r>
    </w:p>
    <w:bookmarkEnd w:id="20"/>
    <w:bookmarkStart w:id="21" w:name="approach"/>
    <w:p>
      <w:pPr>
        <w:pStyle w:val="Heading1"/>
      </w:pPr>
      <w:r>
        <w:t xml:space="preserve">1. Approach</w:t>
      </w:r>
    </w:p>
    <w:p>
      <w:pPr>
        <w:pStyle w:val="FirstParagraph"/>
      </w:pPr>
      <w:r>
        <w:t xml:space="preserve">Incremental delivery,</w:t>
      </w:r>
      <w:r>
        <w:t xml:space="preserve"> </w:t>
      </w:r>
      <w:r>
        <w:rPr>
          <w:b/>
          <w:bCs/>
        </w:rPr>
        <w:t xml:space="preserve">one feature per branch</w:t>
      </w:r>
      <w:r>
        <w:t xml:space="preserve">: each feature branch starts from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, passes the gates (</w:t>
      </w:r>
      <w:r>
        <w:rPr>
          <w:rStyle w:val="VerbatimChar"/>
        </w:rPr>
        <w:t xml:space="preserve">npm run check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npm run db:test</w:t>
      </w:r>
      <w:r>
        <w:t xml:space="preserve"> </w:t>
      </w:r>
      <w:r>
        <w:t xml:space="preserve">for database work), is merged with a merge commit into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, and is recorded in</w:t>
      </w:r>
      <w:r>
        <w:t xml:space="preserve"> </w:t>
      </w:r>
      <w:r>
        <w:rPr>
          <w:rStyle w:val="VerbatimChar"/>
        </w:rPr>
        <w:t xml:space="preserve">docs/v2/PROGRESS.md</w:t>
      </w:r>
      <w:r>
        <w:t xml:space="preserve">. Plans were approved before large changes (</w:t>
      </w:r>
      <w:r>
        <w:rPr>
          <w:rStyle w:val="VerbatimChar"/>
        </w:rPr>
        <w:t xml:space="preserve">docs/v2/PLAN.md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PLAN-PHASE2.md</w:t>
      </w:r>
      <w:r>
        <w:t xml:space="preserve">). Releases go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through a pull request.</w:t>
      </w:r>
    </w:p>
    <w:bookmarkEnd w:id="21"/>
    <w:bookmarkStart w:id="22" w:name="work-breakdown-structure-wbs"/>
    <w:p>
      <w:pPr>
        <w:pStyle w:val="Heading1"/>
      </w:pPr>
      <w:r>
        <w:t xml:space="preserve">2. Work breakdown structure (WBS)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WBS</w:t>
            </w:r>
          </w:p>
        </w:tc>
        <w:tc>
          <w:tcPr/>
          <w:p>
            <w:pPr>
              <w:pStyle w:val="Compact"/>
            </w:pPr>
            <w:r>
              <w:t xml:space="preserve">Work package</w:t>
            </w:r>
          </w:p>
        </w:tc>
        <w:tc>
          <w:tcPr/>
          <w:p>
            <w:pPr>
              <w:pStyle w:val="Compact"/>
            </w:pPr>
            <w:r>
              <w:t xml:space="preserve">Branches (examples)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Project setup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docs/phase2-plan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feature/tooling-design-system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feature/db-v2-schema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feature/salingkusog-db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feature/statistics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Newsroom schema, RLS, workflow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feature/db-v2-schema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Salingkusog schema and views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feature/salingkusog-db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Statistics schema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feature/statistics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Authentication and access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feature/auth-staff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feature/publish-permissions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feature/salingkusog-team-access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Public site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feature/public-shell-home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feature/section-pages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feature/article-page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feature/search-archives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feature/submissions-contact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feature/nav-more-menu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feature/section-*</w:t>
            </w:r>
            <w:r>
              <w:t xml:space="preserve"> </w:t>
            </w:r>
            <w:r>
              <w:t xml:space="preserve">(12)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Newsroom (CMS)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feature/cms-shell-dashboard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feature/cms-article-editor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feature/cms-editorial-workflow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feature/cms-media-library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feature/cms-people-board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feature/cms-site-settings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Salingkusog 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feature/salingkusog-*</w:t>
            </w:r>
            <w:r>
              <w:t xml:space="preserve"> </w:t>
            </w:r>
            <w:r>
              <w:t xml:space="preserve">(13),</w:t>
            </w:r>
            <w:r>
              <w:t xml:space="preserve"> </w:t>
            </w:r>
            <w:r>
              <w:rPr>
                <w:rStyle w:val="VerbatimChar"/>
              </w:rPr>
              <w:t xml:space="preserve">feature/sports-landing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feature/sk-*</w:t>
            </w:r>
            <w:r>
              <w:t xml:space="preserve"> </w:t>
            </w:r>
            <w:r>
              <w:t xml:space="preserve">(5),</w:t>
            </w:r>
            <w:r>
              <w:t xml:space="preserve"> </w:t>
            </w:r>
            <w:r>
              <w:rPr>
                <w:rStyle w:val="VerbatimChar"/>
              </w:rPr>
              <w:t xml:space="preserve">feature/countdown-*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Setup, import, scorekeeper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feature/salingkusog-cms-setup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feature/salingkusog-scorekeeper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6.2</w:t>
            </w:r>
          </w:p>
        </w:tc>
        <w:tc>
          <w:tcPr/>
          <w:p>
            <w:pPr>
              <w:pStyle w:val="Compact"/>
            </w:pPr>
            <w:r>
              <w:t xml:space="preserve">Public hub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feature/salingkusog-medal-tally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-schedule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-winners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-factions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-sports-bracket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-match-recap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-venues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6.3</w:t>
            </w:r>
          </w:p>
        </w:tc>
        <w:tc>
          <w:tcPr/>
          <w:p>
            <w:pPr>
              <w:pStyle w:val="Compact"/>
            </w:pPr>
            <w:r>
              <w:t xml:space="preserve">Automation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feature/sk-auto-brackets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feature/sk-contests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feature/sk-official-tally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feature/sk-points-race-ranges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Branding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feature/brand-*</w:t>
            </w:r>
            <w:r>
              <w:t xml:space="preserve"> </w:t>
            </w:r>
            <w:r>
              <w:t xml:space="preserve">(6)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SEO, performance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feature/seo-sharing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feature/perf-pass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perf/edge-cache-images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fix/security-hardening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feature/turnstile-captcha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Quality and polish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feature/v2-polish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fix/*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docs/*</w:t>
            </w:r>
            <w:r>
              <w:t xml:space="preserve">, this package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Acceptance and release</w:t>
            </w:r>
          </w:p>
        </w:tc>
        <w:tc>
          <w:tcPr/>
          <w:p>
            <w:pPr>
              <w:pStyle w:val="Compact"/>
            </w:pPr>
            <w:r>
              <w:t xml:space="preserve">PR #6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(merged); manual tests MT-01 – MT-20</w:t>
            </w:r>
          </w:p>
        </w:tc>
        <w:tc>
          <w:tcPr/>
          <w:p>
            <w:pPr>
              <w:pStyle w:val="Compact"/>
            </w:pPr>
            <w:r>
              <w:t xml:space="preserve">Release done; manual tests [TO CONFIRM]</w:t>
            </w:r>
          </w:p>
        </w:tc>
      </w:tr>
    </w:tbl>
    <w:bookmarkEnd w:id="22"/>
    <w:bookmarkStart w:id="26" w:name="timeline"/>
    <w:p>
      <w:pPr>
        <w:pStyle w:val="Heading1"/>
      </w:pPr>
      <w:r>
        <w:t xml:space="preserve">3. Timeline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Period</w:t>
            </w:r>
          </w:p>
        </w:tc>
        <w:tc>
          <w:tcPr/>
          <w:p>
            <w:pPr>
              <w:pStyle w:val="Compact"/>
            </w:pPr>
            <w:r>
              <w:t xml:space="preserve">Work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2025-09-23 – 2025-10-12</w:t>
            </w:r>
          </w:p>
        </w:tc>
        <w:tc>
          <w:tcPr/>
          <w:p>
            <w:pPr>
              <w:pStyle w:val="Compact"/>
            </w:pPr>
            <w:r>
              <w:t xml:space="preserve">v1 partial front end (16 commits)</w:t>
            </w:r>
          </w:p>
        </w:tc>
        <w:tc>
          <w:tcPr/>
          <w:p>
            <w:pPr>
              <w:pStyle w:val="Compact"/>
            </w:pPr>
            <w:r>
              <w:t xml:space="preserve">git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2026-04-12 – 2026-04-13</w:t>
            </w:r>
          </w:p>
        </w:tc>
        <w:tc>
          <w:tcPr/>
          <w:p>
            <w:pPr>
              <w:pStyle w:val="Compact"/>
            </w:pPr>
            <w:r>
              <w:t xml:space="preserve">Interim admin and article pages (6 commits)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feature/article-card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feature/article-details-page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2026-10-17</w:t>
            </w:r>
          </w:p>
        </w:tc>
        <w:tc>
          <w:tcPr/>
          <w:p>
            <w:pPr>
              <w:pStyle w:val="Compact"/>
            </w:pPr>
            <w:r>
              <w:t xml:space="preserve">v2 Phase 1: plan, database, tooling, public site, newsroom, SEO, performance (54 commits)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docs/v2/PROGRESS.md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2026-10-18</w:t>
            </w:r>
          </w:p>
        </w:tc>
        <w:tc>
          <w:tcPr/>
          <w:p>
            <w:pPr>
              <w:pStyle w:val="Compact"/>
            </w:pPr>
            <w:r>
              <w:t xml:space="preserve">Phase 2: Salingkusog A1–A13, section layouts B1–B12, statistics, Brand 2026, edge cache (81 commits)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docs/v2/PROGRESS.md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2026-10-19</w:t>
            </w:r>
          </w:p>
        </w:tc>
        <w:tc>
          <w:tcPr/>
          <w:p>
            <w:pPr>
              <w:pStyle w:val="Compact"/>
            </w:pPr>
            <w:r>
              <w:t xml:space="preserve">Publishing permissions, security, Turnstile, auto brackets, contests, official tally (25 commits so far)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docs/v2/PROGRESS.md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2026-10-26 – 2026-10-30</w:t>
            </w:r>
          </w:p>
        </w:tc>
        <w:tc>
          <w:tcPr/>
          <w:p>
            <w:pPr>
              <w:pStyle w:val="Compact"/>
            </w:pPr>
            <w:r>
              <w:t xml:space="preserve">Salingkusog 2026 (from the live edition record)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sk_editions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[TO CONFIRM]</w:t>
            </w:r>
          </w:p>
        </w:tc>
        <w:tc>
          <w:tcPr/>
          <w:p>
            <w:pPr>
              <w:pStyle w:val="Compact"/>
            </w:pPr>
            <w:r>
              <w:t xml:space="preserve">Defense presentation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CaptionedFigure"/>
      </w:pPr>
      <w:r>
        <w:drawing>
          <wp:inline>
            <wp:extent cx="5969000" cy="1698749"/>
            <wp:effectExtent b="0" l="0" r="0" t="0"/>
            <wp:docPr descr="PM-1 — v2 timeline. Future dates are placeholders." title="" id="24" name="Picture"/>
            <a:graphic>
              <a:graphicData uri="http://schemas.openxmlformats.org/drawingml/2006/picture">
                <pic:pic>
                  <pic:nvPicPr>
                    <pic:cNvPr descr="diagrams/pm-1-gantt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1698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PM-1 — v2 timeline. Future dates are placeholders.</w:t>
      </w:r>
    </w:p>
    <w:p>
      <w:pPr>
        <w:pStyle w:val="BodyText"/>
      </w:pPr>
      <w:r>
        <w:t xml:space="preserve">Note: the dense v2 dates reflect the commit history. Planning, design (Figma) and review time before and between commits are not visible in git [TO CONFIRM actual effort].</w:t>
      </w:r>
    </w:p>
    <w:bookmarkEnd w:id="26"/>
    <w:bookmarkStart w:id="27" w:name="milestones"/>
    <w:p>
      <w:pPr>
        <w:pStyle w:val="Heading1"/>
      </w:pPr>
      <w:r>
        <w:t xml:space="preserve">4. Milestones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v2 plan approved</w:t>
            </w:r>
          </w:p>
        </w:tc>
        <w:tc>
          <w:tcPr/>
          <w:p>
            <w:pPr>
              <w:pStyle w:val="Compact"/>
            </w:pPr>
            <w:r>
              <w:t xml:space="preserve">2026-10-17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Newsroom and public site complete (Phase 1)</w:t>
            </w:r>
          </w:p>
        </w:tc>
        <w:tc>
          <w:tcPr/>
          <w:p>
            <w:pPr>
              <w:pStyle w:val="Compact"/>
            </w:pPr>
            <w:r>
              <w:t xml:space="preserve">2026-10-17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Salingkusog module and section layouts (Phase 2)</w:t>
            </w:r>
          </w:p>
        </w:tc>
        <w:tc>
          <w:tcPr/>
          <w:p>
            <w:pPr>
              <w:pStyle w:val="Compact"/>
            </w:pPr>
            <w:r>
              <w:t xml:space="preserve">2026-10-18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Brand 2026 approved by the Executive Editor and applied</w:t>
            </w:r>
          </w:p>
        </w:tc>
        <w:tc>
          <w:tcPr/>
          <w:p>
            <w:pPr>
              <w:pStyle w:val="Compact"/>
            </w:pPr>
            <w:r>
              <w:t xml:space="preserve">2026-10-18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Security hardening and CAPTCHA</w:t>
            </w:r>
          </w:p>
        </w:tc>
        <w:tc>
          <w:tcPr/>
          <w:p>
            <w:pPr>
              <w:pStyle w:val="Compact"/>
            </w:pPr>
            <w:r>
              <w:t xml:space="preserve">2026-10-19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Automatic brackets, round robins and contests</w:t>
            </w:r>
          </w:p>
        </w:tc>
        <w:tc>
          <w:tcPr/>
          <w:p>
            <w:pPr>
              <w:pStyle w:val="Compact"/>
            </w:pPr>
            <w:r>
              <w:t xml:space="preserve">2026-10-19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M7</w:t>
            </w:r>
          </w:p>
        </w:tc>
        <w:tc>
          <w:tcPr/>
          <w:p>
            <w:pPr>
              <w:pStyle w:val="Compact"/>
            </w:pPr>
            <w:r>
              <w:t xml:space="preserve">Release 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(pull request #6)</w:t>
            </w:r>
          </w:p>
        </w:tc>
        <w:tc>
          <w:tcPr/>
          <w:p>
            <w:pPr>
              <w:pStyle w:val="Compact"/>
            </w:pPr>
            <w:r>
              <w:t xml:space="preserve">2026-10-19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M8</w:t>
            </w:r>
          </w:p>
        </w:tc>
        <w:tc>
          <w:tcPr/>
          <w:p>
            <w:pPr>
              <w:pStyle w:val="Compact"/>
            </w:pPr>
            <w:r>
              <w:t xml:space="preserve">Salingkusog 2026 run on the system</w:t>
            </w:r>
          </w:p>
        </w:tc>
        <w:tc>
          <w:tcPr/>
          <w:p>
            <w:pPr>
              <w:pStyle w:val="Compact"/>
            </w:pPr>
            <w:r>
              <w:t xml:space="preserve">2026-10-26 – 30</w:t>
            </w:r>
          </w:p>
        </w:tc>
        <w:tc>
          <w:tcPr/>
          <w:p>
            <w:pPr>
              <w:pStyle w:val="Compact"/>
            </w:pPr>
            <w:r>
              <w:t xml:space="preserve">Upcoming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M9</w:t>
            </w:r>
          </w:p>
        </w:tc>
        <w:tc>
          <w:tcPr/>
          <w:p>
            <w:pPr>
              <w:pStyle w:val="Compact"/>
            </w:pPr>
            <w:r>
              <w:t xml:space="preserve">Defense</w:t>
            </w:r>
          </w:p>
        </w:tc>
        <w:tc>
          <w:tcPr/>
          <w:p>
            <w:pPr>
              <w:pStyle w:val="Compact"/>
            </w:pPr>
            <w:r>
              <w:t xml:space="preserve">[TO CONFIRM]</w:t>
            </w:r>
          </w:p>
        </w:tc>
        <w:tc>
          <w:tcPr/>
          <w:p>
            <w:pPr>
              <w:pStyle w:val="Compact"/>
            </w:pPr>
            <w:r>
              <w:t xml:space="preserve">Upcoming</w:t>
            </w:r>
          </w:p>
        </w:tc>
      </w:tr>
    </w:tbl>
    <w:p>
      <w:r>
        <w:br w:type="page"/>
      </w:r>
    </w:p>
    <w:bookmarkEnd w:id="27"/>
    <w:bookmarkStart w:id="28" w:name="risk-register"/>
    <w:p>
      <w:pPr>
        <w:pStyle w:val="Heading1"/>
      </w:pPr>
      <w:r>
        <w:t xml:space="preserve">5. Risk register</w:t>
      </w:r>
    </w:p>
    <w:p>
      <w:pPr>
        <w:pStyle w:val="FirstParagraph"/>
      </w:pPr>
      <w:r>
        <w:t xml:space="preserve">Likelihood (L) and impact (I): 1 low – 3 high; score = L × I.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RK-01</w:t>
            </w:r>
          </w:p>
        </w:tc>
        <w:tc>
          <w:tcPr/>
          <w:p>
            <w:pPr>
              <w:pStyle w:val="Compact"/>
            </w:pPr>
            <w:r>
              <w:t xml:space="preserve">Database rule change breaks a role’s access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278 SQL checks; re-runnable files; backup before paste</w:t>
            </w:r>
          </w:p>
        </w:tc>
        <w:tc>
          <w:tcPr/>
          <w:p>
            <w:pPr>
              <w:pStyle w:val="Compact"/>
            </w:pPr>
            <w:r>
              <w:t xml:space="preserve">Technical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RK-02</w:t>
            </w:r>
          </w:p>
        </w:tc>
        <w:tc>
          <w:tcPr/>
          <w:p>
            <w:pPr>
              <w:pStyle w:val="Compact"/>
            </w:pPr>
            <w:r>
              <w:t xml:space="preserve">Internet or Supabase outage during the games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Paper score sheets as fallback; enter results afterwards; status page monitoring</w:t>
            </w:r>
          </w:p>
        </w:tc>
        <w:tc>
          <w:tcPr/>
          <w:p>
            <w:pPr>
              <w:pStyle w:val="Compact"/>
            </w:pPr>
            <w:r>
              <w:t xml:space="preserve">Salingkusog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RK-03</w:t>
            </w:r>
          </w:p>
        </w:tc>
        <w:tc>
          <w:tcPr/>
          <w:p>
            <w:pPr>
              <w:pStyle w:val="Compact"/>
            </w:pPr>
            <w:r>
              <w:t xml:space="preserve">Wrong official result published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Medals need staff confirmation; corrections recompute the tally; audit of team</w:t>
            </w:r>
          </w:p>
        </w:tc>
        <w:tc>
          <w:tcPr/>
          <w:p>
            <w:pPr>
              <w:pStyle w:val="Compact"/>
            </w:pPr>
            <w:r>
              <w:t xml:space="preserve">Managing Editor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RK-04</w:t>
            </w:r>
          </w:p>
        </w:tc>
        <w:tc>
          <w:tcPr/>
          <w:p>
            <w:pPr>
              <w:pStyle w:val="Compact"/>
            </w:pPr>
            <w:r>
              <w:t xml:space="preserve">Admin account compromised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Invite-only; deactivate quickly; MFA recommended (R-03)</w:t>
            </w:r>
          </w:p>
        </w:tc>
        <w:tc>
          <w:tcPr/>
          <w:p>
            <w:pPr>
              <w:pStyle w:val="Compact"/>
            </w:pPr>
            <w:r>
              <w:t xml:space="preserve">Super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RK-05</w:t>
            </w:r>
          </w:p>
        </w:tc>
        <w:tc>
          <w:tcPr/>
          <w:p>
            <w:pPr>
              <w:pStyle w:val="Compact"/>
            </w:pPr>
            <w:r>
              <w:t xml:space="preserve">Free-tier limits exceeded during peak traffic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Edge cache; CDN; monitor usage [TO CONFIRM plan limits]</w:t>
            </w:r>
          </w:p>
        </w:tc>
        <w:tc>
          <w:tcPr/>
          <w:p>
            <w:pPr>
              <w:pStyle w:val="Compact"/>
            </w:pPr>
            <w:r>
              <w:t xml:space="preserve">Technical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RK-06</w:t>
            </w:r>
          </w:p>
        </w:tc>
        <w:tc>
          <w:tcPr/>
          <w:p>
            <w:pPr>
              <w:pStyle w:val="Compact"/>
            </w:pPr>
            <w:r>
              <w:t xml:space="preserve">Knowledge loss when developers graduate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This documentation; developer guide; simple stack</w:t>
            </w:r>
          </w:p>
        </w:tc>
        <w:tc>
          <w:tcPr/>
          <w:p>
            <w:pPr>
              <w:pStyle w:val="Compact"/>
            </w:pPr>
            <w:r>
              <w:t xml:space="preserve">Adviser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RK-07</w:t>
            </w:r>
          </w:p>
        </w:tc>
        <w:tc>
          <w:tcPr/>
          <w:p>
            <w:pPr>
              <w:pStyle w:val="Compact"/>
            </w:pPr>
            <w:r>
              <w:t xml:space="preserve">No CI lets a regression reach production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Gates in workflow; add CI (R-05)</w:t>
            </w:r>
          </w:p>
        </w:tc>
        <w:tc>
          <w:tcPr/>
          <w:p>
            <w:pPr>
              <w:pStyle w:val="Compact"/>
            </w:pPr>
            <w:r>
              <w:t xml:space="preserve">Technical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RK-08</w:t>
            </w:r>
          </w:p>
        </w:tc>
        <w:tc>
          <w:tcPr/>
          <w:p>
            <w:pPr>
              <w:pStyle w:val="Compact"/>
            </w:pPr>
            <w:r>
              <w:t xml:space="preserve">Privacy complaint about published athlete data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Minimal data; consent for photos; update</w:t>
            </w:r>
            <w:r>
              <w:t xml:space="preserve"> </w:t>
            </w:r>
            <w:r>
              <w:rPr>
                <w:rStyle w:val="VerbatimChar"/>
              </w:rPr>
              <w:t xml:space="preserve">/privacy</w:t>
            </w:r>
            <w:r>
              <w:t xml:space="preserve"> </w:t>
            </w:r>
            <w:r>
              <w:t xml:space="preserve">(R-10, R-12)</w:t>
            </w:r>
          </w:p>
        </w:tc>
        <w:tc>
          <w:tcPr/>
          <w:p>
            <w:pPr>
              <w:pStyle w:val="Compact"/>
            </w:pPr>
            <w:r>
              <w:t xml:space="preserve">Executive Editor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RK-09</w:t>
            </w:r>
          </w:p>
        </w:tc>
        <w:tc>
          <w:tcPr/>
          <w:p>
            <w:pPr>
              <w:pStyle w:val="Compact"/>
            </w:pPr>
            <w:r>
              <w:t xml:space="preserve">Spam on public forms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Turnstile, rate limits, moderation</w:t>
            </w:r>
          </w:p>
        </w:tc>
        <w:tc>
          <w:tcPr/>
          <w:p>
            <w:pPr>
              <w:pStyle w:val="Compact"/>
            </w:pPr>
            <w:r>
              <w:t xml:space="preserve">Editors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RK-10</w:t>
            </w:r>
          </w:p>
        </w:tc>
        <w:tc>
          <w:tcPr/>
          <w:p>
            <w:pPr>
              <w:pStyle w:val="Compact"/>
            </w:pPr>
            <w:r>
              <w:t xml:space="preserve">Vendor lock-in (Supabase/Vercel)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Plain PostgreSQL schema; standard React app</w:t>
            </w:r>
          </w:p>
        </w:tc>
        <w:tc>
          <w:tcPr/>
          <w:p>
            <w:pPr>
              <w:pStyle w:val="Compact"/>
            </w:pPr>
            <w:r>
              <w:t xml:space="preserve">Technical lead</w:t>
            </w:r>
          </w:p>
        </w:tc>
      </w:tr>
    </w:tbl>
    <w:bookmarkEnd w:id="28"/>
    <w:bookmarkStart w:id="29" w:name="cost-and-resources"/>
    <w:p>
      <w:pPr>
        <w:pStyle w:val="Heading1"/>
      </w:pPr>
      <w:r>
        <w:t xml:space="preserve">6. Cost and resources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</w:t>
            </w:r>
          </w:p>
        </w:tc>
        <w:tc>
          <w:tcPr/>
          <w:p>
            <w:pPr>
              <w:pStyle w:val="Compact"/>
            </w:pPr>
            <w:r>
              <w:t xml:space="preserve">Database, Auth, Storage, Realtime</w:t>
            </w:r>
          </w:p>
        </w:tc>
        <w:tc>
          <w:tcPr/>
          <w:p>
            <w:pPr>
              <w:pStyle w:val="Compact"/>
            </w:pPr>
            <w:r>
              <w:t xml:space="preserve">[TO CONFIRM plan and monthly cost]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Hosting, functions</w:t>
            </w:r>
          </w:p>
        </w:tc>
        <w:tc>
          <w:tcPr/>
          <w:p>
            <w:pPr>
              <w:pStyle w:val="Compact"/>
            </w:pPr>
            <w:r>
              <w:t xml:space="preserve">[TO CONFIRM plan]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Cloudflare Turnstile</w:t>
            </w:r>
          </w:p>
        </w:tc>
        <w:tc>
          <w:tcPr/>
          <w:p>
            <w:pPr>
              <w:pStyle w:val="Compact"/>
            </w:pPr>
            <w:r>
              <w:t xml:space="preserve">CAPTCHA</w:t>
            </w:r>
          </w:p>
        </w:tc>
        <w:tc>
          <w:tcPr/>
          <w:p>
            <w:pPr>
              <w:pStyle w:val="Compact"/>
            </w:pPr>
            <w:r>
              <w:t xml:space="preserve">Free 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[TO CONFIRM]</w:t>
            </w:r>
          </w:p>
        </w:tc>
        <w:tc>
          <w:tcPr/>
          <w:p>
            <w:pPr>
              <w:pStyle w:val="Compact"/>
            </w:pPr>
            <w:r>
              <w:t xml:space="preserve">[TO CONFIRM]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</w:t>
            </w:r>
          </w:p>
        </w:tc>
        <w:tc>
          <w:tcPr/>
          <w:p>
            <w:pPr>
              <w:pStyle w:val="Compact"/>
            </w:pPr>
            <w:r>
              <w:t xml:space="preserve">Open-source libraries (MIT/Apache licences)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People</w:t>
            </w:r>
          </w:p>
        </w:tc>
        <w:tc>
          <w:tcPr/>
          <w:p>
            <w:pPr>
              <w:pStyle w:val="Compact"/>
            </w:pPr>
            <w:r>
              <w:t xml:space="preserve">Developer(s), editorial reviewers, adviser</w:t>
            </w:r>
          </w:p>
        </w:tc>
        <w:tc>
          <w:tcPr/>
          <w:p>
            <w:pPr>
              <w:pStyle w:val="Compact"/>
            </w:pPr>
            <w:r>
              <w:t xml:space="preserve">[TO CONFIRM]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Hardware</w:t>
            </w:r>
          </w:p>
        </w:tc>
        <w:tc>
          <w:tcPr/>
          <w:p>
            <w:pPr>
              <w:pStyle w:val="Compact"/>
            </w:pPr>
            <w:r>
              <w:t xml:space="preserve">Personal laptops and phones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bookmarkEnd w:id="29"/>
    <w:bookmarkStart w:id="30" w:name="change-log"/>
    <w:p>
      <w:pPr>
        <w:pStyle w:val="Heading1"/>
      </w:pPr>
      <w:r>
        <w:t xml:space="preserve">7. Change log</w:t>
      </w:r>
    </w:p>
    <w:p>
      <w:pPr>
        <w:pStyle w:val="FirstParagraph"/>
      </w:pPr>
      <w:r>
        <w:t xml:space="preserve">Merged branches by date (from</w:t>
      </w:r>
      <w:r>
        <w:t xml:space="preserve"> </w:t>
      </w:r>
      <w:r>
        <w:rPr>
          <w:rStyle w:val="VerbatimChar"/>
        </w:rPr>
        <w:t xml:space="preserve">git log --merges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Merged into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2026-04-12/13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feature/article-card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feature/article-details-page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feature/db-v2-schema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feature/tooling-design-system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feature/auth-staff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feature/public-shell-home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feature/section-pages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feature/article-page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feature/search-archives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feature/submissions-contact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feature/cms-shell-dashboard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feature/cms-article-editor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feature/cms-editorial-workflow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feature/cms-media-library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feature/cms-people-board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feature/cms-site-settings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feature/seo-sharing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feature/v2-polish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feature/upgrade-tiptap-3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feature/upgrade-vite-7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feature/perf-pass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feature/salingkusog-db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feature/salingkusog-team-access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feature/salingkusog-cms-setup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fix/router-test-timeout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content/media-organization-copy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docs/phase2-plan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docs/release-pr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feature/salingkusog-scorekeeper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-medal-tally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-schedule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-winners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-factions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-sports-bracket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-match-recap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-venues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-countdown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feature/sports-landing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feature/countdown-launch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feature/countdown-redesign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feature/nav-more-menu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feature/section-news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-feature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-literary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-blogs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-specials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-views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-science-technology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-investigative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-explainer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-bulletin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-stories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feature/statistics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feature/brand-tokens-fonts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-header-footer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-header-tagline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-components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-pages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-lime-hover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feature/literary-folio-photo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feature/logo-loader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perf/edge-cache-images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fix/nested-dialog-close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fix/server-esm-imports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fix/sk-more-categories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docs/pr-track-a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docs/stats-vercel-analytics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docs/track-b-wrapup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feature/sk-chart-animations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feature/sk-points-race-ranges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feature/publish-permissions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fix/security-hardening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feature/sk-official-tally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feature/turnstile-captcha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feature/sk-auto-brackets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feature/sk-contests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fix/build-schedule-individual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fix/pre-release-polish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docs/pr-brand-2026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docs/pr-auto-brackets</w:t>
            </w:r>
          </w:p>
        </w:tc>
      </w:tr>
    </w:tbl>
    <w:p>
      <w:pPr>
        <w:pStyle w:val="BodyText"/>
      </w:pPr>
      <w:r>
        <w:t xml:space="preserve">Releases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: pull requests #1, #2, #4, #5 and #6 (merge commits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); #6 released everything up to commit</w:t>
      </w:r>
      <w:r>
        <w:t xml:space="preserve"> </w:t>
      </w:r>
      <w:r>
        <w:rPr>
          <w:rStyle w:val="VerbatimChar"/>
        </w:rPr>
        <w:t xml:space="preserve">d7f6f34</w:t>
      </w:r>
      <w:r>
        <w:t xml:space="preserve">.</w:t>
      </w:r>
    </w:p>
    <w:bookmarkEnd w:id="30"/>
    <w:bookmarkStart w:id="31" w:name="lessons-learned"/>
    <w:p>
      <w:pPr>
        <w:pStyle w:val="Heading1"/>
      </w:pPr>
      <w:r>
        <w:t xml:space="preserve">8. Lessons learned</w:t>
      </w:r>
    </w:p>
    <w:p>
      <w:pPr>
        <w:pStyle w:val="Compact"/>
        <w:numPr>
          <w:ilvl w:val="0"/>
          <w:numId w:val="1002"/>
        </w:numPr>
      </w:pPr>
      <w:r>
        <w:t xml:space="preserve">Putting rules in the database made late changes (Business Manager role, publishing access) safe: one helper, tests, done.</w:t>
      </w:r>
    </w:p>
    <w:p>
      <w:pPr>
        <w:pStyle w:val="Compact"/>
        <w:numPr>
          <w:ilvl w:val="0"/>
          <w:numId w:val="1002"/>
        </w:numPr>
      </w:pPr>
      <w:r>
        <w:t xml:space="preserve">Re-runnable SQL removed deployment fear but requires discipline about order when access is narrowed.</w:t>
      </w:r>
    </w:p>
    <w:p>
      <w:pPr>
        <w:pStyle w:val="Compact"/>
        <w:numPr>
          <w:ilvl w:val="0"/>
          <w:numId w:val="1002"/>
        </w:numPr>
      </w:pPr>
      <w:r>
        <w:t xml:space="preserve">Fixture screens (</w:t>
      </w:r>
      <w:r>
        <w:rPr>
          <w:rStyle w:val="VerbatimChar"/>
        </w:rPr>
        <w:t xml:space="preserve">/dev</w:t>
      </w:r>
      <w:r>
        <w:t xml:space="preserve">) let design and accessibility be checked without real data.</w:t>
      </w:r>
    </w:p>
    <w:p>
      <w:pPr>
        <w:pStyle w:val="Compact"/>
        <w:numPr>
          <w:ilvl w:val="0"/>
          <w:numId w:val="1002"/>
        </w:numPr>
      </w:pPr>
      <w:r>
        <w:t xml:space="preserve">A short pre-release review found real gaps (game form, schedule dates) that tests had not.</w:t>
      </w:r>
    </w:p>
    <w:bookmarkEnd w:id="31"/>
    <w:sectPr>
      <w:headerReference r:id="rId9" w:type="default"/>
      <w:footerReference r:id="rId10" w:type="default"/>
      <w:footnotePr>
        <w:numRestart w:val="eachSect"/>
      </w:footnotePr>
      <w:pgSz w:h="16838" w:w="11906"/>
      <w:pgMar w:bottom="1134" w:left="1247" w:right="1247" w:top="124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058"/>
        <w:sz w:val="16"/>
      </w:rPr>
      <w:t xml:space="preserve">Page </w:t>
    </w:r>
    <w:r>
      <w:rPr>
        <w:color w:val="556058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56058"/>
        <w:sz w:val="16"/>
      </w:rPr>
      <w:t>Amaranth v2 — Visayas State University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</w:pPr>
    <w:rPr>
      <w:rFonts w:ascii="Arial" w:cs="Arial" w:eastAsia="Arial" w:hAnsi="Arial"/>
      <w:color w:val="111A14"/>
      <w:sz w:val="21"/>
    </w:rPr>
  </w:style>
  <w:style w:styleId="BodyText" w:type="paragraph">
    <w:name w:val="Body Text"/>
    <w:basedOn w:val="Normal"/>
    <w:link w:val="BodyTextChar"/>
    <w:qFormat/>
    <w:pPr>
      <w:spacing w:after="120" w:before="180" w:line="276" w:lineRule="auto"/>
    </w:pPr>
    <w:rPr>
      <w:rFonts w:ascii="Arial" w:cs="Arial" w:eastAsia="Arial" w:hAnsi="Arial"/>
      <w:color w:val="111A14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line="276" w:lineRule="auto"/>
    </w:pPr>
    <w:rPr>
      <w:rFonts w:ascii="Arial" w:cs="Arial" w:eastAsia="Arial" w:hAnsi="Arial"/>
      <w:color w:val="111A14"/>
      <w:sz w:val="21"/>
    </w:rPr>
  </w:style>
  <w:style w:customStyle="1" w:styleId="Compact" w:type="paragraph">
    <w:name w:val="Compact"/>
    <w:basedOn w:val="BodyText"/>
    <w:qFormat/>
    <w:pPr>
      <w:spacing w:after="120" w:before="36" w:line="276" w:lineRule="auto"/>
    </w:pPr>
    <w:rPr>
      <w:rFonts w:ascii="Arial" w:cs="Arial" w:eastAsia="Arial" w:hAnsi="Arial"/>
      <w:color w:val="111A14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before="3200" w:line="240" w:lineRule="auto"/>
      <w:contextualSpacing/>
      <w:jc w:val="center"/>
    </w:pPr>
    <w:rPr>
      <w:rFonts w:ascii="Arial" w:cs="Arial" w:eastAsia="Arial" w:hAnsi="Arial"/>
      <w:b/>
      <w:color w:val="14361F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="Arial" w:eastAsia="Arial" w:hAnsi="Arial"/>
      <w:color w:val="3F6A00"/>
      <w:spacing w:val="15"/>
      <w:sz w:val="30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Arial" w:cs="Arial" w:eastAsia="Arial" w:hAnsi="Arial"/>
      <w:color w:val="556058"/>
      <w:sz w:val="22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Arial" w:cs="Arial" w:eastAsia="Arial" w:hAnsi="Arial"/>
      <w:color w:val="556058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 w:val="0"/>
      <w:spacing w:after="120" w:before="320"/>
      <w:outlineLvl w:val="0"/>
    </w:pPr>
    <w:rPr>
      <w:rFonts w:ascii="Arial" w:cs="Arial" w:eastAsia="Arial" w:hAnsi="Arial"/>
      <w:b/>
      <w:color w:val="14361F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/>
      <w:outlineLvl w:val="1"/>
    </w:pPr>
    <w:rPr>
      <w:rFonts w:ascii="Arial" w:cs="Arial" w:eastAsia="Arial" w:hAnsi="Arial"/>
      <w:b/>
      <w:color w:val="14361F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/>
      <w:outlineLvl w:val="2"/>
    </w:pPr>
    <w:rPr>
      <w:rFonts w:ascii="Arial" w:cs="Arial" w:eastAsia="Arial" w:hAnsi="Arial"/>
      <w:b/>
      <w:color w:val="3F6A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240"/>
      <w:outlineLvl w:val="3"/>
    </w:pPr>
    <w:rPr>
      <w:rFonts w:ascii="Arial" w:cs="Arial" w:eastAsia="Arial" w:hAnsi="Arial"/>
      <w:b/>
      <w:i/>
      <w:iCs/>
      <w:color w:val="14361F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  <w:color w:val="556058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  <w:color w:val="111A14"/>
      <w:sz w:val="19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3CB" w:space="0" w:sz="4" w:val="single"/>
        <w:left w:color="C9D3CB" w:space="0" w:sz="4" w:val="single"/>
        <w:bottom w:color="C9D3CB" w:space="0" w:sz="4" w:val="single"/>
        <w:right w:color="C9D3CB" w:space="0" w:sz="4" w:val="single"/>
        <w:insideH w:color="C9D3CB" w:space="0" w:sz="4" w:val="single"/>
        <w:insideV w:color="C9D3CB" w:space="0" w:sz="4" w:val="single"/>
      </w:tblBorders>
      <w:tblCellMar>
        <w:left w:type="dxa" w:w="80"/>
        <w:right w:type="dxa" w:w="80"/>
        <w:top w:type="dxa" w:w="30"/>
        <w:bottom w:type="dxa" w:w="30"/>
      </w:tblCellMar>
    </w:tblPr>
    <w:tblStylePr w:type="firstRow">
      <w:tcPr>
        <w:tcBorders>
          <w:bottom w:val="single"/>
        </w:tcBorders>
        <w:vAlign w:val="bottom"/>
      </w:tcPr>
    </w:tblStylePr>
    <w:tblStylePr w:type="firstRow">
      <w:rPr>
        <w:b/>
        <w:color w:val="14361F"/>
      </w:rPr>
      <w:tcPr>
        <w:shd w:color="auto" w:fill="E8F1E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  <w:color w:val="556058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  <w:i/>
      <w:color w:val="556058"/>
      <w:sz w:val="18"/>
    </w:rPr>
  </w:style>
  <w:style w:customStyle="1" w:styleId="ImageCaption" w:type="paragraph">
    <w:name w:val="Image Caption"/>
    <w:basedOn w:val="Caption"/>
    <w:rPr>
      <w:rFonts w:ascii="Arial" w:cs="Arial" w:eastAsia="Arial" w:hAnsi="Arial"/>
      <w:i/>
      <w:color w:val="556058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111A14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Management Documents</dc:title>
  <dc:creator/>
  <cp:keywords/>
  <dcterms:created xsi:type="dcterms:W3CDTF">2026-10-19T00:24:33Z</dcterms:created>
  <dcterms:modified xsi:type="dcterms:W3CDTF">2026-10-19T00:24:33Z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2026-10-19</vt:lpwstr>
  </property>
  <property fmtid="{D5CDD505-2E9C-101B-9397-08002B2CF9AE}" pid="3" name="subtitle">
    <vt:lpwstr>Amaranth v2 — WBS, timeline, risks, resources and change log</vt:lpwstr>
  </property>
  <property fmtid="{D5CDD505-2E9C-101B-9397-08002B2CF9AE}" pid="4" name="version">
    <vt:lpwstr>1.0</vt:lpwstr>
  </property>
</Properties>
</file>