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需求审查一页纸</w:t>
      </w:r>
    </w:p>
    <w:p>
      <w:pPr>
        <w:spacing w:after="90" w:line="290"/>
      </w:pPr>
      <w:r>
        <w:rPr>
          <w:b/>
          <w:bCs/>
        </w:rPr>
        <w:t xml:space="preserve">项目</w:t>
      </w:r>
      <w:r>
        <w:t xml:space="preserve">：基于计算机视觉的智能机械臂垃圾分拣与管理系统。Atlas 200I DK A2（昇腾 310B NPU）+ Dofbot 六舵机机械臂 + 腕部单目相机。</w:t>
      </w:r>
    </w:p>
    <w:p>
      <w:pPr>
        <w:spacing w:after="90" w:line="290"/>
      </w:pPr>
      <w:r>
        <w:rPr>
          <w:b/>
          <w:bCs/>
        </w:rPr>
        <w:t xml:space="preserve">① 做什么</w:t>
      </w:r>
      <w:r>
        <w:t xml:space="preserve">：相机看到 → 算坐标 → 臂动 → 抓起并投放 → 记录。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7644"/>
      </w:tblGrid>
      <w:tr>
        <w:trPr>
          <w:cantSplit/>
          <w:tblHeader/>
        </w:trPr>
        <w:tc>
          <w:tcPr>
            <w:tcW w:type="dxa" w:w="19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档</w:t>
            </w:r>
          </w:p>
        </w:tc>
        <w:tc>
          <w:tcPr>
            <w:tcW w:type="dxa" w:w="764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必做 5 项</w:t>
            </w:r>
          </w:p>
        </w:tc>
        <w:tc>
          <w:tcPr>
            <w:tcW w:type="dxa" w:w="764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B1 YOLO 检测 · B2 抓取与定点投放 · B3 Web 运行日志 · B4 兜底机制 · B5 实体容器投放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排期内 12 项</w:t>
            </w:r>
          </w:p>
        </w:tc>
        <w:tc>
          <w:tcPr>
            <w:tcW w:type="dxa" w:w="764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Web 控制面板、三种模式、导出、定时、声光反馈、堵转保护；手势+表情、语音、多端访问；溢满检测、就近优先、未知物体告警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备选 2 项</w:t>
            </w:r>
          </w:p>
        </w:tc>
        <w:tc>
          <w:tcPr>
            <w:tcW w:type="dxa" w:w="764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堆叠优先抓取、自动搭积木塔（需要更新抓取模型，不排期）</w:t>
            </w:r>
          </w:p>
        </w:tc>
      </w:tr>
    </w:tbl>
    <w:p>
      <w:pPr>
        <w:spacing w:after="45"/>
      </w:pPr>
    </w:p>
    <w:p>
      <w:pPr>
        <w:spacing w:after="90" w:line="290"/>
      </w:pPr>
      <w:r>
        <w:rPr>
          <w:b/>
          <w:bCs/>
        </w:rPr>
        <w:t xml:space="preserve">② 不做什么</w:t>
      </w:r>
      <w:r>
        <w:t xml:space="preserve">：多机协同；</w:t>
      </w:r>
      <w:r>
        <w:rPr>
          <w:b/>
          <w:bCs/>
        </w:rPr>
        <w:t xml:space="preserve">压力传感（想要但放弃）</w:t>
      </w:r>
      <w:r>
        <w:t xml:space="preserve">；</w:t>
      </w:r>
      <w:r>
        <w:rPr>
          <w:b/>
          <w:bCs/>
        </w:rPr>
        <w:t xml:space="preserve">自动翻面（想要但放弃）</w:t>
      </w:r>
      <w:r>
        <w:t xml:space="preserve">；自动避障；不同形状的抓取优先级；非方块真实垃圾；深度相机。</w:t>
      </w:r>
    </w:p>
    <w:p>
      <w:pPr>
        <w:spacing w:after="90" w:line="290"/>
      </w:pPr>
      <w:r>
        <w:rPr>
          <w:b/>
          <w:bCs/>
        </w:rPr>
        <w:t xml:space="preserve">③ 验收指标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8"/>
        <w:gridCol w:w="4389"/>
        <w:gridCol w:w="4391"/>
      </w:tblGrid>
      <w:tr>
        <w:trPr>
          <w:cantSplit/>
          <w:tblHeader/>
        </w:trPr>
        <w:tc>
          <w:tcPr>
            <w:tcW w:type="dxa" w:w="85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438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验收线</w:t>
            </w:r>
          </w:p>
        </w:tc>
        <w:tc>
          <w:tcPr>
            <w:tcW w:type="dxa" w:w="43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现状</w:t>
            </w:r>
          </w:p>
        </w:tc>
      </w:tr>
      <w:tr>
        <w:trPr>
          <w:cantSplit/>
        </w:trPr>
        <w:tc>
          <w:tcPr>
            <w:tcW w:type="dxa" w:w="85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B1 识别</w:t>
            </w:r>
          </w:p>
        </w:tc>
        <w:tc>
          <w:tcPr>
            <w:tcW w:type="dxa" w:w="438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mAP@0.5</w:t>
            </w:r>
            <w:r>
              <w:rPr>
                <w:sz w:val="19"/>
                <w:szCs w:val="19"/>
              </w:rPr>
              <w:t xml:space="preserve"> ≥ 0.90；NPU 单帧 ≤ 50 ms</w:t>
            </w:r>
          </w:p>
        </w:tc>
        <w:tc>
          <w:tcPr>
            <w:tcW w:type="dxa" w:w="43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0.952；12.9 ms</w:t>
            </w:r>
            <w:r>
              <w:rPr>
                <w:sz w:val="19"/>
                <w:szCs w:val="19"/>
              </w:rPr>
              <w:t xml:space="preserve">（已实测）</w:t>
            </w:r>
          </w:p>
        </w:tc>
      </w:tr>
      <w:tr>
        <w:trPr>
          <w:cantSplit/>
        </w:trPr>
        <w:tc>
          <w:tcPr>
            <w:tcW w:type="dxa" w:w="85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B2 分拣</w:t>
            </w:r>
          </w:p>
        </w:tc>
        <w:tc>
          <w:tcPr>
            <w:tcW w:type="dxa" w:w="438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离基座 13–28 cm 任意位置；连续 10 轮 ≥ 8 轮四块全中；单块 ≤ 30 s</w:t>
            </w:r>
          </w:p>
        </w:tc>
        <w:tc>
          <w:tcPr>
            <w:tcW w:type="dxa" w:w="43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最好一轮 </w:t>
            </w:r>
            <w:r>
              <w:rPr>
                <w:b/>
                <w:bCs/>
                <w:sz w:val="19"/>
                <w:szCs w:val="19"/>
              </w:rPr>
              <w:t xml:space="preserve">4/4</w:t>
            </w:r>
            <w:r>
              <w:rPr>
                <w:sz w:val="19"/>
                <w:szCs w:val="19"/>
              </w:rPr>
              <w:t xml:space="preserve">、整轮 </w:t>
            </w:r>
            <w:r>
              <w:rPr>
                <w:b/>
                <w:bCs/>
                <w:sz w:val="19"/>
                <w:szCs w:val="19"/>
              </w:rPr>
              <w:t xml:space="preserve">99 s</w:t>
            </w:r>
            <w:r>
              <w:rPr>
                <w:sz w:val="19"/>
                <w:szCs w:val="19"/>
              </w:rPr>
              <w:t xml:space="preserve">、单块 </w:t>
            </w:r>
            <w:r>
              <w:rPr>
                <w:b/>
                <w:bCs/>
                <w:sz w:val="19"/>
                <w:szCs w:val="19"/>
              </w:rPr>
              <w:t xml:space="preserve">22 s</w:t>
            </w:r>
            <w:r>
              <w:rPr>
                <w:sz w:val="19"/>
                <w:szCs w:val="19"/>
              </w:rPr>
              <w:t xml:space="preserve">；成功率样本不足</w:t>
            </w:r>
          </w:p>
        </w:tc>
      </w:tr>
      <w:tr>
        <w:trPr>
          <w:cantSplit/>
        </w:trPr>
        <w:tc>
          <w:tcPr>
            <w:tcW w:type="dxa" w:w="85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B3 前端</w:t>
            </w:r>
          </w:p>
        </w:tc>
        <w:tc>
          <w:tcPr>
            <w:tcW w:type="dxa" w:w="438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 个页面；事件写入到展示 ≤ 1 s；每条 6 个字段</w:t>
            </w:r>
          </w:p>
        </w:tc>
        <w:tc>
          <w:tcPr>
            <w:tcW w:type="dxa" w:w="43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未开始</w:t>
            </w:r>
          </w:p>
        </w:tc>
      </w:tr>
      <w:tr>
        <w:trPr>
          <w:cantSplit/>
        </w:trPr>
        <w:tc>
          <w:tcPr>
            <w:tcW w:type="dxa" w:w="85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B4 兜底</w:t>
            </w:r>
          </w:p>
        </w:tc>
        <w:tc>
          <w:tcPr>
            <w:tcW w:type="dxa" w:w="438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连续 10 轮无人工干预；单次失败处理 ≤ 5 s；四类失败全覆盖</w:t>
            </w:r>
          </w:p>
        </w:tc>
        <w:tc>
          <w:tcPr>
            <w:tcW w:type="dxa" w:w="43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7 条失败路径已实现并有测试，未量化</w:t>
            </w:r>
          </w:p>
        </w:tc>
      </w:tr>
      <w:tr>
        <w:trPr>
          <w:cantSplit/>
        </w:trPr>
        <w:tc>
          <w:tcPr>
            <w:tcW w:type="dxa" w:w="85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B5 容器</w:t>
            </w:r>
          </w:p>
        </w:tc>
        <w:tc>
          <w:tcPr>
            <w:tcW w:type="dxa" w:w="438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开口 ≥ 8 cm；连续 10 轮 ≥ 8 轮全部落入正确容器；0 次碰倒</w:t>
            </w:r>
          </w:p>
        </w:tc>
        <w:tc>
          <w:tcPr>
            <w:tcW w:type="dxa" w:w="43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未到货</w:t>
            </w:r>
          </w:p>
        </w:tc>
      </w:tr>
    </w:tbl>
    <w:p>
      <w:pPr>
        <w:spacing w:after="45"/>
      </w:pPr>
    </w:p>
    <w:p>
      <w:pPr>
        <w:spacing w:after="90" w:line="290"/>
      </w:pPr>
      <w:r>
        <w:rPr>
          <w:b/>
          <w:bCs/>
        </w:rPr>
        <w:t xml:space="preserve">④ 接口契约</w:t>
      </w:r>
      <w:r>
        <w:t xml:space="preserve">：感知 → 执行 </w:t>
      </w:r>
      <w:r>
        <w:rPr>
          <w:rFonts w:ascii="Menlo" w:cs="Menlo" w:eastAsia="PingFang SC" w:hAnsi="Menlo"/>
          <w:sz w:val="19"/>
          <w:szCs w:val="19"/>
        </w:rPr>
        <w:t xml:space="preserve">scene.json</w:t>
      </w:r>
      <w:r>
        <w:t xml:space="preserve">（块中心 cm、朝向 度、类别）；执行 → 前端 </w:t>
      </w:r>
      <w:r>
        <w:rPr>
          <w:rFonts w:ascii="Menlo" w:cs="Menlo" w:eastAsia="PingFang SC" w:hAnsi="Menlo"/>
          <w:sz w:val="19"/>
          <w:szCs w:val="19"/>
        </w:rPr>
        <w:t xml:space="preserve">log.jsonl</w:t>
      </w:r>
      <w:r>
        <w:t xml:space="preserve">（时间 秒、事件、来源坐标 cm、容器、耗时 秒、夹爪回读 度）；前端 → 执行 控制指令 JSON（</w:t>
      </w:r>
      <w:r>
        <w:rPr>
          <w:rFonts w:ascii="Menlo" w:cs="Menlo" w:eastAsia="PingFang SC" w:hAnsi="Menlo"/>
          <w:sz w:val="19"/>
          <w:szCs w:val="19"/>
        </w:rPr>
        <w:t xml:space="preserve">cmd</w:t>
      </w:r>
      <w:r>
        <w:t xml:space="preserve">、</w:t>
      </w:r>
      <w:r>
        <w:rPr>
          <w:rFonts w:ascii="Menlo" w:cs="Menlo" w:eastAsia="PingFang SC" w:hAnsi="Menlo"/>
          <w:sz w:val="19"/>
          <w:szCs w:val="19"/>
        </w:rPr>
        <w:t xml:space="preserve">joints_deg</w:t>
      </w:r>
      <w:r>
        <w:t xml:space="preserve"> 度、</w:t>
      </w:r>
      <w:r>
        <w:rPr>
          <w:rFonts w:ascii="Menlo" w:cs="Menlo" w:eastAsia="PingFang SC" w:hAnsi="Menlo"/>
          <w:sz w:val="19"/>
          <w:szCs w:val="19"/>
        </w:rPr>
        <w:t xml:space="preserve">target_cm</w:t>
      </w:r>
      <w:r>
        <w:t xml:space="preserve"> 厘米）。前端只读 </w:t>
      </w:r>
      <w:r>
        <w:rPr>
          <w:rFonts w:ascii="Menlo" w:cs="Menlo" w:eastAsia="PingFang SC" w:hAnsi="Menlo"/>
          <w:sz w:val="19"/>
          <w:szCs w:val="19"/>
        </w:rPr>
        <w:t xml:space="preserve">log.jsonl</w:t>
      </w:r>
      <w:r>
        <w:t xml:space="preserve">，不依赖机械臂在线。</w:t>
      </w:r>
    </w:p>
    <w:p>
      <w:pPr>
        <w:spacing w:after="90" w:line="290"/>
      </w:pPr>
      <w:r>
        <w:rPr>
          <w:b/>
          <w:bCs/>
        </w:rPr>
        <w:t xml:space="preserve">⑤ 已知风险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卡在哪</w:t>
            </w:r>
          </w:p>
        </w:tc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替代方案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近端带（y ≤ 13 cm）横向偏约 2 cm，一块连续两次夹空</w:t>
            </w:r>
          </w:p>
        </w:tc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抓前下探核对高度；仍不稳则工作区收缩到 y ≥ 13 cm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夹爪舵机忽略大跨度指令，22 次里 6 次</w:t>
            </w:r>
          </w:p>
        </w:tc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先夹，回读没动再唤醒重试，最多 3 次，仍失败跳过并记日志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坐标与时钟错位：下探曾偏高 0.8 cm；板卡时钟快 8 小时</w:t>
            </w:r>
          </w:p>
        </w:tc>
        <w:tc>
          <w:tcPr>
            <w:tcW w:type="dxa" w:w="481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高度以触碰标定为准，相机只给 x/y；延迟用同一设备时钟测</w:t>
            </w:r>
          </w:p>
        </w:tc>
      </w:tr>
    </w:tbl>
    <w:p>
      <w:pPr>
        <w:spacing w:after="45"/>
      </w:pPr>
    </w:p>
    <w:p>
      <w:pPr>
        <w:spacing w:after="90" w:line="290"/>
      </w:pPr>
      <w:r>
        <w:rPr>
          <w:b/>
          <w:bCs/>
        </w:rPr>
        <w:t xml:space="preserve">排期</w:t>
      </w:r>
      <w:r>
        <w:t xml:space="preserve">：10.23 前端与控制面板 → 11.6 容器联调与兜底量化 → </w:t>
      </w:r>
      <w:r>
        <w:rPr>
          <w:b/>
          <w:bCs/>
        </w:rPr>
        <w:t xml:space="preserve">11.13 中期展示必做 5 项全部可演示</w:t>
      </w:r>
      <w:r>
        <w:t xml:space="preserve"> → 12.18 冻结 → 12.25 答辩。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20"/>
      </w:pPr>
    </w:lvl>
    <w:lvl w:ilvl="1" w:tentative="1">
      <w:start w:val="1"/>
      <w:numFmt w:val="bullet"/>
      <w:lvlText w:val="–"/>
      <w:lvlJc w:val="left"/>
      <w:pPr>
        <w:ind w:left="840" w:hanging="320"/>
      </w:pPr>
    </w:lvl>
    <w:lvl w:ilvl="2" w:tentative="1">
      <w:start w:val="1"/>
      <w:numFmt w:val="bullet"/>
      <w:lvlText w:val="·"/>
      <w:lvlJc w:val="left"/>
      <w:pPr>
        <w:ind w:left="126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ingFang SC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spacing w:after="160" w:before="0"/>
    </w:pPr>
    <w:rPr>
      <w:rFonts w:ascii="Arial" w:cs="Arial" w:eastAsia="PingFang SC" w:hAnsi="Arial"/>
      <w:b/>
      <w:bCs/>
      <w:color w:val="111111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after="110" w:before="140"/>
    </w:pPr>
    <w:rPr>
      <w:rFonts w:ascii="Arial" w:cs="Arial" w:eastAsia="PingFang SC" w:hAnsi="Arial"/>
      <w:b/>
      <w:bCs/>
      <w:color w:val="1B3A5C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after="90" w:before="220"/>
    </w:pPr>
    <w:rPr>
      <w:rFonts w:ascii="Arial" w:cs="Arial" w:eastAsia="PingFang SC" w:hAnsi="Arial"/>
      <w:b/>
      <w:bCs/>
      <w:color w:val="1B3A5C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70" w:before="160"/>
    </w:pPr>
    <w:rPr>
      <w:rFonts w:ascii="Arial" w:cs="Arial" w:eastAsia="PingFang SC" w:hAnsi="Arial"/>
      <w:b/>
      <w:bCs/>
      <w:color w:val="333333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需求审查一页纸</dc:title>
  <dc:creator>Softwrae_mechanical_arm</dc:creator>
  <cp:lastModifiedBy>Un-named</cp:lastModifiedBy>
  <cp:revision>1</cp:revision>
  <dcterms:created xsi:type="dcterms:W3CDTF">2026-10-08T22:08:49.756Z</dcterms:created>
  <dcterms:modified xsi:type="dcterms:W3CDTF">2026-10-08T22:08:49.756Z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