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3C84" w14:textId="77777777" w:rsidR="002C54E2" w:rsidRDefault="002C54E2" w:rsidP="00A84687">
      <w:pPr>
        <w:spacing w:after="160"/>
        <w:rPr>
          <w:noProof/>
          <w:lang w:val="nl-BE" w:eastAsia="nl-BE"/>
        </w:rPr>
      </w:pPr>
    </w:p>
    <w:p w14:paraId="6564785B" w14:textId="77777777" w:rsidR="00A84687" w:rsidRDefault="00A84687" w:rsidP="002C54E2">
      <w:pPr>
        <w:spacing w:after="160"/>
        <w:jc w:val="center"/>
      </w:pPr>
      <w:r>
        <w:rPr>
          <w:noProof/>
          <w:lang w:val="nl-BE" w:eastAsia="nl-BE"/>
        </w:rPr>
        <w:drawing>
          <wp:inline distT="0" distB="0" distL="0" distR="0" wp14:anchorId="34953E5B" wp14:editId="5C8607D7">
            <wp:extent cx="1943100" cy="65939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6342" cy="663891"/>
                    </a:xfrm>
                    <a:prstGeom prst="rect">
                      <a:avLst/>
                    </a:prstGeom>
                  </pic:spPr>
                </pic:pic>
              </a:graphicData>
            </a:graphic>
          </wp:inline>
        </w:drawing>
      </w:r>
    </w:p>
    <w:p w14:paraId="5A6A242F" w14:textId="77777777" w:rsidR="002C54E2" w:rsidRDefault="002C54E2" w:rsidP="002C54E2">
      <w:pPr>
        <w:spacing w:after="160"/>
        <w:jc w:val="center"/>
      </w:pPr>
    </w:p>
    <w:p w14:paraId="34FAF2D8" w14:textId="77777777" w:rsidR="002C54E2" w:rsidRDefault="002C54E2" w:rsidP="002C54E2"/>
    <w:p w14:paraId="1A432528" w14:textId="77777777" w:rsidR="002C54E2" w:rsidRDefault="002C54E2" w:rsidP="002C54E2"/>
    <w:p w14:paraId="1CF53D76" w14:textId="77777777" w:rsidR="002C54E2" w:rsidRDefault="002C54E2" w:rsidP="002C54E2"/>
    <w:p w14:paraId="074387C0" w14:textId="77777777" w:rsidR="002C54E2" w:rsidRDefault="002C54E2" w:rsidP="002C54E2"/>
    <w:p w14:paraId="44BB86D9" w14:textId="77777777" w:rsidR="002C54E2" w:rsidRDefault="002C54E2" w:rsidP="002C54E2"/>
    <w:p w14:paraId="69311237" w14:textId="77777777" w:rsidR="002C54E2" w:rsidRDefault="002C54E2" w:rsidP="002C54E2"/>
    <w:p w14:paraId="1A94AA97" w14:textId="77777777" w:rsidR="002C54E2" w:rsidRDefault="002C54E2" w:rsidP="002C54E2"/>
    <w:p w14:paraId="546117D4" w14:textId="77777777" w:rsidR="002C54E2" w:rsidRDefault="002C54E2" w:rsidP="002C54E2"/>
    <w:p w14:paraId="2BDC09F7" w14:textId="77777777" w:rsidR="002C54E2" w:rsidRDefault="002C54E2" w:rsidP="002C54E2"/>
    <w:p w14:paraId="33771C6D" w14:textId="77777777" w:rsidR="002C54E2" w:rsidRDefault="002C54E2" w:rsidP="002C54E2"/>
    <w:p w14:paraId="7B8A5750" w14:textId="77777777" w:rsidR="002C54E2" w:rsidRDefault="002C54E2" w:rsidP="002C54E2"/>
    <w:p w14:paraId="0544907A" w14:textId="77777777" w:rsidR="00A84687" w:rsidRDefault="00A84687" w:rsidP="002C54E2">
      <w:pPr>
        <w:rPr>
          <w:b/>
        </w:rPr>
      </w:pPr>
    </w:p>
    <w:p w14:paraId="326747E7" w14:textId="77777777" w:rsidR="00A403C4" w:rsidRDefault="00A403C4" w:rsidP="002C54E2">
      <w:pPr>
        <w:rPr>
          <w:b/>
        </w:rPr>
      </w:pPr>
    </w:p>
    <w:p w14:paraId="3F3E2982" w14:textId="77777777" w:rsidR="00A84687" w:rsidRDefault="00A84687" w:rsidP="002C54E2">
      <w:pPr>
        <w:rPr>
          <w:b/>
        </w:rPr>
      </w:pPr>
    </w:p>
    <w:p w14:paraId="4ECB29BB" w14:textId="77777777" w:rsidR="00A84687" w:rsidRDefault="00A84687" w:rsidP="002C54E2">
      <w:pPr>
        <w:rPr>
          <w:b/>
        </w:rPr>
      </w:pPr>
    </w:p>
    <w:p w14:paraId="630CCC0A" w14:textId="77777777" w:rsidR="00EE0E58" w:rsidRDefault="00EE0E58" w:rsidP="002C54E2">
      <w:pPr>
        <w:rPr>
          <w:b/>
        </w:rPr>
      </w:pPr>
    </w:p>
    <w:p w14:paraId="7CFC850E" w14:textId="77777777" w:rsidR="00EE0E58" w:rsidRDefault="00EE0E58" w:rsidP="002C54E2"/>
    <w:p w14:paraId="7E8959BA" w14:textId="77777777" w:rsidR="00A84687" w:rsidRDefault="00A84687" w:rsidP="002C54E2"/>
    <w:p w14:paraId="76442748" w14:textId="77777777" w:rsidR="00A84687" w:rsidRPr="00A403C4" w:rsidRDefault="00A403C4" w:rsidP="002C54E2">
      <w:pPr>
        <w:rPr>
          <w:b/>
        </w:rPr>
      </w:pPr>
      <w:r>
        <w:rPr>
          <w:b/>
        </w:rPr>
        <w:t>Disclaimer</w:t>
      </w:r>
    </w:p>
    <w:p w14:paraId="2FA3F8F5" w14:textId="77777777" w:rsidR="00A84687" w:rsidRDefault="00A84687" w:rsidP="00A84687">
      <w:pPr>
        <w:rPr>
          <w:lang w:val="en-US"/>
        </w:rPr>
      </w:pPr>
      <w:r>
        <w:rPr>
          <w:lang w:val="en-US"/>
        </w:rPr>
        <w:t xml:space="preserve">REMEDIS </w:t>
      </w:r>
      <w:r w:rsidRPr="00860DFA">
        <w:rPr>
          <w:lang w:val="en-US"/>
        </w:rPr>
        <w:t xml:space="preserve">is supported by </w:t>
      </w:r>
      <w:r w:rsidRPr="00860DFA">
        <w:rPr>
          <w:lang w:val="en-US" w:bidi="en-US"/>
        </w:rPr>
        <w:t>Research Foundation – Flanders (FWO), Belgium</w:t>
      </w:r>
      <w:r>
        <w:rPr>
          <w:lang w:val="en-US" w:bidi="en-US"/>
        </w:rPr>
        <w:t xml:space="preserve">; </w:t>
      </w:r>
      <w:r w:rsidRPr="00860DFA">
        <w:rPr>
          <w:bCs/>
          <w:lang w:val="en-US" w:bidi="en-US"/>
        </w:rPr>
        <w:t>UK Research and Innovation (</w:t>
      </w:r>
      <w:r w:rsidRPr="00860DFA">
        <w:rPr>
          <w:lang w:val="en-US" w:bidi="en-US"/>
        </w:rPr>
        <w:t>UKRI), United Kingdom</w:t>
      </w:r>
      <w:r>
        <w:rPr>
          <w:lang w:val="en-US" w:bidi="en-US"/>
        </w:rPr>
        <w:t xml:space="preserve">; </w:t>
      </w:r>
      <w:r w:rsidRPr="00860DFA">
        <w:rPr>
          <w:lang w:val="en-US" w:bidi="en-US"/>
        </w:rPr>
        <w:t>Estonian Research Council (</w:t>
      </w:r>
      <w:proofErr w:type="spellStart"/>
      <w:r w:rsidRPr="00860DFA">
        <w:rPr>
          <w:lang w:val="en-US" w:bidi="en-US"/>
        </w:rPr>
        <w:t>ETAg</w:t>
      </w:r>
      <w:proofErr w:type="spellEnd"/>
      <w:r w:rsidRPr="00860DFA">
        <w:rPr>
          <w:lang w:val="en-US" w:bidi="en-US"/>
        </w:rPr>
        <w:t>), Estonia</w:t>
      </w:r>
      <w:r>
        <w:rPr>
          <w:lang w:val="en-US" w:bidi="en-US"/>
        </w:rPr>
        <w:t xml:space="preserve">; </w:t>
      </w:r>
      <w:r w:rsidRPr="00860DFA">
        <w:rPr>
          <w:bCs/>
          <w:lang w:val="es-ES"/>
        </w:rPr>
        <w:t>Agencia Estatal de Investigación</w:t>
      </w:r>
      <w:r w:rsidRPr="00860DFA">
        <w:rPr>
          <w:lang w:val="es-ES"/>
        </w:rPr>
        <w:t xml:space="preserve"> (AEI), </w:t>
      </w:r>
      <w:proofErr w:type="spellStart"/>
      <w:r w:rsidRPr="00860DFA">
        <w:rPr>
          <w:lang w:val="es-ES"/>
        </w:rPr>
        <w:t>Spain</w:t>
      </w:r>
      <w:proofErr w:type="spellEnd"/>
      <w:r>
        <w:rPr>
          <w:lang w:val="es-ES"/>
        </w:rPr>
        <w:t xml:space="preserve">; </w:t>
      </w:r>
      <w:r w:rsidRPr="00860DFA">
        <w:rPr>
          <w:bCs/>
          <w:lang w:val="en-US" w:bidi="en-US"/>
        </w:rPr>
        <w:t>Academy of Finland (A</w:t>
      </w:r>
      <w:r w:rsidRPr="00860DFA">
        <w:rPr>
          <w:lang w:val="en-US" w:bidi="en-US"/>
        </w:rPr>
        <w:t>KA), Finland</w:t>
      </w:r>
      <w:r>
        <w:rPr>
          <w:lang w:val="en-US" w:bidi="en-US"/>
        </w:rPr>
        <w:t xml:space="preserve">; and </w:t>
      </w:r>
      <w:proofErr w:type="spellStart"/>
      <w:r w:rsidRPr="00860DFA">
        <w:rPr>
          <w:lang w:val="en-US"/>
        </w:rPr>
        <w:t>Narodowe</w:t>
      </w:r>
      <w:proofErr w:type="spellEnd"/>
      <w:r w:rsidRPr="00860DFA">
        <w:rPr>
          <w:lang w:val="en-US"/>
        </w:rPr>
        <w:t xml:space="preserve"> Centrum </w:t>
      </w:r>
      <w:proofErr w:type="spellStart"/>
      <w:r w:rsidRPr="00860DFA">
        <w:rPr>
          <w:lang w:val="en-US"/>
        </w:rPr>
        <w:t>Nauki</w:t>
      </w:r>
      <w:proofErr w:type="spellEnd"/>
      <w:r w:rsidRPr="00860DFA">
        <w:rPr>
          <w:lang w:val="en-US"/>
        </w:rPr>
        <w:t xml:space="preserve"> (NCN), Poland</w:t>
      </w:r>
      <w:r>
        <w:rPr>
          <w:lang w:val="en-US"/>
        </w:rPr>
        <w:t xml:space="preserve"> </w:t>
      </w:r>
      <w:r w:rsidRPr="00860DFA">
        <w:rPr>
          <w:lang w:val="en-US"/>
        </w:rPr>
        <w:t xml:space="preserve">under CHANSE ERA-NET Co-fund </w:t>
      </w:r>
      <w:proofErr w:type="spellStart"/>
      <w:r w:rsidRPr="00860DFA">
        <w:rPr>
          <w:lang w:val="en-US"/>
        </w:rPr>
        <w:t>programme</w:t>
      </w:r>
      <w:proofErr w:type="spellEnd"/>
      <w:r w:rsidRPr="00860DFA">
        <w:rPr>
          <w:lang w:val="en-US"/>
        </w:rPr>
        <w:t xml:space="preserve">, which has received funding from the European Union’s Horizon 2020 Research and Innovation </w:t>
      </w:r>
      <w:proofErr w:type="spellStart"/>
      <w:r w:rsidRPr="00860DFA">
        <w:rPr>
          <w:lang w:val="en-US"/>
        </w:rPr>
        <w:t>Programme</w:t>
      </w:r>
      <w:proofErr w:type="spellEnd"/>
      <w:r w:rsidRPr="00860DFA">
        <w:rPr>
          <w:lang w:val="en-US"/>
        </w:rPr>
        <w:t>, under Grant Agreement no 101004509</w:t>
      </w:r>
      <w:r>
        <w:rPr>
          <w:lang w:val="en-US"/>
        </w:rPr>
        <w:t>.</w:t>
      </w:r>
    </w:p>
    <w:p w14:paraId="409295F6" w14:textId="77777777" w:rsidR="00BD27DB" w:rsidRDefault="00BD27DB" w:rsidP="00A84687">
      <w:pPr>
        <w:rPr>
          <w:lang w:val="en-US"/>
        </w:rPr>
      </w:pPr>
    </w:p>
    <w:p w14:paraId="528FD8BB" w14:textId="77777777" w:rsidR="00BD27DB" w:rsidRDefault="00BD27DB" w:rsidP="00A84687">
      <w:pPr>
        <w:rPr>
          <w:lang w:val="en-US"/>
        </w:rPr>
      </w:pPr>
    </w:p>
    <w:p w14:paraId="737A5A05" w14:textId="77777777" w:rsidR="00BD27DB" w:rsidRDefault="00BD27DB" w:rsidP="002C54E2">
      <w:pPr>
        <w:rPr>
          <w:lang w:val="en-US"/>
        </w:rPr>
      </w:pPr>
    </w:p>
    <w:p w14:paraId="37DC54B9" w14:textId="77777777" w:rsidR="00BD27DB" w:rsidRDefault="00BD27DB" w:rsidP="002C54E2">
      <w:pPr>
        <w:rPr>
          <w:lang w:val="en-US"/>
        </w:rPr>
      </w:pPr>
    </w:p>
    <w:p w14:paraId="1AAB0E0F" w14:textId="77777777" w:rsidR="00BD27DB" w:rsidRDefault="00BD27DB" w:rsidP="002C54E2">
      <w:pPr>
        <w:rPr>
          <w:lang w:val="en-US"/>
        </w:rPr>
      </w:pPr>
    </w:p>
    <w:p w14:paraId="2F47088D" w14:textId="77777777" w:rsidR="00BD27DB" w:rsidRDefault="00BD27DB" w:rsidP="002C54E2">
      <w:pPr>
        <w:rPr>
          <w:lang w:val="en-US"/>
        </w:rPr>
      </w:pPr>
    </w:p>
    <w:p w14:paraId="531FDE6A" w14:textId="77777777" w:rsidR="00BD27DB" w:rsidRDefault="00BD27DB" w:rsidP="002C54E2">
      <w:pPr>
        <w:rPr>
          <w:lang w:val="en-US"/>
        </w:rPr>
      </w:pPr>
    </w:p>
    <w:p w14:paraId="08A47682" w14:textId="77777777" w:rsidR="00BD27DB" w:rsidRDefault="00BD27DB" w:rsidP="00487B30">
      <w:pPr>
        <w:rPr>
          <w:b/>
          <w:lang w:val="en-US"/>
        </w:rPr>
      </w:pPr>
    </w:p>
    <w:p w14:paraId="2862FF38" w14:textId="77777777" w:rsidR="00BD27DB" w:rsidRDefault="00BD27DB" w:rsidP="00BD27DB">
      <w:pPr>
        <w:jc w:val="center"/>
        <w:rPr>
          <w:b/>
          <w:lang w:val="en-US"/>
        </w:rPr>
      </w:pPr>
    </w:p>
    <w:p w14:paraId="78E5BE57" w14:textId="77777777" w:rsidR="00BD27DB" w:rsidRDefault="00BF2041" w:rsidP="00BD27DB">
      <w:pPr>
        <w:jc w:val="center"/>
        <w:rPr>
          <w:b/>
          <w:sz w:val="56"/>
          <w:lang w:val="en-US"/>
        </w:rPr>
      </w:pPr>
      <w:r>
        <w:rPr>
          <w:b/>
          <w:sz w:val="56"/>
          <w:lang w:val="en-US"/>
        </w:rPr>
        <w:t>Data Management Plan</w:t>
      </w:r>
    </w:p>
    <w:p w14:paraId="20C3F5E3" w14:textId="77777777" w:rsidR="00BD27DB" w:rsidRDefault="00BD27DB" w:rsidP="00BD27DB">
      <w:pPr>
        <w:jc w:val="center"/>
        <w:rPr>
          <w:b/>
          <w:sz w:val="56"/>
          <w:lang w:val="en-US"/>
        </w:rPr>
      </w:pPr>
    </w:p>
    <w:p w14:paraId="18BCB6B2" w14:textId="77777777" w:rsidR="00BD27DB" w:rsidRDefault="00BD27DB" w:rsidP="00BD27DB">
      <w:pPr>
        <w:jc w:val="center"/>
        <w:rPr>
          <w:b/>
          <w:lang w:val="en-US"/>
        </w:rPr>
      </w:pPr>
    </w:p>
    <w:p w14:paraId="1AB98B1B" w14:textId="77777777" w:rsidR="00BD27DB" w:rsidRDefault="00BD27DB" w:rsidP="00BD27DB">
      <w:pPr>
        <w:jc w:val="center"/>
        <w:rPr>
          <w:b/>
          <w:lang w:val="en-US"/>
        </w:rPr>
      </w:pPr>
    </w:p>
    <w:p w14:paraId="5B1A4660" w14:textId="77777777" w:rsidR="00386A78" w:rsidRDefault="00386A78" w:rsidP="00BD27DB">
      <w:pPr>
        <w:jc w:val="center"/>
      </w:pPr>
    </w:p>
    <w:p w14:paraId="1A0ABA3A" w14:textId="77777777" w:rsidR="00386A78" w:rsidRDefault="00386A78" w:rsidP="00BD27DB">
      <w:pPr>
        <w:jc w:val="center"/>
      </w:pPr>
    </w:p>
    <w:p w14:paraId="28970562" w14:textId="77777777" w:rsidR="00386A78" w:rsidRDefault="00386A78" w:rsidP="00386A78"/>
    <w:p w14:paraId="44B650ED" w14:textId="77777777" w:rsidR="004774C5" w:rsidRDefault="004774C5" w:rsidP="00386A78"/>
    <w:p w14:paraId="214B6326" w14:textId="77777777" w:rsidR="00386A78" w:rsidRDefault="00386A78" w:rsidP="00386A78"/>
    <w:p w14:paraId="6427747B" w14:textId="77777777" w:rsidR="00386A78" w:rsidRPr="004774C5" w:rsidRDefault="00BF2041" w:rsidP="00386A78">
      <w:pPr>
        <w:rPr>
          <w:b/>
        </w:rPr>
      </w:pPr>
      <w:r w:rsidRPr="004774C5">
        <w:rPr>
          <w:b/>
        </w:rPr>
        <w:t>Due</w:t>
      </w:r>
      <w:r w:rsidR="00386A78" w:rsidRPr="004774C5">
        <w:rPr>
          <w:b/>
        </w:rPr>
        <w:t xml:space="preserve"> date:</w:t>
      </w:r>
      <w:r w:rsidR="00386A78" w:rsidRPr="004774C5">
        <w:rPr>
          <w:b/>
        </w:rPr>
        <w:tab/>
      </w:r>
      <w:r w:rsidRPr="004774C5">
        <w:rPr>
          <w:b/>
        </w:rPr>
        <w:tab/>
      </w:r>
      <w:r w:rsidRPr="004774C5">
        <w:rPr>
          <w:b/>
        </w:rPr>
        <w:tab/>
      </w:r>
      <w:r w:rsidRPr="004774C5">
        <w:rPr>
          <w:b/>
        </w:rPr>
        <w:tab/>
      </w:r>
      <w:r w:rsidRPr="004774C5">
        <w:rPr>
          <w:b/>
        </w:rPr>
        <w:tab/>
      </w:r>
      <w:r w:rsidRPr="004774C5">
        <w:rPr>
          <w:b/>
        </w:rPr>
        <w:tab/>
      </w:r>
      <w:r w:rsidRPr="004774C5">
        <w:rPr>
          <w:b/>
        </w:rPr>
        <w:tab/>
      </w:r>
      <w:r w:rsidRPr="004774C5">
        <w:rPr>
          <w:b/>
        </w:rPr>
        <w:tab/>
      </w:r>
      <w:r w:rsidRPr="004774C5">
        <w:rPr>
          <w:b/>
        </w:rPr>
        <w:tab/>
        <w:t>15 December 2022</w:t>
      </w:r>
    </w:p>
    <w:p w14:paraId="58AC7E0E" w14:textId="77777777" w:rsidR="00386A78" w:rsidRPr="004774C5" w:rsidRDefault="00BF2041" w:rsidP="00386A78">
      <w:pPr>
        <w:rPr>
          <w:b/>
        </w:rPr>
      </w:pPr>
      <w:r w:rsidRPr="004774C5">
        <w:rPr>
          <w:b/>
        </w:rPr>
        <w:t>Lead beneficiary:</w:t>
      </w:r>
      <w:r w:rsidRPr="004774C5">
        <w:rPr>
          <w:b/>
        </w:rPr>
        <w:tab/>
      </w:r>
      <w:r w:rsidRPr="004774C5">
        <w:rPr>
          <w:b/>
        </w:rPr>
        <w:tab/>
      </w:r>
      <w:r w:rsidRPr="004774C5">
        <w:rPr>
          <w:b/>
        </w:rPr>
        <w:tab/>
      </w:r>
      <w:r w:rsidRPr="004774C5">
        <w:rPr>
          <w:b/>
        </w:rPr>
        <w:tab/>
      </w:r>
      <w:r w:rsidRPr="004774C5">
        <w:rPr>
          <w:b/>
        </w:rPr>
        <w:tab/>
      </w:r>
      <w:r w:rsidRPr="004774C5">
        <w:rPr>
          <w:b/>
        </w:rPr>
        <w:tab/>
      </w:r>
      <w:r w:rsidRPr="004774C5">
        <w:rPr>
          <w:b/>
        </w:rPr>
        <w:tab/>
      </w:r>
      <w:r w:rsidRPr="004774C5">
        <w:rPr>
          <w:b/>
        </w:rPr>
        <w:tab/>
      </w:r>
      <w:proofErr w:type="gramStart"/>
      <w:r w:rsidRPr="004774C5">
        <w:rPr>
          <w:b/>
        </w:rPr>
        <w:tab/>
      </w:r>
      <w:r w:rsidR="004774C5">
        <w:rPr>
          <w:b/>
        </w:rPr>
        <w:t xml:space="preserve">  </w:t>
      </w:r>
      <w:r w:rsidRPr="004774C5">
        <w:rPr>
          <w:b/>
        </w:rPr>
        <w:t>KU</w:t>
      </w:r>
      <w:proofErr w:type="gramEnd"/>
      <w:r w:rsidRPr="004774C5">
        <w:rPr>
          <w:b/>
        </w:rPr>
        <w:t xml:space="preserve"> Leuven</w:t>
      </w:r>
    </w:p>
    <w:p w14:paraId="6C6CC416" w14:textId="77777777" w:rsidR="00386A78" w:rsidRPr="004774C5" w:rsidRDefault="00BF2041" w:rsidP="00BF2041">
      <w:pPr>
        <w:rPr>
          <w:b/>
        </w:rPr>
      </w:pPr>
      <w:r w:rsidRPr="004774C5">
        <w:rPr>
          <w:b/>
        </w:rPr>
        <w:t>Authors:</w:t>
      </w:r>
      <w:r w:rsidRPr="004774C5">
        <w:rPr>
          <w:b/>
        </w:rPr>
        <w:tab/>
      </w:r>
      <w:r w:rsidRPr="004774C5">
        <w:rPr>
          <w:b/>
        </w:rPr>
        <w:tab/>
      </w:r>
      <w:r w:rsidRPr="004774C5">
        <w:rPr>
          <w:b/>
        </w:rPr>
        <w:tab/>
      </w:r>
      <w:r w:rsidRPr="004774C5">
        <w:rPr>
          <w:b/>
        </w:rPr>
        <w:tab/>
      </w:r>
      <w:r w:rsidR="004774C5">
        <w:rPr>
          <w:b/>
        </w:rPr>
        <w:t xml:space="preserve">      </w:t>
      </w:r>
      <w:r w:rsidRPr="004774C5">
        <w:rPr>
          <w:b/>
        </w:rPr>
        <w:t xml:space="preserve">Willem Joris, Joyce </w:t>
      </w:r>
      <w:proofErr w:type="spellStart"/>
      <w:r w:rsidRPr="004774C5">
        <w:rPr>
          <w:b/>
        </w:rPr>
        <w:t>Vissenberg</w:t>
      </w:r>
      <w:proofErr w:type="spellEnd"/>
      <w:r w:rsidRPr="004774C5">
        <w:rPr>
          <w:b/>
        </w:rPr>
        <w:t>, &amp; Leen d’Haenens</w:t>
      </w:r>
    </w:p>
    <w:p w14:paraId="23AB7A81" w14:textId="77777777" w:rsidR="00386A78" w:rsidRDefault="00386A78" w:rsidP="00386A78"/>
    <w:p w14:paraId="048759BE" w14:textId="77777777" w:rsidR="00386A78" w:rsidRDefault="00386A78" w:rsidP="00386A78"/>
    <w:p w14:paraId="578A8E50" w14:textId="77777777" w:rsidR="00386A78" w:rsidRDefault="00386A78" w:rsidP="00386A78"/>
    <w:p w14:paraId="7982670E" w14:textId="77777777" w:rsidR="00386A78" w:rsidRDefault="00386A78" w:rsidP="00386A78"/>
    <w:p w14:paraId="1AB875AE" w14:textId="77777777" w:rsidR="00386A78" w:rsidRDefault="00386A78" w:rsidP="00386A78"/>
    <w:p w14:paraId="318755C6" w14:textId="77777777" w:rsidR="00386A78" w:rsidRDefault="00386A78" w:rsidP="00386A78"/>
    <w:p w14:paraId="2FF2644C" w14:textId="77777777" w:rsidR="00386A78" w:rsidRDefault="00386A78" w:rsidP="00386A78">
      <w:pPr>
        <w:jc w:val="center"/>
      </w:pPr>
      <w:r>
        <w:rPr>
          <w:noProof/>
          <w:lang w:val="nl-BE" w:eastAsia="nl-BE"/>
        </w:rPr>
        <w:drawing>
          <wp:inline distT="0" distB="0" distL="0" distR="0" wp14:anchorId="1CE7BAB2" wp14:editId="00F1EE3F">
            <wp:extent cx="3238500" cy="5230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Chanse.png"/>
                    <pic:cNvPicPr/>
                  </pic:nvPicPr>
                  <pic:blipFill>
                    <a:blip r:embed="rId9">
                      <a:extLst>
                        <a:ext uri="{28A0092B-C50C-407E-A947-70E740481C1C}">
                          <a14:useLocalDpi xmlns:a14="http://schemas.microsoft.com/office/drawing/2010/main" val="0"/>
                        </a:ext>
                      </a:extLst>
                    </a:blip>
                    <a:stretch>
                      <a:fillRect/>
                    </a:stretch>
                  </pic:blipFill>
                  <pic:spPr>
                    <a:xfrm>
                      <a:off x="0" y="0"/>
                      <a:ext cx="3338182" cy="539113"/>
                    </a:xfrm>
                    <a:prstGeom prst="rect">
                      <a:avLst/>
                    </a:prstGeom>
                  </pic:spPr>
                </pic:pic>
              </a:graphicData>
            </a:graphic>
          </wp:inline>
        </w:drawing>
      </w:r>
    </w:p>
    <w:p w14:paraId="00FE8983" w14:textId="77777777" w:rsidR="00386A78" w:rsidRDefault="00386A78" w:rsidP="00386A78">
      <w:pPr>
        <w:jc w:val="center"/>
      </w:pPr>
    </w:p>
    <w:p w14:paraId="3FEE0828" w14:textId="77777777" w:rsidR="00487B30" w:rsidRDefault="00487B30">
      <w:pPr>
        <w:spacing w:after="160"/>
        <w:jc w:val="left"/>
      </w:pPr>
      <w:r>
        <w:br w:type="page"/>
      </w:r>
    </w:p>
    <w:p w14:paraId="29BBCEC2" w14:textId="77777777" w:rsidR="004774C5" w:rsidRPr="004774C5" w:rsidRDefault="004774C5" w:rsidP="004774C5">
      <w:pPr>
        <w:jc w:val="center"/>
        <w:rPr>
          <w:rFonts w:eastAsia="Times New Roman" w:cs="Segoe UI"/>
          <w:b/>
          <w:color w:val="FF6600"/>
        </w:rPr>
      </w:pPr>
      <w:r w:rsidRPr="004774C5">
        <w:rPr>
          <w:rFonts w:eastAsia="Times New Roman" w:cs="Segoe UI"/>
          <w:b/>
          <w:color w:val="FF6600"/>
        </w:rPr>
        <w:lastRenderedPageBreak/>
        <w:t>REMEDIS Partners</w:t>
      </w:r>
    </w:p>
    <w:p w14:paraId="24F7C0D2" w14:textId="13796D36" w:rsidR="004774C5" w:rsidRDefault="004774C5" w:rsidP="004774C5">
      <w:pPr>
        <w:tabs>
          <w:tab w:val="left" w:pos="3983"/>
        </w:tabs>
        <w:rPr>
          <w:rFonts w:cs="Segoe UI"/>
          <w:szCs w:val="32"/>
          <w:lang w:val="en-US"/>
        </w:rPr>
      </w:pPr>
      <w:r w:rsidRPr="004774C5">
        <w:rPr>
          <w:rFonts w:cs="Segoe UI"/>
          <w:szCs w:val="32"/>
          <w:lang w:val="en-US"/>
        </w:rPr>
        <w:t>The REMEDIS consortium includes seven partners and 14 non-academic Cooperation Partners who will actively engage in meeting the objectives of the project. In achieving these objectives, REMEDIS brings together leading international</w:t>
      </w:r>
      <w:r w:rsidR="00E00985">
        <w:rPr>
          <w:rFonts w:cs="Segoe UI"/>
          <w:szCs w:val="32"/>
          <w:lang w:val="en-US"/>
        </w:rPr>
        <w:t xml:space="preserve"> </w:t>
      </w:r>
      <w:proofErr w:type="spellStart"/>
      <w:r w:rsidRPr="004774C5">
        <w:rPr>
          <w:rFonts w:cs="Segoe UI"/>
          <w:szCs w:val="32"/>
          <w:lang w:val="en-US"/>
        </w:rPr>
        <w:t>centres</w:t>
      </w:r>
      <w:proofErr w:type="spellEnd"/>
      <w:r w:rsidRPr="004774C5">
        <w:rPr>
          <w:rFonts w:cs="Segoe UI"/>
          <w:szCs w:val="32"/>
          <w:lang w:val="en-US"/>
        </w:rPr>
        <w:t xml:space="preserve"> for research on media studies, communication sciences, psychology, pedagogy, educational sciences, and sociology.</w:t>
      </w:r>
    </w:p>
    <w:p w14:paraId="2D106A8A" w14:textId="77777777" w:rsidR="00465B54" w:rsidRPr="004774C5" w:rsidRDefault="00465B54" w:rsidP="004774C5">
      <w:pPr>
        <w:tabs>
          <w:tab w:val="left" w:pos="3983"/>
        </w:tabs>
        <w:rPr>
          <w:rFonts w:cs="Segoe UI"/>
          <w:szCs w:val="32"/>
          <w:lang w:val="en-US"/>
        </w:rPr>
      </w:pPr>
    </w:p>
    <w:p w14:paraId="4FACF1AF" w14:textId="77777777" w:rsidR="004774C5" w:rsidRDefault="004774C5" w:rsidP="004774C5">
      <w:pPr>
        <w:tabs>
          <w:tab w:val="left" w:pos="3983"/>
        </w:tabs>
        <w:rPr>
          <w:rFonts w:ascii="Times New Roman" w:hAnsi="Times New Roman" w:cs="Times New Roman"/>
          <w:szCs w:val="32"/>
        </w:rPr>
      </w:pP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774C5" w14:paraId="2FB75D69" w14:textId="77777777" w:rsidTr="007F6084">
        <w:trPr>
          <w:jc w:val="center"/>
        </w:trPr>
        <w:tc>
          <w:tcPr>
            <w:tcW w:w="3005" w:type="dxa"/>
          </w:tcPr>
          <w:p w14:paraId="38C0A5A9" w14:textId="77777777" w:rsidR="004774C5" w:rsidRDefault="004774C5" w:rsidP="007F6084">
            <w:pPr>
              <w:jc w:val="center"/>
            </w:pPr>
          </w:p>
          <w:p w14:paraId="51A00B20" w14:textId="77777777" w:rsidR="004774C5" w:rsidRDefault="004774C5" w:rsidP="007F6084">
            <w:pPr>
              <w:jc w:val="center"/>
            </w:pPr>
          </w:p>
          <w:p w14:paraId="03D7B673" w14:textId="77777777" w:rsidR="004774C5" w:rsidRDefault="004774C5" w:rsidP="007F6084">
            <w:pPr>
              <w:jc w:val="center"/>
            </w:pPr>
          </w:p>
        </w:tc>
        <w:tc>
          <w:tcPr>
            <w:tcW w:w="3005" w:type="dxa"/>
          </w:tcPr>
          <w:p w14:paraId="057F1BDE" w14:textId="77777777" w:rsidR="004774C5" w:rsidRDefault="004774C5" w:rsidP="007F6084">
            <w:pPr>
              <w:jc w:val="center"/>
            </w:pPr>
            <w:r>
              <w:rPr>
                <w:noProof/>
                <w:lang w:eastAsia="nl-BE"/>
              </w:rPr>
              <w:drawing>
                <wp:inline distT="0" distB="0" distL="0" distR="0" wp14:anchorId="42AA087B" wp14:editId="10142DC1">
                  <wp:extent cx="1652270" cy="591185"/>
                  <wp:effectExtent l="0" t="0" r="508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591185"/>
                          </a:xfrm>
                          <a:prstGeom prst="rect">
                            <a:avLst/>
                          </a:prstGeom>
                          <a:noFill/>
                        </pic:spPr>
                      </pic:pic>
                    </a:graphicData>
                  </a:graphic>
                </wp:inline>
              </w:drawing>
            </w:r>
          </w:p>
          <w:p w14:paraId="785CCF10" w14:textId="77777777" w:rsidR="004774C5" w:rsidRDefault="004774C5" w:rsidP="007F6084">
            <w:pPr>
              <w:jc w:val="center"/>
            </w:pPr>
          </w:p>
        </w:tc>
        <w:tc>
          <w:tcPr>
            <w:tcW w:w="3006" w:type="dxa"/>
          </w:tcPr>
          <w:p w14:paraId="1B809A97" w14:textId="77777777" w:rsidR="004774C5" w:rsidRDefault="004774C5" w:rsidP="007F6084">
            <w:pPr>
              <w:jc w:val="center"/>
            </w:pPr>
          </w:p>
        </w:tc>
      </w:tr>
      <w:tr w:rsidR="004774C5" w14:paraId="1F7CFCE2" w14:textId="77777777" w:rsidTr="007F6084">
        <w:trPr>
          <w:jc w:val="center"/>
        </w:trPr>
        <w:tc>
          <w:tcPr>
            <w:tcW w:w="3005" w:type="dxa"/>
          </w:tcPr>
          <w:p w14:paraId="288754B8" w14:textId="77777777" w:rsidR="004774C5" w:rsidRDefault="004774C5" w:rsidP="007F6084">
            <w:pPr>
              <w:jc w:val="center"/>
            </w:pPr>
            <w:r>
              <w:rPr>
                <w:noProof/>
                <w:lang w:eastAsia="nl-BE"/>
              </w:rPr>
              <w:drawing>
                <wp:inline distT="0" distB="0" distL="0" distR="0" wp14:anchorId="712BFB22" wp14:editId="3F4E4621">
                  <wp:extent cx="1743710" cy="591185"/>
                  <wp:effectExtent l="0" t="0" r="8890" b="0"/>
                  <wp:docPr id="3"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710" cy="591185"/>
                          </a:xfrm>
                          <a:prstGeom prst="rect">
                            <a:avLst/>
                          </a:prstGeom>
                          <a:noFill/>
                        </pic:spPr>
                      </pic:pic>
                    </a:graphicData>
                  </a:graphic>
                </wp:inline>
              </w:drawing>
            </w:r>
          </w:p>
          <w:p w14:paraId="6AC9ECEF" w14:textId="77777777" w:rsidR="004774C5" w:rsidRDefault="004774C5" w:rsidP="007F6084"/>
        </w:tc>
        <w:tc>
          <w:tcPr>
            <w:tcW w:w="3005" w:type="dxa"/>
          </w:tcPr>
          <w:p w14:paraId="5F9381B6" w14:textId="77777777" w:rsidR="004774C5" w:rsidRDefault="004774C5" w:rsidP="007F6084">
            <w:pPr>
              <w:jc w:val="center"/>
            </w:pPr>
            <w:r>
              <w:rPr>
                <w:noProof/>
                <w:lang w:eastAsia="nl-BE"/>
              </w:rPr>
              <w:drawing>
                <wp:inline distT="0" distB="0" distL="0" distR="0" wp14:anchorId="38E546B7" wp14:editId="4ED6B571">
                  <wp:extent cx="1737360" cy="585470"/>
                  <wp:effectExtent l="0" t="0" r="0" b="50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85470"/>
                          </a:xfrm>
                          <a:prstGeom prst="rect">
                            <a:avLst/>
                          </a:prstGeom>
                          <a:noFill/>
                        </pic:spPr>
                      </pic:pic>
                    </a:graphicData>
                  </a:graphic>
                </wp:inline>
              </w:drawing>
            </w:r>
          </w:p>
        </w:tc>
        <w:tc>
          <w:tcPr>
            <w:tcW w:w="3006" w:type="dxa"/>
          </w:tcPr>
          <w:p w14:paraId="38E40ABE" w14:textId="77777777" w:rsidR="004774C5" w:rsidRDefault="004774C5" w:rsidP="007F6084">
            <w:pPr>
              <w:jc w:val="center"/>
            </w:pPr>
            <w:r>
              <w:rPr>
                <w:noProof/>
                <w:lang w:eastAsia="nl-BE"/>
              </w:rPr>
              <w:drawing>
                <wp:inline distT="0" distB="0" distL="0" distR="0" wp14:anchorId="1DFB9D86" wp14:editId="58D6DF9E">
                  <wp:extent cx="1399379" cy="6477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8803" cy="656690"/>
                          </a:xfrm>
                          <a:prstGeom prst="rect">
                            <a:avLst/>
                          </a:prstGeom>
                          <a:noFill/>
                        </pic:spPr>
                      </pic:pic>
                    </a:graphicData>
                  </a:graphic>
                </wp:inline>
              </w:drawing>
            </w:r>
          </w:p>
        </w:tc>
      </w:tr>
      <w:tr w:rsidR="004774C5" w14:paraId="15D0E898" w14:textId="77777777" w:rsidTr="007F6084">
        <w:trPr>
          <w:jc w:val="center"/>
        </w:trPr>
        <w:tc>
          <w:tcPr>
            <w:tcW w:w="3005" w:type="dxa"/>
          </w:tcPr>
          <w:p w14:paraId="18FE261F" w14:textId="77777777" w:rsidR="004774C5" w:rsidRDefault="004774C5" w:rsidP="007F6084">
            <w:pPr>
              <w:jc w:val="center"/>
            </w:pPr>
          </w:p>
          <w:p w14:paraId="690939B1" w14:textId="77777777" w:rsidR="004774C5" w:rsidRDefault="004774C5" w:rsidP="007F6084">
            <w:pPr>
              <w:jc w:val="center"/>
            </w:pPr>
            <w:r>
              <w:rPr>
                <w:noProof/>
                <w:lang w:eastAsia="nl-BE"/>
              </w:rPr>
              <w:drawing>
                <wp:inline distT="0" distB="0" distL="0" distR="0" wp14:anchorId="464D843E" wp14:editId="26D7222E">
                  <wp:extent cx="1725295" cy="682625"/>
                  <wp:effectExtent l="0" t="0" r="8255"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5295" cy="682625"/>
                          </a:xfrm>
                          <a:prstGeom prst="rect">
                            <a:avLst/>
                          </a:prstGeom>
                          <a:noFill/>
                        </pic:spPr>
                      </pic:pic>
                    </a:graphicData>
                  </a:graphic>
                </wp:inline>
              </w:drawing>
            </w:r>
          </w:p>
        </w:tc>
        <w:tc>
          <w:tcPr>
            <w:tcW w:w="3005" w:type="dxa"/>
          </w:tcPr>
          <w:p w14:paraId="21F7319D" w14:textId="77777777" w:rsidR="004774C5" w:rsidRDefault="004774C5" w:rsidP="007F6084">
            <w:pPr>
              <w:jc w:val="center"/>
            </w:pPr>
            <w:r>
              <w:rPr>
                <w:noProof/>
                <w:lang w:eastAsia="nl-BE"/>
              </w:rPr>
              <w:drawing>
                <wp:inline distT="0" distB="0" distL="0" distR="0" wp14:anchorId="26470884" wp14:editId="0E1E8693">
                  <wp:extent cx="1568450" cy="765842"/>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3888" cy="783146"/>
                          </a:xfrm>
                          <a:prstGeom prst="rect">
                            <a:avLst/>
                          </a:prstGeom>
                          <a:noFill/>
                        </pic:spPr>
                      </pic:pic>
                    </a:graphicData>
                  </a:graphic>
                </wp:inline>
              </w:drawing>
            </w:r>
          </w:p>
        </w:tc>
        <w:tc>
          <w:tcPr>
            <w:tcW w:w="3006" w:type="dxa"/>
          </w:tcPr>
          <w:p w14:paraId="2337269C" w14:textId="77777777" w:rsidR="004774C5" w:rsidRDefault="004774C5" w:rsidP="007F6084">
            <w:pPr>
              <w:jc w:val="center"/>
            </w:pPr>
            <w:r>
              <w:rPr>
                <w:noProof/>
                <w:lang w:eastAsia="nl-BE"/>
              </w:rPr>
              <w:drawing>
                <wp:inline distT="0" distB="0" distL="0" distR="0" wp14:anchorId="441D67FB" wp14:editId="372AD2F7">
                  <wp:extent cx="1708150" cy="957823"/>
                  <wp:effectExtent l="0" t="0" r="635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6705" cy="968228"/>
                          </a:xfrm>
                          <a:prstGeom prst="rect">
                            <a:avLst/>
                          </a:prstGeom>
                          <a:noFill/>
                        </pic:spPr>
                      </pic:pic>
                    </a:graphicData>
                  </a:graphic>
                </wp:inline>
              </w:drawing>
            </w:r>
          </w:p>
        </w:tc>
      </w:tr>
    </w:tbl>
    <w:p w14:paraId="0A77D25C" w14:textId="77777777" w:rsidR="004774C5" w:rsidRPr="00FF0E5C" w:rsidRDefault="004774C5" w:rsidP="004774C5">
      <w:pPr>
        <w:tabs>
          <w:tab w:val="left" w:pos="3983"/>
        </w:tabs>
        <w:rPr>
          <w:rFonts w:ascii="Times New Roman" w:hAnsi="Times New Roman" w:cs="Times New Roman"/>
          <w:szCs w:val="32"/>
        </w:rPr>
      </w:pPr>
    </w:p>
    <w:p w14:paraId="31CDBD4F" w14:textId="77777777" w:rsidR="004774C5" w:rsidRPr="00FF0E5C" w:rsidRDefault="004774C5" w:rsidP="004774C5">
      <w:pPr>
        <w:jc w:val="center"/>
        <w:rPr>
          <w:rFonts w:ascii="Times New Roman" w:eastAsia="Times New Roman" w:hAnsi="Times New Roman" w:cs="Times New Roman"/>
          <w:b/>
          <w:color w:val="FF6600"/>
        </w:rPr>
      </w:pPr>
    </w:p>
    <w:p w14:paraId="3CE447C8" w14:textId="77777777" w:rsidR="004774C5" w:rsidRPr="00FF0E5C" w:rsidRDefault="004774C5" w:rsidP="004774C5">
      <w:pPr>
        <w:jc w:val="center"/>
        <w:rPr>
          <w:rFonts w:ascii="Times New Roman" w:eastAsia="Times New Roman" w:hAnsi="Times New Roman" w:cs="Times New Roman"/>
          <w:b/>
          <w:color w:val="FF6600"/>
        </w:rPr>
      </w:pPr>
    </w:p>
    <w:p w14:paraId="1CA29375" w14:textId="77777777" w:rsidR="004774C5" w:rsidRPr="004774C5" w:rsidRDefault="004774C5" w:rsidP="004774C5">
      <w:pPr>
        <w:jc w:val="center"/>
        <w:rPr>
          <w:rFonts w:eastAsia="Times New Roman" w:cs="Segoe UI"/>
          <w:b/>
          <w:color w:val="FF6600"/>
        </w:rPr>
      </w:pPr>
      <w:r w:rsidRPr="004774C5">
        <w:rPr>
          <w:rFonts w:cs="Segoe UI"/>
          <w:lang w:val="en-US"/>
        </w:rPr>
        <w:t xml:space="preserve">REMEDIS’s Cooperation Partners include policymakers and practitioners, representing different life domains for which ML&amp;DS interventions need to be developed: European </w:t>
      </w:r>
      <w:proofErr w:type="spellStart"/>
      <w:r w:rsidRPr="004774C5">
        <w:rPr>
          <w:rFonts w:cs="Segoe UI"/>
          <w:lang w:val="en-US"/>
        </w:rPr>
        <w:t>Schoolnet</w:t>
      </w:r>
      <w:proofErr w:type="spellEnd"/>
      <w:r w:rsidRPr="004774C5">
        <w:rPr>
          <w:rFonts w:cs="Segoe UI"/>
          <w:lang w:val="en-US"/>
        </w:rPr>
        <w:t xml:space="preserve">, COFACE Families Europe, </w:t>
      </w:r>
      <w:proofErr w:type="spellStart"/>
      <w:r w:rsidRPr="004774C5">
        <w:rPr>
          <w:rFonts w:cs="Segoe UI"/>
          <w:lang w:val="en-US"/>
        </w:rPr>
        <w:t>Mediawijs</w:t>
      </w:r>
      <w:proofErr w:type="spellEnd"/>
      <w:r w:rsidRPr="004774C5">
        <w:rPr>
          <w:rFonts w:cs="Segoe UI"/>
          <w:lang w:val="en-US"/>
        </w:rPr>
        <w:t xml:space="preserve">, Public Libraries 2030, Good Things Foundation, National Literacy Trust, Star Cloud LLC, Education and Youth Board of Estonia, </w:t>
      </w:r>
      <w:proofErr w:type="spellStart"/>
      <w:r w:rsidRPr="004774C5">
        <w:rPr>
          <w:rFonts w:cs="Segoe UI"/>
          <w:lang w:val="en-US"/>
        </w:rPr>
        <w:t>PantallasAmigas</w:t>
      </w:r>
      <w:proofErr w:type="spellEnd"/>
      <w:r w:rsidRPr="004774C5">
        <w:rPr>
          <w:rFonts w:cs="Segoe UI"/>
          <w:lang w:val="en-US"/>
        </w:rPr>
        <w:t xml:space="preserve">, </w:t>
      </w:r>
      <w:proofErr w:type="spellStart"/>
      <w:r w:rsidRPr="004774C5">
        <w:rPr>
          <w:rFonts w:cs="Segoe UI"/>
          <w:lang w:val="en-US"/>
        </w:rPr>
        <w:t>Gaptain</w:t>
      </w:r>
      <w:proofErr w:type="spellEnd"/>
      <w:r w:rsidRPr="004774C5">
        <w:rPr>
          <w:rFonts w:cs="Segoe UI"/>
          <w:lang w:val="en-US"/>
        </w:rPr>
        <w:t xml:space="preserve">, Economy and Youth TAT, The Finnish Society and Media Education, International House Integra </w:t>
      </w:r>
      <w:proofErr w:type="spellStart"/>
      <w:r w:rsidRPr="004774C5">
        <w:rPr>
          <w:rFonts w:cs="Segoe UI"/>
          <w:lang w:val="en-US"/>
        </w:rPr>
        <w:t>Bielsko</w:t>
      </w:r>
      <w:proofErr w:type="spellEnd"/>
      <w:r w:rsidRPr="004774C5">
        <w:rPr>
          <w:rFonts w:cs="Segoe UI"/>
          <w:lang w:val="en-US"/>
        </w:rPr>
        <w:t xml:space="preserve">, and </w:t>
      </w:r>
      <w:proofErr w:type="spellStart"/>
      <w:r w:rsidRPr="004774C5">
        <w:rPr>
          <w:rFonts w:cs="Segoe UI"/>
          <w:lang w:val="en-US"/>
        </w:rPr>
        <w:t>Śląskie</w:t>
      </w:r>
      <w:proofErr w:type="spellEnd"/>
      <w:r w:rsidRPr="004774C5">
        <w:rPr>
          <w:rFonts w:cs="Segoe UI"/>
          <w:lang w:val="en-US"/>
        </w:rPr>
        <w:t xml:space="preserve"> Centrum </w:t>
      </w:r>
      <w:proofErr w:type="spellStart"/>
      <w:r w:rsidRPr="004774C5">
        <w:rPr>
          <w:rFonts w:cs="Segoe UI"/>
          <w:lang w:val="en-US"/>
        </w:rPr>
        <w:t>Edukacji</w:t>
      </w:r>
      <w:proofErr w:type="spellEnd"/>
      <w:r w:rsidRPr="004774C5">
        <w:rPr>
          <w:rFonts w:cs="Segoe UI"/>
          <w:lang w:val="en-US"/>
        </w:rPr>
        <w:t xml:space="preserve"> </w:t>
      </w:r>
      <w:proofErr w:type="spellStart"/>
      <w:r w:rsidRPr="004774C5">
        <w:rPr>
          <w:rFonts w:cs="Segoe UI"/>
          <w:lang w:val="en-US"/>
        </w:rPr>
        <w:t>i</w:t>
      </w:r>
      <w:proofErr w:type="spellEnd"/>
      <w:r w:rsidRPr="004774C5">
        <w:rPr>
          <w:rFonts w:cs="Segoe UI"/>
          <w:lang w:val="en-US"/>
        </w:rPr>
        <w:t xml:space="preserve"> </w:t>
      </w:r>
      <w:proofErr w:type="spellStart"/>
      <w:r w:rsidRPr="004774C5">
        <w:rPr>
          <w:rFonts w:cs="Segoe UI"/>
          <w:lang w:val="en-US"/>
        </w:rPr>
        <w:t>Rehabilitacji</w:t>
      </w:r>
      <w:proofErr w:type="spellEnd"/>
      <w:r w:rsidRPr="004774C5">
        <w:rPr>
          <w:rFonts w:cs="Segoe UI"/>
          <w:lang w:val="en-US"/>
        </w:rPr>
        <w:t xml:space="preserve"> “Arteria” w </w:t>
      </w:r>
      <w:proofErr w:type="spellStart"/>
      <w:r w:rsidRPr="004774C5">
        <w:rPr>
          <w:rFonts w:cs="Segoe UI"/>
          <w:lang w:val="en-US"/>
        </w:rPr>
        <w:t>Katowicach</w:t>
      </w:r>
      <w:proofErr w:type="spellEnd"/>
      <w:r w:rsidRPr="004774C5">
        <w:rPr>
          <w:rFonts w:cs="Segoe UI"/>
          <w:lang w:val="en-US"/>
        </w:rPr>
        <w:t>.</w:t>
      </w:r>
    </w:p>
    <w:p w14:paraId="23FFB424" w14:textId="77777777" w:rsidR="004774C5" w:rsidRDefault="004774C5">
      <w:pPr>
        <w:spacing w:after="160"/>
        <w:jc w:val="left"/>
        <w:rPr>
          <w:b/>
          <w:color w:val="FF8754"/>
        </w:rPr>
      </w:pPr>
      <w:r>
        <w:rPr>
          <w:b/>
          <w:color w:val="FF8754"/>
        </w:rPr>
        <w:br w:type="page"/>
      </w:r>
    </w:p>
    <w:p w14:paraId="23AE8B3E" w14:textId="77777777" w:rsidR="00386A78" w:rsidRDefault="00487B30">
      <w:pPr>
        <w:rPr>
          <w:b/>
          <w:color w:val="FF8754"/>
        </w:rPr>
      </w:pPr>
      <w:r>
        <w:rPr>
          <w:b/>
          <w:color w:val="FF8754"/>
        </w:rPr>
        <w:lastRenderedPageBreak/>
        <w:t>Table of contents</w:t>
      </w:r>
    </w:p>
    <w:p w14:paraId="07CD4DCD" w14:textId="50299DA2" w:rsidR="007671B2" w:rsidRDefault="00487B30">
      <w:pPr>
        <w:pStyle w:val="Inhopg1"/>
        <w:tabs>
          <w:tab w:val="left" w:pos="440"/>
          <w:tab w:val="right" w:leader="dot" w:pos="9016"/>
        </w:tabs>
        <w:rPr>
          <w:rFonts w:asciiTheme="minorHAnsi" w:eastAsiaTheme="minorEastAsia" w:hAnsiTheme="minorHAnsi"/>
          <w:noProof/>
          <w:lang w:val="nl-BE" w:eastAsia="nl-BE"/>
        </w:rPr>
      </w:pPr>
      <w:r>
        <w:rPr>
          <w:b/>
          <w:color w:val="FF8754"/>
        </w:rPr>
        <w:fldChar w:fldCharType="begin"/>
      </w:r>
      <w:r>
        <w:rPr>
          <w:b/>
          <w:color w:val="FF8754"/>
        </w:rPr>
        <w:instrText xml:space="preserve"> TOC \o "1-4" \h \z \u </w:instrText>
      </w:r>
      <w:r>
        <w:rPr>
          <w:b/>
          <w:color w:val="FF8754"/>
        </w:rPr>
        <w:fldChar w:fldCharType="separate"/>
      </w:r>
      <w:hyperlink w:anchor="_Toc129866651" w:history="1">
        <w:r w:rsidR="007671B2" w:rsidRPr="00975C58">
          <w:rPr>
            <w:rStyle w:val="Hyperlink"/>
            <w:noProof/>
          </w:rPr>
          <w:t>1</w:t>
        </w:r>
        <w:r w:rsidR="007671B2">
          <w:rPr>
            <w:rFonts w:asciiTheme="minorHAnsi" w:eastAsiaTheme="minorEastAsia" w:hAnsiTheme="minorHAnsi"/>
            <w:noProof/>
            <w:lang w:val="nl-BE" w:eastAsia="nl-BE"/>
          </w:rPr>
          <w:tab/>
        </w:r>
        <w:r w:rsidR="007671B2" w:rsidRPr="00975C58">
          <w:rPr>
            <w:rStyle w:val="Hyperlink"/>
            <w:noProof/>
          </w:rPr>
          <w:t>Introduction</w:t>
        </w:r>
        <w:r w:rsidR="007671B2">
          <w:rPr>
            <w:noProof/>
            <w:webHidden/>
          </w:rPr>
          <w:tab/>
        </w:r>
        <w:r w:rsidR="007671B2">
          <w:rPr>
            <w:noProof/>
            <w:webHidden/>
          </w:rPr>
          <w:fldChar w:fldCharType="begin"/>
        </w:r>
        <w:r w:rsidR="007671B2">
          <w:rPr>
            <w:noProof/>
            <w:webHidden/>
          </w:rPr>
          <w:instrText xml:space="preserve"> PAGEREF _Toc129866651 \h </w:instrText>
        </w:r>
        <w:r w:rsidR="007671B2">
          <w:rPr>
            <w:noProof/>
            <w:webHidden/>
          </w:rPr>
        </w:r>
        <w:r w:rsidR="007671B2">
          <w:rPr>
            <w:noProof/>
            <w:webHidden/>
          </w:rPr>
          <w:fldChar w:fldCharType="separate"/>
        </w:r>
        <w:r w:rsidR="007671B2">
          <w:rPr>
            <w:noProof/>
            <w:webHidden/>
          </w:rPr>
          <w:t>5</w:t>
        </w:r>
        <w:r w:rsidR="007671B2">
          <w:rPr>
            <w:noProof/>
            <w:webHidden/>
          </w:rPr>
          <w:fldChar w:fldCharType="end"/>
        </w:r>
      </w:hyperlink>
    </w:p>
    <w:p w14:paraId="6A2E59DB" w14:textId="7EA9EDE8" w:rsidR="007671B2" w:rsidRDefault="00000000">
      <w:pPr>
        <w:pStyle w:val="Inhopg1"/>
        <w:tabs>
          <w:tab w:val="left" w:pos="440"/>
          <w:tab w:val="right" w:leader="dot" w:pos="9016"/>
        </w:tabs>
        <w:rPr>
          <w:rFonts w:asciiTheme="minorHAnsi" w:eastAsiaTheme="minorEastAsia" w:hAnsiTheme="minorHAnsi"/>
          <w:noProof/>
          <w:lang w:val="nl-BE" w:eastAsia="nl-BE"/>
        </w:rPr>
      </w:pPr>
      <w:hyperlink w:anchor="_Toc129866652" w:history="1">
        <w:r w:rsidR="007671B2" w:rsidRPr="00975C58">
          <w:rPr>
            <w:rStyle w:val="Hyperlink"/>
            <w:noProof/>
          </w:rPr>
          <w:t>2</w:t>
        </w:r>
        <w:r w:rsidR="007671B2">
          <w:rPr>
            <w:rFonts w:asciiTheme="minorHAnsi" w:eastAsiaTheme="minorEastAsia" w:hAnsiTheme="minorHAnsi"/>
            <w:noProof/>
            <w:lang w:val="nl-BE" w:eastAsia="nl-BE"/>
          </w:rPr>
          <w:tab/>
        </w:r>
        <w:r w:rsidR="007671B2" w:rsidRPr="00975C58">
          <w:rPr>
            <w:rStyle w:val="Hyperlink"/>
            <w:noProof/>
          </w:rPr>
          <w:t>Data summary</w:t>
        </w:r>
        <w:r w:rsidR="007671B2">
          <w:rPr>
            <w:noProof/>
            <w:webHidden/>
          </w:rPr>
          <w:tab/>
        </w:r>
        <w:r w:rsidR="007671B2">
          <w:rPr>
            <w:noProof/>
            <w:webHidden/>
          </w:rPr>
          <w:fldChar w:fldCharType="begin"/>
        </w:r>
        <w:r w:rsidR="007671B2">
          <w:rPr>
            <w:noProof/>
            <w:webHidden/>
          </w:rPr>
          <w:instrText xml:space="preserve"> PAGEREF _Toc129866652 \h </w:instrText>
        </w:r>
        <w:r w:rsidR="007671B2">
          <w:rPr>
            <w:noProof/>
            <w:webHidden/>
          </w:rPr>
        </w:r>
        <w:r w:rsidR="007671B2">
          <w:rPr>
            <w:noProof/>
            <w:webHidden/>
          </w:rPr>
          <w:fldChar w:fldCharType="separate"/>
        </w:r>
        <w:r w:rsidR="007671B2">
          <w:rPr>
            <w:noProof/>
            <w:webHidden/>
          </w:rPr>
          <w:t>6</w:t>
        </w:r>
        <w:r w:rsidR="007671B2">
          <w:rPr>
            <w:noProof/>
            <w:webHidden/>
          </w:rPr>
          <w:fldChar w:fldCharType="end"/>
        </w:r>
      </w:hyperlink>
    </w:p>
    <w:p w14:paraId="0F3A2318" w14:textId="1B4BE3F6" w:rsidR="007671B2" w:rsidRDefault="00000000">
      <w:pPr>
        <w:pStyle w:val="Inhopg1"/>
        <w:tabs>
          <w:tab w:val="left" w:pos="440"/>
          <w:tab w:val="right" w:leader="dot" w:pos="9016"/>
        </w:tabs>
        <w:rPr>
          <w:rFonts w:asciiTheme="minorHAnsi" w:eastAsiaTheme="minorEastAsia" w:hAnsiTheme="minorHAnsi"/>
          <w:noProof/>
          <w:lang w:val="nl-BE" w:eastAsia="nl-BE"/>
        </w:rPr>
      </w:pPr>
      <w:hyperlink w:anchor="_Toc129866653" w:history="1">
        <w:r w:rsidR="007671B2" w:rsidRPr="00975C58">
          <w:rPr>
            <w:rStyle w:val="Hyperlink"/>
            <w:noProof/>
          </w:rPr>
          <w:t>3</w:t>
        </w:r>
        <w:r w:rsidR="007671B2">
          <w:rPr>
            <w:rFonts w:asciiTheme="minorHAnsi" w:eastAsiaTheme="minorEastAsia" w:hAnsiTheme="minorHAnsi"/>
            <w:noProof/>
            <w:lang w:val="nl-BE" w:eastAsia="nl-BE"/>
          </w:rPr>
          <w:tab/>
        </w:r>
        <w:r w:rsidR="007671B2" w:rsidRPr="00975C58">
          <w:rPr>
            <w:rStyle w:val="Hyperlink"/>
            <w:noProof/>
          </w:rPr>
          <w:t>FAIR Data</w:t>
        </w:r>
        <w:r w:rsidR="007671B2">
          <w:rPr>
            <w:noProof/>
            <w:webHidden/>
          </w:rPr>
          <w:tab/>
        </w:r>
        <w:r w:rsidR="007671B2">
          <w:rPr>
            <w:noProof/>
            <w:webHidden/>
          </w:rPr>
          <w:fldChar w:fldCharType="begin"/>
        </w:r>
        <w:r w:rsidR="007671B2">
          <w:rPr>
            <w:noProof/>
            <w:webHidden/>
          </w:rPr>
          <w:instrText xml:space="preserve"> PAGEREF _Toc129866653 \h </w:instrText>
        </w:r>
        <w:r w:rsidR="007671B2">
          <w:rPr>
            <w:noProof/>
            <w:webHidden/>
          </w:rPr>
        </w:r>
        <w:r w:rsidR="007671B2">
          <w:rPr>
            <w:noProof/>
            <w:webHidden/>
          </w:rPr>
          <w:fldChar w:fldCharType="separate"/>
        </w:r>
        <w:r w:rsidR="007671B2">
          <w:rPr>
            <w:noProof/>
            <w:webHidden/>
          </w:rPr>
          <w:t>6</w:t>
        </w:r>
        <w:r w:rsidR="007671B2">
          <w:rPr>
            <w:noProof/>
            <w:webHidden/>
          </w:rPr>
          <w:fldChar w:fldCharType="end"/>
        </w:r>
      </w:hyperlink>
    </w:p>
    <w:p w14:paraId="4460FED9" w14:textId="5DAE0162" w:rsidR="007671B2" w:rsidRDefault="00000000">
      <w:pPr>
        <w:pStyle w:val="Inhopg1"/>
        <w:tabs>
          <w:tab w:val="left" w:pos="440"/>
          <w:tab w:val="right" w:leader="dot" w:pos="9016"/>
        </w:tabs>
        <w:rPr>
          <w:rFonts w:asciiTheme="minorHAnsi" w:eastAsiaTheme="minorEastAsia" w:hAnsiTheme="minorHAnsi"/>
          <w:noProof/>
          <w:lang w:val="nl-BE" w:eastAsia="nl-BE"/>
        </w:rPr>
      </w:pPr>
      <w:hyperlink w:anchor="_Toc129866654" w:history="1">
        <w:r w:rsidR="007671B2" w:rsidRPr="00975C58">
          <w:rPr>
            <w:rStyle w:val="Hyperlink"/>
            <w:noProof/>
            <w:lang w:eastAsia="nl-BE"/>
          </w:rPr>
          <w:t>4</w:t>
        </w:r>
        <w:r w:rsidR="007671B2">
          <w:rPr>
            <w:rFonts w:asciiTheme="minorHAnsi" w:eastAsiaTheme="minorEastAsia" w:hAnsiTheme="minorHAnsi"/>
            <w:noProof/>
            <w:lang w:val="nl-BE" w:eastAsia="nl-BE"/>
          </w:rPr>
          <w:tab/>
        </w:r>
        <w:r w:rsidR="007671B2" w:rsidRPr="00975C58">
          <w:rPr>
            <w:rStyle w:val="Hyperlink"/>
            <w:noProof/>
            <w:lang w:eastAsia="nl-BE"/>
          </w:rPr>
          <w:t>Allocation of resources</w:t>
        </w:r>
        <w:r w:rsidR="007671B2">
          <w:rPr>
            <w:noProof/>
            <w:webHidden/>
          </w:rPr>
          <w:tab/>
        </w:r>
        <w:r w:rsidR="007671B2">
          <w:rPr>
            <w:noProof/>
            <w:webHidden/>
          </w:rPr>
          <w:fldChar w:fldCharType="begin"/>
        </w:r>
        <w:r w:rsidR="007671B2">
          <w:rPr>
            <w:noProof/>
            <w:webHidden/>
          </w:rPr>
          <w:instrText xml:space="preserve"> PAGEREF _Toc129866654 \h </w:instrText>
        </w:r>
        <w:r w:rsidR="007671B2">
          <w:rPr>
            <w:noProof/>
            <w:webHidden/>
          </w:rPr>
        </w:r>
        <w:r w:rsidR="007671B2">
          <w:rPr>
            <w:noProof/>
            <w:webHidden/>
          </w:rPr>
          <w:fldChar w:fldCharType="separate"/>
        </w:r>
        <w:r w:rsidR="007671B2">
          <w:rPr>
            <w:noProof/>
            <w:webHidden/>
          </w:rPr>
          <w:t>8</w:t>
        </w:r>
        <w:r w:rsidR="007671B2">
          <w:rPr>
            <w:noProof/>
            <w:webHidden/>
          </w:rPr>
          <w:fldChar w:fldCharType="end"/>
        </w:r>
      </w:hyperlink>
    </w:p>
    <w:p w14:paraId="581DAE56" w14:textId="04089B60" w:rsidR="007671B2" w:rsidRDefault="00000000">
      <w:pPr>
        <w:pStyle w:val="Inhopg1"/>
        <w:tabs>
          <w:tab w:val="left" w:pos="440"/>
          <w:tab w:val="right" w:leader="dot" w:pos="9016"/>
        </w:tabs>
        <w:rPr>
          <w:rFonts w:asciiTheme="minorHAnsi" w:eastAsiaTheme="minorEastAsia" w:hAnsiTheme="minorHAnsi"/>
          <w:noProof/>
          <w:lang w:val="nl-BE" w:eastAsia="nl-BE"/>
        </w:rPr>
      </w:pPr>
      <w:hyperlink w:anchor="_Toc129866655" w:history="1">
        <w:r w:rsidR="007671B2" w:rsidRPr="00975C58">
          <w:rPr>
            <w:rStyle w:val="Hyperlink"/>
            <w:noProof/>
            <w:lang w:eastAsia="nl-BE"/>
          </w:rPr>
          <w:t>5</w:t>
        </w:r>
        <w:r w:rsidR="007671B2">
          <w:rPr>
            <w:rFonts w:asciiTheme="minorHAnsi" w:eastAsiaTheme="minorEastAsia" w:hAnsiTheme="minorHAnsi"/>
            <w:noProof/>
            <w:lang w:val="nl-BE" w:eastAsia="nl-BE"/>
          </w:rPr>
          <w:tab/>
        </w:r>
        <w:r w:rsidR="007671B2" w:rsidRPr="00975C58">
          <w:rPr>
            <w:rStyle w:val="Hyperlink"/>
            <w:noProof/>
            <w:lang w:eastAsia="nl-BE"/>
          </w:rPr>
          <w:t>Data security</w:t>
        </w:r>
        <w:r w:rsidR="007671B2">
          <w:rPr>
            <w:noProof/>
            <w:webHidden/>
          </w:rPr>
          <w:tab/>
        </w:r>
        <w:r w:rsidR="007671B2">
          <w:rPr>
            <w:noProof/>
            <w:webHidden/>
          </w:rPr>
          <w:fldChar w:fldCharType="begin"/>
        </w:r>
        <w:r w:rsidR="007671B2">
          <w:rPr>
            <w:noProof/>
            <w:webHidden/>
          </w:rPr>
          <w:instrText xml:space="preserve"> PAGEREF _Toc129866655 \h </w:instrText>
        </w:r>
        <w:r w:rsidR="007671B2">
          <w:rPr>
            <w:noProof/>
            <w:webHidden/>
          </w:rPr>
        </w:r>
        <w:r w:rsidR="007671B2">
          <w:rPr>
            <w:noProof/>
            <w:webHidden/>
          </w:rPr>
          <w:fldChar w:fldCharType="separate"/>
        </w:r>
        <w:r w:rsidR="007671B2">
          <w:rPr>
            <w:noProof/>
            <w:webHidden/>
          </w:rPr>
          <w:t>8</w:t>
        </w:r>
        <w:r w:rsidR="007671B2">
          <w:rPr>
            <w:noProof/>
            <w:webHidden/>
          </w:rPr>
          <w:fldChar w:fldCharType="end"/>
        </w:r>
      </w:hyperlink>
    </w:p>
    <w:p w14:paraId="05B5FB7A" w14:textId="4227B1D7" w:rsidR="007671B2" w:rsidRDefault="00000000">
      <w:pPr>
        <w:pStyle w:val="Inhopg1"/>
        <w:tabs>
          <w:tab w:val="left" w:pos="440"/>
          <w:tab w:val="right" w:leader="dot" w:pos="9016"/>
        </w:tabs>
        <w:rPr>
          <w:rFonts w:asciiTheme="minorHAnsi" w:eastAsiaTheme="minorEastAsia" w:hAnsiTheme="minorHAnsi"/>
          <w:noProof/>
          <w:lang w:val="nl-BE" w:eastAsia="nl-BE"/>
        </w:rPr>
      </w:pPr>
      <w:hyperlink w:anchor="_Toc129866656" w:history="1">
        <w:r w:rsidR="007671B2" w:rsidRPr="00975C58">
          <w:rPr>
            <w:rStyle w:val="Hyperlink"/>
            <w:noProof/>
            <w:lang w:eastAsia="nl-BE"/>
          </w:rPr>
          <w:t>6</w:t>
        </w:r>
        <w:r w:rsidR="007671B2">
          <w:rPr>
            <w:rFonts w:asciiTheme="minorHAnsi" w:eastAsiaTheme="minorEastAsia" w:hAnsiTheme="minorHAnsi"/>
            <w:noProof/>
            <w:lang w:val="nl-BE" w:eastAsia="nl-BE"/>
          </w:rPr>
          <w:tab/>
        </w:r>
        <w:r w:rsidR="007671B2" w:rsidRPr="00975C58">
          <w:rPr>
            <w:rStyle w:val="Hyperlink"/>
            <w:noProof/>
            <w:lang w:eastAsia="nl-BE"/>
          </w:rPr>
          <w:t>Ethical aspects</w:t>
        </w:r>
        <w:r w:rsidR="007671B2">
          <w:rPr>
            <w:noProof/>
            <w:webHidden/>
          </w:rPr>
          <w:tab/>
        </w:r>
        <w:r w:rsidR="007671B2">
          <w:rPr>
            <w:noProof/>
            <w:webHidden/>
          </w:rPr>
          <w:fldChar w:fldCharType="begin"/>
        </w:r>
        <w:r w:rsidR="007671B2">
          <w:rPr>
            <w:noProof/>
            <w:webHidden/>
          </w:rPr>
          <w:instrText xml:space="preserve"> PAGEREF _Toc129866656 \h </w:instrText>
        </w:r>
        <w:r w:rsidR="007671B2">
          <w:rPr>
            <w:noProof/>
            <w:webHidden/>
          </w:rPr>
        </w:r>
        <w:r w:rsidR="007671B2">
          <w:rPr>
            <w:noProof/>
            <w:webHidden/>
          </w:rPr>
          <w:fldChar w:fldCharType="separate"/>
        </w:r>
        <w:r w:rsidR="007671B2">
          <w:rPr>
            <w:noProof/>
            <w:webHidden/>
          </w:rPr>
          <w:t>8</w:t>
        </w:r>
        <w:r w:rsidR="007671B2">
          <w:rPr>
            <w:noProof/>
            <w:webHidden/>
          </w:rPr>
          <w:fldChar w:fldCharType="end"/>
        </w:r>
      </w:hyperlink>
    </w:p>
    <w:p w14:paraId="317D2FD1" w14:textId="348BE7C1" w:rsidR="007671B2" w:rsidRDefault="00000000">
      <w:pPr>
        <w:pStyle w:val="Inhopg2"/>
        <w:tabs>
          <w:tab w:val="left" w:pos="880"/>
          <w:tab w:val="right" w:leader="dot" w:pos="9016"/>
        </w:tabs>
        <w:rPr>
          <w:rFonts w:asciiTheme="minorHAnsi" w:eastAsiaTheme="minorEastAsia" w:hAnsiTheme="minorHAnsi"/>
          <w:noProof/>
          <w:lang w:val="nl-BE" w:eastAsia="nl-BE"/>
        </w:rPr>
      </w:pPr>
      <w:hyperlink w:anchor="_Toc129866657" w:history="1">
        <w:r w:rsidR="007671B2" w:rsidRPr="00975C58">
          <w:rPr>
            <w:rStyle w:val="Hyperlink"/>
            <w:noProof/>
          </w:rPr>
          <w:t>6.1</w:t>
        </w:r>
        <w:r w:rsidR="007671B2">
          <w:rPr>
            <w:rFonts w:asciiTheme="minorHAnsi" w:eastAsiaTheme="minorEastAsia" w:hAnsiTheme="minorHAnsi"/>
            <w:noProof/>
            <w:lang w:val="nl-BE" w:eastAsia="nl-BE"/>
          </w:rPr>
          <w:tab/>
        </w:r>
        <w:r w:rsidR="007671B2" w:rsidRPr="00975C58">
          <w:rPr>
            <w:rStyle w:val="Hyperlink"/>
            <w:noProof/>
          </w:rPr>
          <w:t>Ethics approval of the ethics committees</w:t>
        </w:r>
        <w:r w:rsidR="007671B2">
          <w:rPr>
            <w:noProof/>
            <w:webHidden/>
          </w:rPr>
          <w:tab/>
        </w:r>
        <w:r w:rsidR="007671B2">
          <w:rPr>
            <w:noProof/>
            <w:webHidden/>
          </w:rPr>
          <w:fldChar w:fldCharType="begin"/>
        </w:r>
        <w:r w:rsidR="007671B2">
          <w:rPr>
            <w:noProof/>
            <w:webHidden/>
          </w:rPr>
          <w:instrText xml:space="preserve"> PAGEREF _Toc129866657 \h </w:instrText>
        </w:r>
        <w:r w:rsidR="007671B2">
          <w:rPr>
            <w:noProof/>
            <w:webHidden/>
          </w:rPr>
        </w:r>
        <w:r w:rsidR="007671B2">
          <w:rPr>
            <w:noProof/>
            <w:webHidden/>
          </w:rPr>
          <w:fldChar w:fldCharType="separate"/>
        </w:r>
        <w:r w:rsidR="007671B2">
          <w:rPr>
            <w:noProof/>
            <w:webHidden/>
          </w:rPr>
          <w:t>8</w:t>
        </w:r>
        <w:r w:rsidR="007671B2">
          <w:rPr>
            <w:noProof/>
            <w:webHidden/>
          </w:rPr>
          <w:fldChar w:fldCharType="end"/>
        </w:r>
      </w:hyperlink>
    </w:p>
    <w:p w14:paraId="2AA03D1E" w14:textId="088D1335" w:rsidR="007671B2" w:rsidRDefault="00000000">
      <w:pPr>
        <w:pStyle w:val="Inhopg2"/>
        <w:tabs>
          <w:tab w:val="left" w:pos="880"/>
          <w:tab w:val="right" w:leader="dot" w:pos="9016"/>
        </w:tabs>
        <w:rPr>
          <w:rFonts w:asciiTheme="minorHAnsi" w:eastAsiaTheme="minorEastAsia" w:hAnsiTheme="minorHAnsi"/>
          <w:noProof/>
          <w:lang w:val="nl-BE" w:eastAsia="nl-BE"/>
        </w:rPr>
      </w:pPr>
      <w:hyperlink w:anchor="_Toc129866658" w:history="1">
        <w:r w:rsidR="007671B2" w:rsidRPr="00975C58">
          <w:rPr>
            <w:rStyle w:val="Hyperlink"/>
            <w:noProof/>
          </w:rPr>
          <w:t>6.2</w:t>
        </w:r>
        <w:r w:rsidR="007671B2">
          <w:rPr>
            <w:rFonts w:asciiTheme="minorHAnsi" w:eastAsiaTheme="minorEastAsia" w:hAnsiTheme="minorHAnsi"/>
            <w:noProof/>
            <w:lang w:val="nl-BE" w:eastAsia="nl-BE"/>
          </w:rPr>
          <w:tab/>
        </w:r>
        <w:r w:rsidR="007671B2" w:rsidRPr="00975C58">
          <w:rPr>
            <w:rStyle w:val="Hyperlink"/>
            <w:noProof/>
          </w:rPr>
          <w:t>Ethics throughout the project</w:t>
        </w:r>
        <w:r w:rsidR="007671B2">
          <w:rPr>
            <w:noProof/>
            <w:webHidden/>
          </w:rPr>
          <w:tab/>
        </w:r>
        <w:r w:rsidR="007671B2">
          <w:rPr>
            <w:noProof/>
            <w:webHidden/>
          </w:rPr>
          <w:fldChar w:fldCharType="begin"/>
        </w:r>
        <w:r w:rsidR="007671B2">
          <w:rPr>
            <w:noProof/>
            <w:webHidden/>
          </w:rPr>
          <w:instrText xml:space="preserve"> PAGEREF _Toc129866658 \h </w:instrText>
        </w:r>
        <w:r w:rsidR="007671B2">
          <w:rPr>
            <w:noProof/>
            <w:webHidden/>
          </w:rPr>
        </w:r>
        <w:r w:rsidR="007671B2">
          <w:rPr>
            <w:noProof/>
            <w:webHidden/>
          </w:rPr>
          <w:fldChar w:fldCharType="separate"/>
        </w:r>
        <w:r w:rsidR="007671B2">
          <w:rPr>
            <w:noProof/>
            <w:webHidden/>
          </w:rPr>
          <w:t>9</w:t>
        </w:r>
        <w:r w:rsidR="007671B2">
          <w:rPr>
            <w:noProof/>
            <w:webHidden/>
          </w:rPr>
          <w:fldChar w:fldCharType="end"/>
        </w:r>
      </w:hyperlink>
    </w:p>
    <w:p w14:paraId="605579B8" w14:textId="57FEDBC5" w:rsidR="007671B2" w:rsidRDefault="00000000">
      <w:pPr>
        <w:pStyle w:val="Inhopg3"/>
        <w:tabs>
          <w:tab w:val="left" w:pos="1320"/>
          <w:tab w:val="right" w:leader="dot" w:pos="9016"/>
        </w:tabs>
        <w:rPr>
          <w:rFonts w:asciiTheme="minorHAnsi" w:eastAsiaTheme="minorEastAsia" w:hAnsiTheme="minorHAnsi"/>
          <w:noProof/>
          <w:lang w:val="nl-BE" w:eastAsia="nl-BE"/>
        </w:rPr>
      </w:pPr>
      <w:hyperlink w:anchor="_Toc129866659" w:history="1">
        <w:r w:rsidR="007671B2" w:rsidRPr="00975C58">
          <w:rPr>
            <w:rStyle w:val="Hyperlink"/>
            <w:noProof/>
          </w:rPr>
          <w:t>6.2.1</w:t>
        </w:r>
        <w:r w:rsidR="007671B2">
          <w:rPr>
            <w:rFonts w:asciiTheme="minorHAnsi" w:eastAsiaTheme="minorEastAsia" w:hAnsiTheme="minorHAnsi"/>
            <w:noProof/>
            <w:lang w:val="nl-BE" w:eastAsia="nl-BE"/>
          </w:rPr>
          <w:tab/>
        </w:r>
        <w:r w:rsidR="007671B2" w:rsidRPr="00975C58">
          <w:rPr>
            <w:rStyle w:val="Hyperlink"/>
            <w:noProof/>
          </w:rPr>
          <w:t>Human participants</w:t>
        </w:r>
        <w:r w:rsidR="007671B2">
          <w:rPr>
            <w:noProof/>
            <w:webHidden/>
          </w:rPr>
          <w:tab/>
        </w:r>
        <w:r w:rsidR="007671B2">
          <w:rPr>
            <w:noProof/>
            <w:webHidden/>
          </w:rPr>
          <w:fldChar w:fldCharType="begin"/>
        </w:r>
        <w:r w:rsidR="007671B2">
          <w:rPr>
            <w:noProof/>
            <w:webHidden/>
          </w:rPr>
          <w:instrText xml:space="preserve"> PAGEREF _Toc129866659 \h </w:instrText>
        </w:r>
        <w:r w:rsidR="007671B2">
          <w:rPr>
            <w:noProof/>
            <w:webHidden/>
          </w:rPr>
        </w:r>
        <w:r w:rsidR="007671B2">
          <w:rPr>
            <w:noProof/>
            <w:webHidden/>
          </w:rPr>
          <w:fldChar w:fldCharType="separate"/>
        </w:r>
        <w:r w:rsidR="007671B2">
          <w:rPr>
            <w:noProof/>
            <w:webHidden/>
          </w:rPr>
          <w:t>9</w:t>
        </w:r>
        <w:r w:rsidR="007671B2">
          <w:rPr>
            <w:noProof/>
            <w:webHidden/>
          </w:rPr>
          <w:fldChar w:fldCharType="end"/>
        </w:r>
      </w:hyperlink>
    </w:p>
    <w:p w14:paraId="4A2B6F2B" w14:textId="2212DA4D" w:rsidR="007671B2" w:rsidRDefault="00000000">
      <w:pPr>
        <w:pStyle w:val="Inhopg3"/>
        <w:tabs>
          <w:tab w:val="left" w:pos="1320"/>
          <w:tab w:val="right" w:leader="dot" w:pos="9016"/>
        </w:tabs>
        <w:rPr>
          <w:rFonts w:asciiTheme="minorHAnsi" w:eastAsiaTheme="minorEastAsia" w:hAnsiTheme="minorHAnsi"/>
          <w:noProof/>
          <w:lang w:val="nl-BE" w:eastAsia="nl-BE"/>
        </w:rPr>
      </w:pPr>
      <w:hyperlink w:anchor="_Toc129866660" w:history="1">
        <w:r w:rsidR="007671B2" w:rsidRPr="00975C58">
          <w:rPr>
            <w:rStyle w:val="Hyperlink"/>
            <w:noProof/>
          </w:rPr>
          <w:t>6.2.2</w:t>
        </w:r>
        <w:r w:rsidR="007671B2">
          <w:rPr>
            <w:rFonts w:asciiTheme="minorHAnsi" w:eastAsiaTheme="minorEastAsia" w:hAnsiTheme="minorHAnsi"/>
            <w:noProof/>
            <w:lang w:val="nl-BE" w:eastAsia="nl-BE"/>
          </w:rPr>
          <w:tab/>
        </w:r>
        <w:r w:rsidR="007671B2" w:rsidRPr="00975C58">
          <w:rPr>
            <w:rStyle w:val="Hyperlink"/>
            <w:noProof/>
          </w:rPr>
          <w:t>Personal data</w:t>
        </w:r>
        <w:r w:rsidR="007671B2">
          <w:rPr>
            <w:noProof/>
            <w:webHidden/>
          </w:rPr>
          <w:tab/>
        </w:r>
        <w:r w:rsidR="007671B2">
          <w:rPr>
            <w:noProof/>
            <w:webHidden/>
          </w:rPr>
          <w:fldChar w:fldCharType="begin"/>
        </w:r>
        <w:r w:rsidR="007671B2">
          <w:rPr>
            <w:noProof/>
            <w:webHidden/>
          </w:rPr>
          <w:instrText xml:space="preserve"> PAGEREF _Toc129866660 \h </w:instrText>
        </w:r>
        <w:r w:rsidR="007671B2">
          <w:rPr>
            <w:noProof/>
            <w:webHidden/>
          </w:rPr>
        </w:r>
        <w:r w:rsidR="007671B2">
          <w:rPr>
            <w:noProof/>
            <w:webHidden/>
          </w:rPr>
          <w:fldChar w:fldCharType="separate"/>
        </w:r>
        <w:r w:rsidR="007671B2">
          <w:rPr>
            <w:noProof/>
            <w:webHidden/>
          </w:rPr>
          <w:t>10</w:t>
        </w:r>
        <w:r w:rsidR="007671B2">
          <w:rPr>
            <w:noProof/>
            <w:webHidden/>
          </w:rPr>
          <w:fldChar w:fldCharType="end"/>
        </w:r>
      </w:hyperlink>
    </w:p>
    <w:p w14:paraId="7F54B0F7" w14:textId="475ABF2E" w:rsidR="007671B2" w:rsidRDefault="00000000">
      <w:pPr>
        <w:pStyle w:val="Inhopg2"/>
        <w:tabs>
          <w:tab w:val="left" w:pos="880"/>
          <w:tab w:val="right" w:leader="dot" w:pos="9016"/>
        </w:tabs>
        <w:rPr>
          <w:rFonts w:asciiTheme="minorHAnsi" w:eastAsiaTheme="minorEastAsia" w:hAnsiTheme="minorHAnsi"/>
          <w:noProof/>
          <w:lang w:val="nl-BE" w:eastAsia="nl-BE"/>
        </w:rPr>
      </w:pPr>
      <w:hyperlink w:anchor="_Toc129866661" w:history="1">
        <w:r w:rsidR="007671B2" w:rsidRPr="00975C58">
          <w:rPr>
            <w:rStyle w:val="Hyperlink"/>
            <w:noProof/>
          </w:rPr>
          <w:t>6.3</w:t>
        </w:r>
        <w:r w:rsidR="007671B2">
          <w:rPr>
            <w:rFonts w:asciiTheme="minorHAnsi" w:eastAsiaTheme="minorEastAsia" w:hAnsiTheme="minorHAnsi"/>
            <w:noProof/>
            <w:lang w:val="nl-BE" w:eastAsia="nl-BE"/>
          </w:rPr>
          <w:tab/>
        </w:r>
        <w:r w:rsidR="007671B2" w:rsidRPr="00975C58">
          <w:rPr>
            <w:rStyle w:val="Hyperlink"/>
            <w:noProof/>
          </w:rPr>
          <w:t>Ethics per work package</w:t>
        </w:r>
        <w:r w:rsidR="007671B2">
          <w:rPr>
            <w:noProof/>
            <w:webHidden/>
          </w:rPr>
          <w:tab/>
        </w:r>
        <w:r w:rsidR="007671B2">
          <w:rPr>
            <w:noProof/>
            <w:webHidden/>
          </w:rPr>
          <w:fldChar w:fldCharType="begin"/>
        </w:r>
        <w:r w:rsidR="007671B2">
          <w:rPr>
            <w:noProof/>
            <w:webHidden/>
          </w:rPr>
          <w:instrText xml:space="preserve"> PAGEREF _Toc129866661 \h </w:instrText>
        </w:r>
        <w:r w:rsidR="007671B2">
          <w:rPr>
            <w:noProof/>
            <w:webHidden/>
          </w:rPr>
        </w:r>
        <w:r w:rsidR="007671B2">
          <w:rPr>
            <w:noProof/>
            <w:webHidden/>
          </w:rPr>
          <w:fldChar w:fldCharType="separate"/>
        </w:r>
        <w:r w:rsidR="007671B2">
          <w:rPr>
            <w:noProof/>
            <w:webHidden/>
          </w:rPr>
          <w:t>12</w:t>
        </w:r>
        <w:r w:rsidR="007671B2">
          <w:rPr>
            <w:noProof/>
            <w:webHidden/>
          </w:rPr>
          <w:fldChar w:fldCharType="end"/>
        </w:r>
      </w:hyperlink>
    </w:p>
    <w:p w14:paraId="6F15E698" w14:textId="2B2007D2" w:rsidR="007671B2" w:rsidRDefault="00000000">
      <w:pPr>
        <w:pStyle w:val="Inhopg3"/>
        <w:tabs>
          <w:tab w:val="left" w:pos="1320"/>
          <w:tab w:val="right" w:leader="dot" w:pos="9016"/>
        </w:tabs>
        <w:rPr>
          <w:rFonts w:asciiTheme="minorHAnsi" w:eastAsiaTheme="minorEastAsia" w:hAnsiTheme="minorHAnsi"/>
          <w:noProof/>
          <w:lang w:val="nl-BE" w:eastAsia="nl-BE"/>
        </w:rPr>
      </w:pPr>
      <w:hyperlink w:anchor="_Toc129866662" w:history="1">
        <w:r w:rsidR="007671B2" w:rsidRPr="00975C58">
          <w:rPr>
            <w:rStyle w:val="Hyperlink"/>
            <w:noProof/>
            <w:lang w:eastAsia="nl-BE"/>
          </w:rPr>
          <w:t>6.3.1</w:t>
        </w:r>
        <w:r w:rsidR="007671B2">
          <w:rPr>
            <w:rFonts w:asciiTheme="minorHAnsi" w:eastAsiaTheme="minorEastAsia" w:hAnsiTheme="minorHAnsi"/>
            <w:noProof/>
            <w:lang w:val="nl-BE" w:eastAsia="nl-BE"/>
          </w:rPr>
          <w:tab/>
        </w:r>
        <w:r w:rsidR="007671B2" w:rsidRPr="00975C58">
          <w:rPr>
            <w:rStyle w:val="Hyperlink"/>
            <w:noProof/>
            <w:lang w:eastAsia="nl-BE"/>
          </w:rPr>
          <w:t>WP3: Evaluation and validation of intervention programmes</w:t>
        </w:r>
        <w:r w:rsidR="007671B2">
          <w:rPr>
            <w:noProof/>
            <w:webHidden/>
          </w:rPr>
          <w:tab/>
        </w:r>
        <w:r w:rsidR="007671B2">
          <w:rPr>
            <w:noProof/>
            <w:webHidden/>
          </w:rPr>
          <w:fldChar w:fldCharType="begin"/>
        </w:r>
        <w:r w:rsidR="007671B2">
          <w:rPr>
            <w:noProof/>
            <w:webHidden/>
          </w:rPr>
          <w:instrText xml:space="preserve"> PAGEREF _Toc129866662 \h </w:instrText>
        </w:r>
        <w:r w:rsidR="007671B2">
          <w:rPr>
            <w:noProof/>
            <w:webHidden/>
          </w:rPr>
        </w:r>
        <w:r w:rsidR="007671B2">
          <w:rPr>
            <w:noProof/>
            <w:webHidden/>
          </w:rPr>
          <w:fldChar w:fldCharType="separate"/>
        </w:r>
        <w:r w:rsidR="007671B2">
          <w:rPr>
            <w:noProof/>
            <w:webHidden/>
          </w:rPr>
          <w:t>12</w:t>
        </w:r>
        <w:r w:rsidR="007671B2">
          <w:rPr>
            <w:noProof/>
            <w:webHidden/>
          </w:rPr>
          <w:fldChar w:fldCharType="end"/>
        </w:r>
      </w:hyperlink>
    </w:p>
    <w:p w14:paraId="363C4098" w14:textId="23402860" w:rsidR="007671B2" w:rsidRDefault="00000000">
      <w:pPr>
        <w:pStyle w:val="Inhopg1"/>
        <w:tabs>
          <w:tab w:val="left" w:pos="440"/>
          <w:tab w:val="right" w:leader="dot" w:pos="9016"/>
        </w:tabs>
        <w:rPr>
          <w:rFonts w:asciiTheme="minorHAnsi" w:eastAsiaTheme="minorEastAsia" w:hAnsiTheme="minorHAnsi"/>
          <w:noProof/>
          <w:lang w:val="nl-BE" w:eastAsia="nl-BE"/>
        </w:rPr>
      </w:pPr>
      <w:hyperlink w:anchor="_Toc129866663" w:history="1">
        <w:r w:rsidR="007671B2" w:rsidRPr="00975C58">
          <w:rPr>
            <w:rStyle w:val="Hyperlink"/>
            <w:noProof/>
            <w:lang w:val="en-US" w:eastAsia="nl-BE"/>
          </w:rPr>
          <w:t>7</w:t>
        </w:r>
        <w:r w:rsidR="007671B2">
          <w:rPr>
            <w:rFonts w:asciiTheme="minorHAnsi" w:eastAsiaTheme="minorEastAsia" w:hAnsiTheme="minorHAnsi"/>
            <w:noProof/>
            <w:lang w:val="nl-BE" w:eastAsia="nl-BE"/>
          </w:rPr>
          <w:tab/>
        </w:r>
        <w:r w:rsidR="007671B2" w:rsidRPr="00975C58">
          <w:rPr>
            <w:rStyle w:val="Hyperlink"/>
            <w:noProof/>
            <w:lang w:val="en-US" w:eastAsia="nl-BE"/>
          </w:rPr>
          <w:t>Other issues</w:t>
        </w:r>
        <w:r w:rsidR="007671B2">
          <w:rPr>
            <w:noProof/>
            <w:webHidden/>
          </w:rPr>
          <w:tab/>
        </w:r>
        <w:r w:rsidR="007671B2">
          <w:rPr>
            <w:noProof/>
            <w:webHidden/>
          </w:rPr>
          <w:fldChar w:fldCharType="begin"/>
        </w:r>
        <w:r w:rsidR="007671B2">
          <w:rPr>
            <w:noProof/>
            <w:webHidden/>
          </w:rPr>
          <w:instrText xml:space="preserve"> PAGEREF _Toc129866663 \h </w:instrText>
        </w:r>
        <w:r w:rsidR="007671B2">
          <w:rPr>
            <w:noProof/>
            <w:webHidden/>
          </w:rPr>
        </w:r>
        <w:r w:rsidR="007671B2">
          <w:rPr>
            <w:noProof/>
            <w:webHidden/>
          </w:rPr>
          <w:fldChar w:fldCharType="separate"/>
        </w:r>
        <w:r w:rsidR="007671B2">
          <w:rPr>
            <w:noProof/>
            <w:webHidden/>
          </w:rPr>
          <w:t>12</w:t>
        </w:r>
        <w:r w:rsidR="007671B2">
          <w:rPr>
            <w:noProof/>
            <w:webHidden/>
          </w:rPr>
          <w:fldChar w:fldCharType="end"/>
        </w:r>
      </w:hyperlink>
    </w:p>
    <w:p w14:paraId="4B01147E" w14:textId="363AC611" w:rsidR="00487B30" w:rsidRPr="00487B30" w:rsidRDefault="00487B30">
      <w:pPr>
        <w:rPr>
          <w:b/>
          <w:color w:val="FF8754"/>
        </w:rPr>
      </w:pPr>
      <w:r>
        <w:rPr>
          <w:b/>
          <w:color w:val="FF8754"/>
        </w:rPr>
        <w:fldChar w:fldCharType="end"/>
      </w:r>
    </w:p>
    <w:p w14:paraId="037BF98C" w14:textId="2E9626D8" w:rsidR="00386A78" w:rsidRDefault="00386A78">
      <w:pPr>
        <w:spacing w:after="160"/>
        <w:jc w:val="left"/>
      </w:pPr>
      <w:r>
        <w:br w:type="page"/>
      </w:r>
    </w:p>
    <w:p w14:paraId="4621262F" w14:textId="77777777" w:rsidR="00D6599F" w:rsidRPr="00D6599F" w:rsidRDefault="006956F7" w:rsidP="00D6599F">
      <w:pPr>
        <w:pStyle w:val="Kop1"/>
      </w:pPr>
      <w:bookmarkStart w:id="0" w:name="_Toc129101139"/>
      <w:bookmarkStart w:id="1" w:name="_Toc129866651"/>
      <w:r w:rsidRPr="00CF2CB2">
        <w:lastRenderedPageBreak/>
        <w:t>Introduction</w:t>
      </w:r>
      <w:bookmarkEnd w:id="0"/>
      <w:bookmarkEnd w:id="1"/>
    </w:p>
    <w:p w14:paraId="00C2A701" w14:textId="1C1059CD" w:rsidR="0052147E" w:rsidRPr="007B74DA" w:rsidRDefault="0052147E" w:rsidP="0052147E">
      <w:r w:rsidRPr="00E774FC">
        <w:t xml:space="preserve">The </w:t>
      </w:r>
      <w:r>
        <w:t>REMEDIS</w:t>
      </w:r>
      <w:r w:rsidRPr="00E774FC">
        <w:t xml:space="preserve"> project</w:t>
      </w:r>
      <w:r w:rsidR="00193011">
        <w:t xml:space="preserve"> engages in several</w:t>
      </w:r>
      <w:r w:rsidRPr="00E774FC">
        <w:t xml:space="preserve"> data collection </w:t>
      </w:r>
      <w:r>
        <w:t>operation</w:t>
      </w:r>
      <w:r w:rsidRPr="00E774FC">
        <w:t xml:space="preserve">s. These are </w:t>
      </w:r>
      <w:r>
        <w:t>conduc</w:t>
      </w:r>
      <w:r w:rsidRPr="00E774FC">
        <w:t xml:space="preserve">ted within different work packages. In this Data Management Plan (DMP), these </w:t>
      </w:r>
      <w:r w:rsidRPr="007B74DA">
        <w:t xml:space="preserve">different data collection </w:t>
      </w:r>
      <w:r>
        <w:t>operation</w:t>
      </w:r>
      <w:r w:rsidRPr="007B74DA">
        <w:t>s will therefore be discussed independently of each other. They consist of:</w:t>
      </w:r>
    </w:p>
    <w:p w14:paraId="468D813E" w14:textId="77777777" w:rsidR="0052147E" w:rsidRPr="001B6D8E" w:rsidRDefault="00355698" w:rsidP="0052147E">
      <w:pPr>
        <w:pStyle w:val="Lijstalinea"/>
        <w:numPr>
          <w:ilvl w:val="0"/>
          <w:numId w:val="26"/>
        </w:numPr>
      </w:pPr>
      <w:r>
        <w:t xml:space="preserve">Systematic evidence </w:t>
      </w:r>
      <w:proofErr w:type="gramStart"/>
      <w:r>
        <w:t>review</w:t>
      </w:r>
      <w:proofErr w:type="gramEnd"/>
      <w:r w:rsidR="0052147E" w:rsidRPr="001B6D8E">
        <w:t xml:space="preserve"> (Task </w:t>
      </w:r>
      <w:r w:rsidR="00FF6728" w:rsidRPr="001B6D8E">
        <w:t>1.1, Task 1.2</w:t>
      </w:r>
      <w:r w:rsidR="0052147E" w:rsidRPr="001B6D8E">
        <w:t>)</w:t>
      </w:r>
    </w:p>
    <w:p w14:paraId="3DA403FD" w14:textId="1CADC53D" w:rsidR="0052147E" w:rsidRPr="001B6D8E" w:rsidRDefault="001B6D8E" w:rsidP="0052147E">
      <w:pPr>
        <w:pStyle w:val="Lijstalinea"/>
        <w:numPr>
          <w:ilvl w:val="0"/>
          <w:numId w:val="26"/>
        </w:numPr>
      </w:pPr>
      <w:r w:rsidRPr="001B6D8E">
        <w:t>Evaluation and v</w:t>
      </w:r>
      <w:r w:rsidR="000100A0">
        <w:t>alidation of</w:t>
      </w:r>
      <w:r w:rsidRPr="001B6D8E">
        <w:t xml:space="preserve"> interventions</w:t>
      </w:r>
      <w:r w:rsidR="00461177">
        <w:t xml:space="preserve"> using experimental designs</w:t>
      </w:r>
      <w:r w:rsidRPr="001B6D8E">
        <w:t xml:space="preserve"> (Tasks 3.1 – 3.</w:t>
      </w:r>
      <w:r w:rsidR="00355698">
        <w:t>6)</w:t>
      </w:r>
    </w:p>
    <w:p w14:paraId="5839C565" w14:textId="3CFE347B" w:rsidR="0052147E" w:rsidRPr="00E1289E" w:rsidRDefault="0052147E" w:rsidP="0052147E">
      <w:r w:rsidRPr="00E1289E">
        <w:t xml:space="preserve">We aim to maximise transparency and accountability, enable scrutiny of any data generated, increase the impact and visibility of the research, and address any barriers to get access to data compatible with full ethics compliance. All of </w:t>
      </w:r>
      <w:r>
        <w:t>REMEDIS</w:t>
      </w:r>
      <w:r w:rsidRPr="00E1289E">
        <w:t xml:space="preserve">’ data collection efforts are at the time of writing of this Data Management Plan still in development. This means that information on the amount of data gathered and the possibilities of making metadata and data available cannot be fully envisaged at this point. Other currently anticipated aspects of data management may change </w:t>
      </w:r>
      <w:proofErr w:type="gramStart"/>
      <w:r w:rsidRPr="00E1289E">
        <w:t>in the course of</w:t>
      </w:r>
      <w:proofErr w:type="gramEnd"/>
      <w:r w:rsidRPr="00E1289E">
        <w:t xml:space="preserve"> the project for various reasons. Hence, the DMP will be updated accordingly, as the project </w:t>
      </w:r>
      <w:r w:rsidR="00E00985">
        <w:t>unfolds,</w:t>
      </w:r>
      <w:r w:rsidRPr="00E1289E">
        <w:t xml:space="preserve"> and these aspects of data management become clearer.</w:t>
      </w:r>
    </w:p>
    <w:p w14:paraId="3B568E48" w14:textId="77777777" w:rsidR="0052147E" w:rsidRDefault="0052147E" w:rsidP="0052147E">
      <w:pPr>
        <w:rPr>
          <w:iCs/>
        </w:rPr>
      </w:pPr>
      <w:r w:rsidRPr="00E1289E">
        <w:rPr>
          <w:iCs/>
        </w:rPr>
        <w:t xml:space="preserve">KU Leuven supports its researchers </w:t>
      </w:r>
      <w:proofErr w:type="gramStart"/>
      <w:r w:rsidRPr="00E1289E">
        <w:rPr>
          <w:iCs/>
        </w:rPr>
        <w:t>in the area of</w:t>
      </w:r>
      <w:proofErr w:type="gramEnd"/>
      <w:r w:rsidRPr="00E1289E">
        <w:rPr>
          <w:iCs/>
        </w:rPr>
        <w:t xml:space="preserve"> </w:t>
      </w:r>
      <w:r w:rsidRPr="00E1289E">
        <w:rPr>
          <w:bCs/>
          <w:iCs/>
        </w:rPr>
        <w:t>RDM</w:t>
      </w:r>
      <w:r w:rsidRPr="00E1289E">
        <w:rPr>
          <w:iCs/>
        </w:rPr>
        <w:t xml:space="preserve"> (research data management) by the provision of a customized and free data management plan (DMP) (including guidance to KU Leuven legal requirements and policy guidelines) based on the templates provided by the Digital Curation Centre (UK), and a dedicated RDM support desk advising on data storage, metadata and preparing data for sharing. The university also continues to invest in affordable long-term storage and curation facilities.</w:t>
      </w:r>
    </w:p>
    <w:p w14:paraId="029D2ACA" w14:textId="77777777" w:rsidR="0052147E" w:rsidRDefault="0052147E">
      <w:pPr>
        <w:spacing w:after="160"/>
        <w:jc w:val="left"/>
        <w:rPr>
          <w:iCs/>
        </w:rPr>
      </w:pPr>
      <w:r>
        <w:rPr>
          <w:iCs/>
        </w:rPr>
        <w:br w:type="page"/>
      </w:r>
    </w:p>
    <w:p w14:paraId="676EE900" w14:textId="4D5A58B9" w:rsidR="00F52C50" w:rsidRPr="00F52C50" w:rsidRDefault="0052147E" w:rsidP="00F52C50">
      <w:pPr>
        <w:pStyle w:val="Kop1"/>
      </w:pPr>
      <w:bookmarkStart w:id="2" w:name="_Toc129866652"/>
      <w:r>
        <w:lastRenderedPageBreak/>
        <w:t>Data summary</w:t>
      </w:r>
      <w:bookmarkEnd w:id="2"/>
    </w:p>
    <w:tbl>
      <w:tblPr>
        <w:tblW w:w="9016"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4A0" w:firstRow="1" w:lastRow="0" w:firstColumn="1" w:lastColumn="0" w:noHBand="0" w:noVBand="1"/>
      </w:tblPr>
      <w:tblGrid>
        <w:gridCol w:w="646"/>
        <w:gridCol w:w="1522"/>
        <w:gridCol w:w="804"/>
        <w:gridCol w:w="1179"/>
        <w:gridCol w:w="1251"/>
        <w:gridCol w:w="1745"/>
        <w:gridCol w:w="216"/>
        <w:gridCol w:w="822"/>
        <w:gridCol w:w="831"/>
      </w:tblGrid>
      <w:tr w:rsidR="00B0144E" w:rsidRPr="0052147E" w14:paraId="3F2DD881" w14:textId="77777777" w:rsidTr="002B1351">
        <w:trPr>
          <w:trHeight w:val="431"/>
        </w:trPr>
        <w:tc>
          <w:tcPr>
            <w:tcW w:w="9016" w:type="dxa"/>
            <w:gridSpan w:val="9"/>
            <w:tcBorders>
              <w:top w:val="single" w:sz="4" w:space="0" w:color="EF7B1A"/>
              <w:left w:val="single" w:sz="4" w:space="0" w:color="FF8B54"/>
              <w:bottom w:val="nil"/>
              <w:right w:val="single" w:sz="4" w:space="0" w:color="FF8B54"/>
            </w:tcBorders>
            <w:shd w:val="clear" w:color="auto" w:fill="FF8B54"/>
          </w:tcPr>
          <w:p w14:paraId="6E4DF145" w14:textId="336BD743" w:rsidR="00B0144E" w:rsidRPr="00B0144E" w:rsidRDefault="00B0144E" w:rsidP="0052147E">
            <w:r w:rsidRPr="0052147E">
              <w:rPr>
                <w:b/>
              </w:rPr>
              <w:t>Table 1.</w:t>
            </w:r>
            <w:r>
              <w:t xml:space="preserve"> </w:t>
            </w:r>
            <w:r w:rsidR="00D014FD">
              <w:rPr>
                <w:b/>
              </w:rPr>
              <w:t>REMEDIS</w:t>
            </w:r>
            <w:r w:rsidRPr="00D1251D">
              <w:rPr>
                <w:b/>
              </w:rPr>
              <w:t xml:space="preserve"> data </w:t>
            </w:r>
            <w:proofErr w:type="gramStart"/>
            <w:r w:rsidRPr="00D1251D">
              <w:rPr>
                <w:b/>
              </w:rPr>
              <w:t>at a glance</w:t>
            </w:r>
            <w:proofErr w:type="gramEnd"/>
          </w:p>
        </w:tc>
      </w:tr>
      <w:tr w:rsidR="00355698" w:rsidRPr="0052147E" w14:paraId="59B42752" w14:textId="77777777" w:rsidTr="002B1351">
        <w:trPr>
          <w:trHeight w:val="489"/>
        </w:trPr>
        <w:tc>
          <w:tcPr>
            <w:tcW w:w="646" w:type="dxa"/>
            <w:tcBorders>
              <w:top w:val="nil"/>
              <w:left w:val="single" w:sz="4" w:space="0" w:color="auto"/>
              <w:bottom w:val="single" w:sz="4" w:space="0" w:color="auto"/>
              <w:right w:val="nil"/>
            </w:tcBorders>
            <w:shd w:val="clear" w:color="auto" w:fill="525252"/>
          </w:tcPr>
          <w:p w14:paraId="5CD7B131" w14:textId="77777777" w:rsidR="0052147E" w:rsidRPr="002B1351" w:rsidRDefault="0052147E" w:rsidP="0052147E">
            <w:pPr>
              <w:rPr>
                <w:color w:val="FFFFFF" w:themeColor="background1"/>
                <w:sz w:val="20"/>
              </w:rPr>
            </w:pPr>
            <w:r w:rsidRPr="002B1351">
              <w:rPr>
                <w:color w:val="FFFFFF" w:themeColor="background1"/>
                <w:sz w:val="20"/>
              </w:rPr>
              <w:t>Task</w:t>
            </w:r>
          </w:p>
        </w:tc>
        <w:tc>
          <w:tcPr>
            <w:tcW w:w="1522" w:type="dxa"/>
            <w:tcBorders>
              <w:top w:val="nil"/>
              <w:left w:val="nil"/>
              <w:bottom w:val="single" w:sz="4" w:space="0" w:color="auto"/>
              <w:right w:val="nil"/>
            </w:tcBorders>
            <w:shd w:val="clear" w:color="auto" w:fill="525252"/>
          </w:tcPr>
          <w:p w14:paraId="59B586F5" w14:textId="77777777" w:rsidR="0052147E" w:rsidRPr="002B1351" w:rsidRDefault="0052147E" w:rsidP="0052147E">
            <w:pPr>
              <w:rPr>
                <w:color w:val="FFFFFF" w:themeColor="background1"/>
                <w:sz w:val="20"/>
              </w:rPr>
            </w:pPr>
            <w:r w:rsidRPr="002B1351">
              <w:rPr>
                <w:color w:val="FFFFFF" w:themeColor="background1"/>
                <w:sz w:val="20"/>
              </w:rPr>
              <w:t>Data type</w:t>
            </w:r>
          </w:p>
        </w:tc>
        <w:tc>
          <w:tcPr>
            <w:tcW w:w="804" w:type="dxa"/>
            <w:tcBorders>
              <w:top w:val="nil"/>
              <w:left w:val="nil"/>
              <w:bottom w:val="single" w:sz="4" w:space="0" w:color="auto"/>
              <w:right w:val="nil"/>
            </w:tcBorders>
            <w:shd w:val="clear" w:color="auto" w:fill="525252"/>
          </w:tcPr>
          <w:p w14:paraId="24073CE6" w14:textId="77777777" w:rsidR="0052147E" w:rsidRPr="002B1351" w:rsidRDefault="0052147E" w:rsidP="0052147E">
            <w:pPr>
              <w:rPr>
                <w:color w:val="FFFFFF" w:themeColor="background1"/>
                <w:sz w:val="20"/>
              </w:rPr>
            </w:pPr>
            <w:r w:rsidRPr="002B1351">
              <w:rPr>
                <w:color w:val="FFFFFF" w:themeColor="background1"/>
                <w:sz w:val="20"/>
              </w:rPr>
              <w:t>N</w:t>
            </w:r>
          </w:p>
        </w:tc>
        <w:tc>
          <w:tcPr>
            <w:tcW w:w="1179" w:type="dxa"/>
            <w:tcBorders>
              <w:top w:val="nil"/>
              <w:left w:val="nil"/>
              <w:bottom w:val="single" w:sz="4" w:space="0" w:color="auto"/>
              <w:right w:val="nil"/>
            </w:tcBorders>
            <w:shd w:val="clear" w:color="auto" w:fill="525252"/>
          </w:tcPr>
          <w:p w14:paraId="44B7F981" w14:textId="77777777" w:rsidR="0052147E" w:rsidRPr="002B1351" w:rsidRDefault="0052147E" w:rsidP="0052147E">
            <w:pPr>
              <w:rPr>
                <w:color w:val="FFFFFF" w:themeColor="background1"/>
                <w:sz w:val="20"/>
              </w:rPr>
            </w:pPr>
            <w:r w:rsidRPr="002B1351">
              <w:rPr>
                <w:color w:val="FFFFFF" w:themeColor="background1"/>
                <w:sz w:val="20"/>
              </w:rPr>
              <w:t>Format</w:t>
            </w:r>
          </w:p>
        </w:tc>
        <w:tc>
          <w:tcPr>
            <w:tcW w:w="1251" w:type="dxa"/>
            <w:tcBorders>
              <w:top w:val="nil"/>
              <w:left w:val="nil"/>
              <w:bottom w:val="single" w:sz="4" w:space="0" w:color="auto"/>
              <w:right w:val="nil"/>
            </w:tcBorders>
            <w:shd w:val="clear" w:color="auto" w:fill="525252"/>
          </w:tcPr>
          <w:p w14:paraId="60EB9B4F" w14:textId="77777777" w:rsidR="0052147E" w:rsidRPr="002B1351" w:rsidRDefault="0052147E" w:rsidP="0052147E">
            <w:pPr>
              <w:rPr>
                <w:color w:val="FFFFFF" w:themeColor="background1"/>
                <w:sz w:val="20"/>
              </w:rPr>
            </w:pPr>
            <w:r w:rsidRPr="002B1351">
              <w:rPr>
                <w:color w:val="FFFFFF" w:themeColor="background1"/>
                <w:sz w:val="20"/>
              </w:rPr>
              <w:t>Repository</w:t>
            </w:r>
          </w:p>
        </w:tc>
        <w:tc>
          <w:tcPr>
            <w:tcW w:w="1745" w:type="dxa"/>
            <w:tcBorders>
              <w:top w:val="nil"/>
              <w:left w:val="nil"/>
              <w:bottom w:val="single" w:sz="4" w:space="0" w:color="auto"/>
              <w:right w:val="nil"/>
            </w:tcBorders>
            <w:shd w:val="clear" w:color="auto" w:fill="525252"/>
          </w:tcPr>
          <w:p w14:paraId="49B2108C" w14:textId="77777777" w:rsidR="0052147E" w:rsidRPr="002B1351" w:rsidRDefault="0052147E" w:rsidP="0052147E">
            <w:pPr>
              <w:rPr>
                <w:color w:val="FFFFFF" w:themeColor="background1"/>
                <w:sz w:val="20"/>
              </w:rPr>
            </w:pPr>
            <w:r w:rsidRPr="002B1351">
              <w:rPr>
                <w:color w:val="FFFFFF" w:themeColor="background1"/>
                <w:sz w:val="20"/>
              </w:rPr>
              <w:t>Anonymised or pseudonymised</w:t>
            </w:r>
          </w:p>
        </w:tc>
        <w:tc>
          <w:tcPr>
            <w:tcW w:w="1038" w:type="dxa"/>
            <w:gridSpan w:val="2"/>
            <w:tcBorders>
              <w:top w:val="nil"/>
              <w:left w:val="nil"/>
              <w:bottom w:val="single" w:sz="4" w:space="0" w:color="auto"/>
              <w:right w:val="nil"/>
            </w:tcBorders>
            <w:shd w:val="clear" w:color="auto" w:fill="525252"/>
          </w:tcPr>
          <w:p w14:paraId="4F31A572" w14:textId="77777777" w:rsidR="0052147E" w:rsidRPr="002B1351" w:rsidRDefault="0052147E" w:rsidP="0052147E">
            <w:pPr>
              <w:rPr>
                <w:color w:val="FFFFFF" w:themeColor="background1"/>
                <w:sz w:val="20"/>
              </w:rPr>
            </w:pPr>
            <w:r w:rsidRPr="002B1351">
              <w:rPr>
                <w:color w:val="FFFFFF" w:themeColor="background1"/>
                <w:sz w:val="20"/>
              </w:rPr>
              <w:t>Storage duration</w:t>
            </w:r>
          </w:p>
        </w:tc>
        <w:tc>
          <w:tcPr>
            <w:tcW w:w="831" w:type="dxa"/>
            <w:tcBorders>
              <w:top w:val="nil"/>
              <w:left w:val="nil"/>
              <w:bottom w:val="single" w:sz="4" w:space="0" w:color="auto"/>
              <w:right w:val="nil"/>
            </w:tcBorders>
            <w:shd w:val="clear" w:color="auto" w:fill="525252"/>
          </w:tcPr>
          <w:p w14:paraId="3EA4F768" w14:textId="77777777" w:rsidR="0052147E" w:rsidRPr="002B1351" w:rsidRDefault="0052147E" w:rsidP="0052147E">
            <w:pPr>
              <w:rPr>
                <w:bCs/>
                <w:color w:val="FFFFFF" w:themeColor="background1"/>
                <w:sz w:val="20"/>
              </w:rPr>
            </w:pPr>
            <w:r w:rsidRPr="002B1351">
              <w:rPr>
                <w:bCs/>
                <w:color w:val="FFFFFF" w:themeColor="background1"/>
                <w:sz w:val="20"/>
              </w:rPr>
              <w:t xml:space="preserve">Open access </w:t>
            </w:r>
          </w:p>
        </w:tc>
      </w:tr>
      <w:tr w:rsidR="00B0144E" w:rsidRPr="0052147E" w14:paraId="78C8278C" w14:textId="77777777" w:rsidTr="002B1351">
        <w:trPr>
          <w:trHeight w:val="474"/>
        </w:trPr>
        <w:tc>
          <w:tcPr>
            <w:tcW w:w="646" w:type="dxa"/>
            <w:tcBorders>
              <w:top w:val="single" w:sz="2" w:space="0" w:color="000000"/>
              <w:left w:val="single" w:sz="2" w:space="0" w:color="000000"/>
              <w:bottom w:val="single" w:sz="2" w:space="0" w:color="000000"/>
            </w:tcBorders>
            <w:shd w:val="clear" w:color="auto" w:fill="auto"/>
          </w:tcPr>
          <w:p w14:paraId="6F556D1F" w14:textId="77777777" w:rsidR="0052147E" w:rsidRPr="002B1351" w:rsidRDefault="00355698" w:rsidP="0052147E">
            <w:pPr>
              <w:rPr>
                <w:sz w:val="20"/>
              </w:rPr>
            </w:pPr>
            <w:r w:rsidRPr="002B1351">
              <w:rPr>
                <w:sz w:val="20"/>
              </w:rPr>
              <w:t>1.1 – 1.2</w:t>
            </w:r>
          </w:p>
        </w:tc>
        <w:tc>
          <w:tcPr>
            <w:tcW w:w="1522" w:type="dxa"/>
            <w:tcBorders>
              <w:top w:val="single" w:sz="2" w:space="0" w:color="000000"/>
              <w:left w:val="single" w:sz="2" w:space="0" w:color="000000"/>
              <w:bottom w:val="single" w:sz="2" w:space="0" w:color="000000"/>
            </w:tcBorders>
            <w:shd w:val="clear" w:color="auto" w:fill="auto"/>
          </w:tcPr>
          <w:p w14:paraId="3B483386" w14:textId="3CE492EB" w:rsidR="0052147E" w:rsidRPr="002B1351" w:rsidRDefault="00CC6454" w:rsidP="00CC6454">
            <w:pPr>
              <w:rPr>
                <w:sz w:val="20"/>
              </w:rPr>
            </w:pPr>
            <w:r w:rsidRPr="002B1351">
              <w:rPr>
                <w:sz w:val="20"/>
              </w:rPr>
              <w:t>Extracted studies</w:t>
            </w:r>
          </w:p>
        </w:tc>
        <w:tc>
          <w:tcPr>
            <w:tcW w:w="804" w:type="dxa"/>
            <w:tcBorders>
              <w:top w:val="single" w:sz="2" w:space="0" w:color="000000"/>
              <w:left w:val="single" w:sz="2" w:space="0" w:color="000000"/>
              <w:bottom w:val="single" w:sz="2" w:space="0" w:color="000000"/>
            </w:tcBorders>
            <w:shd w:val="clear" w:color="auto" w:fill="auto"/>
          </w:tcPr>
          <w:p w14:paraId="5BED7FDC" w14:textId="39C3CC4D" w:rsidR="0052147E" w:rsidRPr="002B1351" w:rsidRDefault="00CC6454" w:rsidP="0052147E">
            <w:pPr>
              <w:rPr>
                <w:sz w:val="20"/>
              </w:rPr>
            </w:pPr>
            <w:r w:rsidRPr="002B1351">
              <w:rPr>
                <w:sz w:val="20"/>
              </w:rPr>
              <w:t xml:space="preserve">4800 </w:t>
            </w:r>
          </w:p>
        </w:tc>
        <w:tc>
          <w:tcPr>
            <w:tcW w:w="1179" w:type="dxa"/>
            <w:tcBorders>
              <w:top w:val="single" w:sz="2" w:space="0" w:color="000000"/>
              <w:left w:val="single" w:sz="2" w:space="0" w:color="000000"/>
              <w:bottom w:val="single" w:sz="2" w:space="0" w:color="000000"/>
            </w:tcBorders>
            <w:shd w:val="clear" w:color="auto" w:fill="auto"/>
          </w:tcPr>
          <w:p w14:paraId="414EEF24" w14:textId="3995A9BC" w:rsidR="00CC6454" w:rsidRPr="002B1351" w:rsidRDefault="00CC6454" w:rsidP="0052147E">
            <w:pPr>
              <w:rPr>
                <w:sz w:val="20"/>
              </w:rPr>
            </w:pPr>
            <w:r w:rsidRPr="002B1351">
              <w:rPr>
                <w:sz w:val="20"/>
              </w:rPr>
              <w:t>.</w:t>
            </w:r>
            <w:r w:rsidR="00D010F4" w:rsidRPr="002B1351">
              <w:rPr>
                <w:sz w:val="20"/>
              </w:rPr>
              <w:t>xlsx</w:t>
            </w:r>
          </w:p>
        </w:tc>
        <w:tc>
          <w:tcPr>
            <w:tcW w:w="1251" w:type="dxa"/>
            <w:tcBorders>
              <w:top w:val="single" w:sz="2" w:space="0" w:color="000000"/>
              <w:left w:val="single" w:sz="2" w:space="0" w:color="000000"/>
              <w:bottom w:val="single" w:sz="2" w:space="0" w:color="000000"/>
            </w:tcBorders>
            <w:shd w:val="clear" w:color="auto" w:fill="auto"/>
          </w:tcPr>
          <w:p w14:paraId="0C391837" w14:textId="77777777" w:rsidR="0052147E" w:rsidRPr="002B1351" w:rsidRDefault="0052147E" w:rsidP="0052147E">
            <w:pPr>
              <w:rPr>
                <w:sz w:val="20"/>
              </w:rPr>
            </w:pPr>
            <w:r w:rsidRPr="002B1351">
              <w:rPr>
                <w:sz w:val="20"/>
              </w:rPr>
              <w:t>Secure database</w:t>
            </w:r>
          </w:p>
        </w:tc>
        <w:tc>
          <w:tcPr>
            <w:tcW w:w="1961" w:type="dxa"/>
            <w:gridSpan w:val="2"/>
            <w:tcBorders>
              <w:top w:val="single" w:sz="2" w:space="0" w:color="000000"/>
              <w:left w:val="single" w:sz="2" w:space="0" w:color="000000"/>
              <w:bottom w:val="single" w:sz="2" w:space="0" w:color="000000"/>
              <w:right w:val="single" w:sz="2" w:space="0" w:color="000000"/>
            </w:tcBorders>
          </w:tcPr>
          <w:p w14:paraId="0562AB2F" w14:textId="77777777" w:rsidR="0052147E" w:rsidRPr="002B1351" w:rsidRDefault="0052147E" w:rsidP="0052147E">
            <w:pPr>
              <w:rPr>
                <w:sz w:val="20"/>
              </w:rPr>
            </w:pPr>
            <w:r w:rsidRPr="002B1351">
              <w:rPr>
                <w:sz w:val="20"/>
              </w:rPr>
              <w:t>Yes</w:t>
            </w:r>
          </w:p>
        </w:tc>
        <w:tc>
          <w:tcPr>
            <w:tcW w:w="822" w:type="dxa"/>
            <w:tcBorders>
              <w:top w:val="single" w:sz="2" w:space="0" w:color="000000"/>
              <w:left w:val="single" w:sz="2" w:space="0" w:color="000000"/>
              <w:bottom w:val="single" w:sz="2" w:space="0" w:color="000000"/>
              <w:right w:val="single" w:sz="2" w:space="0" w:color="000000"/>
            </w:tcBorders>
          </w:tcPr>
          <w:p w14:paraId="354DDC34" w14:textId="1CA391AB" w:rsidR="0052147E" w:rsidRPr="002B1351" w:rsidRDefault="00CC6454" w:rsidP="0052147E">
            <w:pPr>
              <w:rPr>
                <w:sz w:val="20"/>
              </w:rPr>
            </w:pPr>
            <w:r w:rsidRPr="002B1351">
              <w:rPr>
                <w:sz w:val="20"/>
              </w:rPr>
              <w:t>5 years</w:t>
            </w:r>
          </w:p>
        </w:tc>
        <w:tc>
          <w:tcPr>
            <w:tcW w:w="831" w:type="dxa"/>
            <w:tcBorders>
              <w:top w:val="single" w:sz="2" w:space="0" w:color="000000"/>
              <w:left w:val="single" w:sz="2" w:space="0" w:color="000000"/>
              <w:bottom w:val="single" w:sz="2" w:space="0" w:color="000000"/>
            </w:tcBorders>
            <w:shd w:val="clear" w:color="auto" w:fill="auto"/>
          </w:tcPr>
          <w:p w14:paraId="07057E3A" w14:textId="77777777" w:rsidR="0052147E" w:rsidRPr="002B1351" w:rsidRDefault="0052147E" w:rsidP="0052147E">
            <w:pPr>
              <w:rPr>
                <w:sz w:val="20"/>
              </w:rPr>
            </w:pPr>
            <w:r w:rsidRPr="002B1351">
              <w:rPr>
                <w:sz w:val="20"/>
              </w:rPr>
              <w:t>No</w:t>
            </w:r>
          </w:p>
        </w:tc>
      </w:tr>
      <w:tr w:rsidR="00B0144E" w:rsidRPr="0052147E" w14:paraId="65E9A1DD" w14:textId="77777777" w:rsidTr="002B1351">
        <w:trPr>
          <w:trHeight w:val="474"/>
        </w:trPr>
        <w:tc>
          <w:tcPr>
            <w:tcW w:w="646" w:type="dxa"/>
            <w:tcBorders>
              <w:top w:val="single" w:sz="2" w:space="0" w:color="000000"/>
              <w:left w:val="single" w:sz="2" w:space="0" w:color="000000"/>
              <w:bottom w:val="single" w:sz="2" w:space="0" w:color="000000"/>
            </w:tcBorders>
            <w:shd w:val="clear" w:color="auto" w:fill="auto"/>
          </w:tcPr>
          <w:p w14:paraId="31A213B5" w14:textId="77777777" w:rsidR="0052147E" w:rsidRPr="002B1351" w:rsidRDefault="00355698" w:rsidP="0052147E">
            <w:pPr>
              <w:rPr>
                <w:sz w:val="20"/>
              </w:rPr>
            </w:pPr>
            <w:r w:rsidRPr="002B1351">
              <w:rPr>
                <w:sz w:val="20"/>
              </w:rPr>
              <w:t>3.1 – 3.6</w:t>
            </w:r>
          </w:p>
        </w:tc>
        <w:tc>
          <w:tcPr>
            <w:tcW w:w="1522" w:type="dxa"/>
            <w:tcBorders>
              <w:top w:val="single" w:sz="2" w:space="0" w:color="000000"/>
              <w:left w:val="single" w:sz="2" w:space="0" w:color="000000"/>
              <w:bottom w:val="single" w:sz="2" w:space="0" w:color="000000"/>
            </w:tcBorders>
            <w:shd w:val="clear" w:color="auto" w:fill="auto"/>
          </w:tcPr>
          <w:p w14:paraId="31DAC552" w14:textId="046FA589" w:rsidR="0052147E" w:rsidRPr="002B1351" w:rsidRDefault="00E00985" w:rsidP="00E00985">
            <w:pPr>
              <w:jc w:val="left"/>
              <w:rPr>
                <w:sz w:val="20"/>
              </w:rPr>
            </w:pPr>
            <w:r>
              <w:rPr>
                <w:sz w:val="20"/>
              </w:rPr>
              <w:t>Pre- and post-s</w:t>
            </w:r>
            <w:r w:rsidR="00D010F4" w:rsidRPr="002B1351">
              <w:rPr>
                <w:sz w:val="20"/>
              </w:rPr>
              <w:t>urvey responses</w:t>
            </w:r>
            <w:r>
              <w:rPr>
                <w:sz w:val="20"/>
              </w:rPr>
              <w:t xml:space="preserve"> as part of experimental design</w:t>
            </w:r>
          </w:p>
        </w:tc>
        <w:tc>
          <w:tcPr>
            <w:tcW w:w="804" w:type="dxa"/>
            <w:tcBorders>
              <w:top w:val="single" w:sz="2" w:space="0" w:color="000000"/>
              <w:left w:val="single" w:sz="2" w:space="0" w:color="000000"/>
              <w:bottom w:val="single" w:sz="2" w:space="0" w:color="000000"/>
            </w:tcBorders>
            <w:shd w:val="clear" w:color="auto" w:fill="auto"/>
          </w:tcPr>
          <w:p w14:paraId="30D0A7F7" w14:textId="1B9DD762" w:rsidR="0052147E" w:rsidRPr="002B1351" w:rsidRDefault="00645683" w:rsidP="00645683">
            <w:pPr>
              <w:rPr>
                <w:sz w:val="20"/>
              </w:rPr>
            </w:pPr>
            <w:r w:rsidRPr="002B1351">
              <w:rPr>
                <w:sz w:val="20"/>
              </w:rPr>
              <w:t>12</w:t>
            </w:r>
          </w:p>
        </w:tc>
        <w:tc>
          <w:tcPr>
            <w:tcW w:w="1179" w:type="dxa"/>
            <w:tcBorders>
              <w:top w:val="single" w:sz="2" w:space="0" w:color="000000"/>
              <w:left w:val="single" w:sz="2" w:space="0" w:color="000000"/>
              <w:bottom w:val="single" w:sz="2" w:space="0" w:color="000000"/>
            </w:tcBorders>
            <w:shd w:val="clear" w:color="auto" w:fill="auto"/>
          </w:tcPr>
          <w:p w14:paraId="734F3A18" w14:textId="77777777" w:rsidR="0052147E" w:rsidRPr="002B1351" w:rsidRDefault="00181372" w:rsidP="0052147E">
            <w:pPr>
              <w:rPr>
                <w:sz w:val="20"/>
              </w:rPr>
            </w:pPr>
            <w:r w:rsidRPr="002B1351">
              <w:rPr>
                <w:sz w:val="20"/>
              </w:rPr>
              <w:t>.sav</w:t>
            </w:r>
          </w:p>
          <w:p w14:paraId="4FC88C04" w14:textId="12D38FF0" w:rsidR="00181372" w:rsidRPr="002B1351" w:rsidRDefault="00181372" w:rsidP="0052147E">
            <w:pPr>
              <w:rPr>
                <w:sz w:val="20"/>
              </w:rPr>
            </w:pPr>
            <w:r w:rsidRPr="002B1351">
              <w:rPr>
                <w:sz w:val="20"/>
              </w:rPr>
              <w:t>.csv</w:t>
            </w:r>
          </w:p>
        </w:tc>
        <w:tc>
          <w:tcPr>
            <w:tcW w:w="1251" w:type="dxa"/>
            <w:tcBorders>
              <w:top w:val="single" w:sz="2" w:space="0" w:color="000000"/>
              <w:left w:val="single" w:sz="2" w:space="0" w:color="000000"/>
              <w:bottom w:val="single" w:sz="2" w:space="0" w:color="000000"/>
            </w:tcBorders>
            <w:shd w:val="clear" w:color="auto" w:fill="auto"/>
          </w:tcPr>
          <w:p w14:paraId="5BB054C3" w14:textId="77777777" w:rsidR="0052147E" w:rsidRPr="002B1351" w:rsidRDefault="0052147E" w:rsidP="0052147E">
            <w:pPr>
              <w:rPr>
                <w:sz w:val="20"/>
              </w:rPr>
            </w:pPr>
            <w:r w:rsidRPr="002B1351">
              <w:rPr>
                <w:sz w:val="20"/>
              </w:rPr>
              <w:t>Secure database</w:t>
            </w:r>
          </w:p>
        </w:tc>
        <w:tc>
          <w:tcPr>
            <w:tcW w:w="1961" w:type="dxa"/>
            <w:gridSpan w:val="2"/>
            <w:tcBorders>
              <w:top w:val="single" w:sz="2" w:space="0" w:color="000000"/>
              <w:left w:val="single" w:sz="2" w:space="0" w:color="000000"/>
              <w:bottom w:val="single" w:sz="2" w:space="0" w:color="000000"/>
              <w:right w:val="single" w:sz="2" w:space="0" w:color="000000"/>
            </w:tcBorders>
          </w:tcPr>
          <w:p w14:paraId="16B0987B" w14:textId="77777777" w:rsidR="0052147E" w:rsidRPr="002B1351" w:rsidRDefault="0052147E" w:rsidP="0052147E">
            <w:pPr>
              <w:rPr>
                <w:sz w:val="20"/>
              </w:rPr>
            </w:pPr>
            <w:r w:rsidRPr="002B1351">
              <w:rPr>
                <w:sz w:val="20"/>
              </w:rPr>
              <w:t>Yes</w:t>
            </w:r>
          </w:p>
        </w:tc>
        <w:tc>
          <w:tcPr>
            <w:tcW w:w="822" w:type="dxa"/>
            <w:tcBorders>
              <w:top w:val="single" w:sz="2" w:space="0" w:color="000000"/>
              <w:left w:val="single" w:sz="2" w:space="0" w:color="000000"/>
              <w:bottom w:val="single" w:sz="2" w:space="0" w:color="000000"/>
              <w:right w:val="single" w:sz="2" w:space="0" w:color="000000"/>
            </w:tcBorders>
          </w:tcPr>
          <w:p w14:paraId="0FD65FC8" w14:textId="6298E257" w:rsidR="0052147E" w:rsidRPr="002B1351" w:rsidRDefault="00F52C50" w:rsidP="0052147E">
            <w:pPr>
              <w:rPr>
                <w:sz w:val="20"/>
              </w:rPr>
            </w:pPr>
            <w:r w:rsidRPr="002B1351">
              <w:rPr>
                <w:sz w:val="20"/>
              </w:rPr>
              <w:t>5 years</w:t>
            </w:r>
          </w:p>
        </w:tc>
        <w:tc>
          <w:tcPr>
            <w:tcW w:w="831" w:type="dxa"/>
            <w:tcBorders>
              <w:top w:val="single" w:sz="2" w:space="0" w:color="000000"/>
              <w:left w:val="single" w:sz="2" w:space="0" w:color="000000"/>
              <w:bottom w:val="single" w:sz="2" w:space="0" w:color="000000"/>
            </w:tcBorders>
            <w:shd w:val="clear" w:color="auto" w:fill="auto"/>
          </w:tcPr>
          <w:p w14:paraId="2E253EDE" w14:textId="77777777" w:rsidR="0052147E" w:rsidRPr="002B1351" w:rsidRDefault="0052147E" w:rsidP="0052147E">
            <w:pPr>
              <w:rPr>
                <w:sz w:val="20"/>
              </w:rPr>
            </w:pPr>
            <w:r w:rsidRPr="002B1351">
              <w:rPr>
                <w:sz w:val="20"/>
              </w:rPr>
              <w:t>No</w:t>
            </w:r>
          </w:p>
        </w:tc>
      </w:tr>
    </w:tbl>
    <w:p w14:paraId="4EF3859C" w14:textId="77777777" w:rsidR="0052147E" w:rsidRDefault="0052147E" w:rsidP="0052147E"/>
    <w:p w14:paraId="57D722F2" w14:textId="77777777" w:rsidR="0052147E" w:rsidRDefault="0052147E" w:rsidP="0052147E">
      <w:pPr>
        <w:pStyle w:val="Kop1"/>
      </w:pPr>
      <w:bookmarkStart w:id="3" w:name="_Toc129866653"/>
      <w:r>
        <w:t>FAIR Data</w:t>
      </w:r>
      <w:bookmarkEnd w:id="3"/>
    </w:p>
    <w:p w14:paraId="736471E8" w14:textId="1BC02DD8" w:rsidR="0052147E" w:rsidRPr="008414EB" w:rsidRDefault="0052147E" w:rsidP="0052147E">
      <w:pPr>
        <w:rPr>
          <w:lang w:val="en-US" w:eastAsia="nl-BE"/>
        </w:rPr>
      </w:pPr>
      <w:r>
        <w:rPr>
          <w:lang w:val="en-US" w:eastAsia="nl-BE"/>
        </w:rPr>
        <w:t>REMEDI</w:t>
      </w:r>
      <w:r w:rsidRPr="008414EB">
        <w:rPr>
          <w:lang w:val="en-US" w:eastAsia="nl-BE"/>
        </w:rPr>
        <w:t xml:space="preserve">S will take duly into account the FAIR guidelines of accessibility, interoperability and increase data reuse. Research data obtained by the project partners will be collected and stored by each partner in secure databases at their institution for the purposes of elaborations to be carried out in the project. </w:t>
      </w:r>
      <w:r w:rsidR="00E00985">
        <w:rPr>
          <w:lang w:val="en-US" w:eastAsia="nl-BE"/>
        </w:rPr>
        <w:t xml:space="preserve">These data </w:t>
      </w:r>
      <w:r w:rsidRPr="008414EB">
        <w:rPr>
          <w:lang w:val="en-US" w:eastAsia="nl-BE"/>
        </w:rPr>
        <w:t xml:space="preserve">will be used for achieving project objectives and </w:t>
      </w:r>
      <w:r w:rsidR="00E00985">
        <w:rPr>
          <w:lang w:val="en-US" w:eastAsia="nl-BE"/>
        </w:rPr>
        <w:t xml:space="preserve">for </w:t>
      </w:r>
      <w:r w:rsidRPr="008414EB">
        <w:rPr>
          <w:lang w:val="en-US" w:eastAsia="nl-BE"/>
        </w:rPr>
        <w:t>related scientific dissemination activities, including follow</w:t>
      </w:r>
      <w:r w:rsidR="00E00985">
        <w:rPr>
          <w:lang w:val="en-US" w:eastAsia="nl-BE"/>
        </w:rPr>
        <w:t>-</w:t>
      </w:r>
      <w:r w:rsidRPr="008414EB">
        <w:rPr>
          <w:lang w:val="en-US" w:eastAsia="nl-BE"/>
        </w:rPr>
        <w:t>up</w:t>
      </w:r>
      <w:r w:rsidR="00E00985">
        <w:rPr>
          <w:lang w:val="en-US" w:eastAsia="nl-BE"/>
        </w:rPr>
        <w:t xml:space="preserve"> of</w:t>
      </w:r>
      <w:r w:rsidRPr="008414EB">
        <w:rPr>
          <w:lang w:val="en-US" w:eastAsia="nl-BE"/>
        </w:rPr>
        <w:t xml:space="preserve"> scientific activities.</w:t>
      </w:r>
    </w:p>
    <w:p w14:paraId="6F72C2DF" w14:textId="3FB55E24" w:rsidR="0052147E" w:rsidRPr="008414EB" w:rsidRDefault="0052147E" w:rsidP="0052147E">
      <w:pPr>
        <w:rPr>
          <w:lang w:val="en-US" w:eastAsia="nl-BE"/>
        </w:rPr>
      </w:pPr>
      <w:r w:rsidRPr="008414EB">
        <w:rPr>
          <w:lang w:val="en-US" w:eastAsia="nl-BE"/>
        </w:rPr>
        <w:t>All publications will be made available on the website of the project</w:t>
      </w:r>
      <w:r w:rsidR="00E00985">
        <w:rPr>
          <w:lang w:val="en-US" w:eastAsia="nl-BE"/>
        </w:rPr>
        <w:t xml:space="preserve"> and on the </w:t>
      </w:r>
      <w:proofErr w:type="spellStart"/>
      <w:r w:rsidR="00E00985">
        <w:rPr>
          <w:lang w:val="en-US" w:eastAsia="nl-BE"/>
        </w:rPr>
        <w:t>Zenodo</w:t>
      </w:r>
      <w:proofErr w:type="spellEnd"/>
      <w:r w:rsidR="00E00985">
        <w:rPr>
          <w:lang w:val="en-US" w:eastAsia="nl-BE"/>
        </w:rPr>
        <w:t xml:space="preserve"> platform</w:t>
      </w:r>
      <w:r w:rsidRPr="008414EB">
        <w:rPr>
          <w:lang w:val="en-US" w:eastAsia="nl-BE"/>
        </w:rPr>
        <w:t xml:space="preserve">. Data will be used by the partners who collect and generate them for these publications. </w:t>
      </w:r>
    </w:p>
    <w:p w14:paraId="5384EAA1" w14:textId="6111AD56" w:rsidR="0052147E" w:rsidRDefault="0052147E" w:rsidP="0052147E">
      <w:pPr>
        <w:rPr>
          <w:lang w:eastAsia="nl-BE"/>
        </w:rPr>
      </w:pPr>
      <w:r w:rsidRPr="008414EB">
        <w:rPr>
          <w:lang w:eastAsia="nl-BE"/>
        </w:rPr>
        <w:t xml:space="preserve">All </w:t>
      </w:r>
      <w:r w:rsidR="00E00985">
        <w:rPr>
          <w:lang w:eastAsia="nl-BE"/>
        </w:rPr>
        <w:t>publications</w:t>
      </w:r>
      <w:r w:rsidRPr="008414EB">
        <w:rPr>
          <w:lang w:eastAsia="nl-BE"/>
        </w:rPr>
        <w:t xml:space="preserve"> will be shared through a standard identification mechanism such as persistent digital object identifiers (DOI) provided via commonly used data repositories such as </w:t>
      </w:r>
      <w:proofErr w:type="spellStart"/>
      <w:r w:rsidRPr="008414EB">
        <w:rPr>
          <w:lang w:eastAsia="nl-BE"/>
        </w:rPr>
        <w:t>Zenodo</w:t>
      </w:r>
      <w:proofErr w:type="spellEnd"/>
      <w:r w:rsidRPr="008414EB">
        <w:rPr>
          <w:lang w:eastAsia="nl-BE"/>
        </w:rPr>
        <w:t>.</w:t>
      </w:r>
      <w:r w:rsidRPr="008414EB">
        <w:rPr>
          <w:lang w:val="en-US" w:eastAsia="nl-BE"/>
        </w:rPr>
        <w:t xml:space="preserve"> </w:t>
      </w:r>
      <w:r w:rsidRPr="008414EB">
        <w:rPr>
          <w:lang w:eastAsia="nl-BE"/>
        </w:rPr>
        <w:t xml:space="preserve">We plan to use standard naming conventions (e.g., </w:t>
      </w:r>
      <w:r w:rsidRPr="008414EB">
        <w:rPr>
          <w:i/>
          <w:iCs/>
          <w:lang w:eastAsia="nl-BE"/>
        </w:rPr>
        <w:t>work package name + data type + version no.</w:t>
      </w:r>
      <w:r w:rsidRPr="008414EB">
        <w:rPr>
          <w:lang w:eastAsia="nl-BE"/>
        </w:rPr>
        <w:t xml:space="preserve"> format) that will be centrally coordinated among wor</w:t>
      </w:r>
      <w:r w:rsidR="00FF3E55">
        <w:rPr>
          <w:lang w:eastAsia="nl-BE"/>
        </w:rPr>
        <w:t>k packages throughout the REMEDIS</w:t>
      </w:r>
      <w:r w:rsidRPr="008414EB">
        <w:rPr>
          <w:lang w:eastAsia="nl-BE"/>
        </w:rPr>
        <w:t xml:space="preserve"> project.</w:t>
      </w:r>
      <w:r w:rsidRPr="008414EB">
        <w:rPr>
          <w:lang w:val="en-US" w:eastAsia="nl-BE"/>
        </w:rPr>
        <w:t xml:space="preserve"> </w:t>
      </w:r>
      <w:r w:rsidRPr="008414EB">
        <w:rPr>
          <w:lang w:eastAsia="nl-BE"/>
        </w:rPr>
        <w:t xml:space="preserve">The possible metadata </w:t>
      </w:r>
      <w:proofErr w:type="gramStart"/>
      <w:r w:rsidRPr="008414EB">
        <w:rPr>
          <w:lang w:eastAsia="nl-BE"/>
        </w:rPr>
        <w:t>include:</w:t>
      </w:r>
      <w:proofErr w:type="gramEnd"/>
      <w:r w:rsidRPr="008414EB">
        <w:rPr>
          <w:lang w:eastAsia="nl-BE"/>
        </w:rPr>
        <w:t xml:space="preserve"> keywords, grant information, date of the data version clearing, data type, data size (e.g., no. of total cases included and no. of variables), software for replicating analysis, and methodological details concerning data collection and data wrangling. Once all milestones and deliverables are communicated, an associated version of the data will be labelled and cleared for version control. Any additional amendments will be then added should such changes occur.</w:t>
      </w:r>
    </w:p>
    <w:p w14:paraId="2D29FB5B" w14:textId="458EF0E1" w:rsidR="0052147E" w:rsidRPr="008414EB" w:rsidRDefault="00C4614A" w:rsidP="0052147E">
      <w:pPr>
        <w:rPr>
          <w:lang w:eastAsia="nl-BE"/>
        </w:rPr>
      </w:pPr>
      <w:r>
        <w:rPr>
          <w:lang w:eastAsia="nl-BE"/>
        </w:rPr>
        <w:t>E</w:t>
      </w:r>
      <w:r w:rsidR="00073C39" w:rsidRPr="00073C39">
        <w:rPr>
          <w:lang w:eastAsia="nl-BE"/>
        </w:rPr>
        <w:t>ach stage of the project will be evaluated from an ethical point of view and will guarantee the adherence of the project to the FAIR guiding principles for scientific data management.</w:t>
      </w:r>
    </w:p>
    <w:p w14:paraId="3E9C95DE" w14:textId="5E925261" w:rsidR="0052147E" w:rsidRPr="008414EB" w:rsidRDefault="0052147E" w:rsidP="0052147E">
      <w:pPr>
        <w:rPr>
          <w:lang w:eastAsia="nl-BE"/>
        </w:rPr>
      </w:pPr>
      <w:r w:rsidRPr="008414EB">
        <w:rPr>
          <w:lang w:eastAsia="nl-BE"/>
        </w:rPr>
        <w:t>Furthermore, the research protocols will be made available and will remain re-usable by other researchers for similar research projects.</w:t>
      </w:r>
    </w:p>
    <w:p w14:paraId="182E4E40" w14:textId="77777777" w:rsidR="0052147E" w:rsidRPr="008414EB" w:rsidRDefault="0052147E" w:rsidP="0052147E">
      <w:pPr>
        <w:rPr>
          <w:lang w:val="en-US" w:eastAsia="nl-BE"/>
        </w:rPr>
      </w:pPr>
      <w:r w:rsidRPr="008414EB">
        <w:rPr>
          <w:lang w:val="en-US" w:eastAsia="nl-BE"/>
        </w:rPr>
        <w:t xml:space="preserve">For each project partner, the storage system will be preserved with a backup system. Categories of data that will be stored for long term preservation will be, in general terms, research data derived from individual WPs of the project, publications, and technical reports produced in the framework of the project. </w:t>
      </w:r>
    </w:p>
    <w:p w14:paraId="437CB69B" w14:textId="77777777" w:rsidR="0052147E" w:rsidRPr="008414EB" w:rsidRDefault="0052147E" w:rsidP="0052147E">
      <w:pPr>
        <w:rPr>
          <w:lang w:val="en-US" w:eastAsia="nl-BE"/>
        </w:rPr>
      </w:pPr>
      <w:r w:rsidRPr="008414EB">
        <w:rPr>
          <w:lang w:val="en-US" w:eastAsia="nl-BE"/>
        </w:rPr>
        <w:lastRenderedPageBreak/>
        <w:t xml:space="preserve">Prior to the commencement of the project, all partners have signed the Consortium Agreement regulating Intellectual Property Rights (IPR) and the protection of knowledge in detail. The Consortium Agreement establishes the formal legal basis for Intellectual Property (IP). IP will remain with the authors of the work, governed by the rules of their employing institution, unless explicitly provided for otherwise. In the case of co-authored articles, IP shall be assumed to be joint ownership unless explicitly agreed otherwise and agreed by the </w:t>
      </w:r>
      <w:r>
        <w:rPr>
          <w:lang w:val="en-US" w:eastAsia="nl-BE"/>
        </w:rPr>
        <w:t>Supervisory Board</w:t>
      </w:r>
      <w:r w:rsidRPr="008414EB">
        <w:rPr>
          <w:lang w:val="en-US" w:eastAsia="nl-BE"/>
        </w:rPr>
        <w:t>.</w:t>
      </w:r>
    </w:p>
    <w:p w14:paraId="22762B7B" w14:textId="77777777" w:rsidR="0052147E" w:rsidRPr="008414EB" w:rsidRDefault="0052147E" w:rsidP="0052147E">
      <w:pPr>
        <w:rPr>
          <w:lang w:eastAsia="nl-BE"/>
        </w:rPr>
      </w:pPr>
      <w:r w:rsidRPr="008414EB">
        <w:rPr>
          <w:lang w:val="en-US" w:eastAsia="nl-BE"/>
        </w:rPr>
        <w:t xml:space="preserve">Where several parties have jointly engaged in research, where the share of work cannot be ascertained, they shall have joint ownership of such material. However, where the joint ownership management agreement is pending, each of the joint owners shall be entitled to use their jointly owned research for educational and research purposes on a royalty-free basis, and without requiring prior consent of the other joint owner(s). </w:t>
      </w:r>
    </w:p>
    <w:p w14:paraId="0B731E06" w14:textId="61D95164" w:rsidR="0052147E" w:rsidRPr="00E5650E" w:rsidRDefault="0052147E" w:rsidP="0052147E">
      <w:pPr>
        <w:rPr>
          <w:lang w:eastAsia="nl-BE"/>
        </w:rPr>
      </w:pPr>
      <w:r w:rsidRPr="008414EB">
        <w:rPr>
          <w:lang w:eastAsia="nl-BE"/>
        </w:rPr>
        <w:t xml:space="preserve">For </w:t>
      </w:r>
      <w:r w:rsidR="003D411E">
        <w:rPr>
          <w:lang w:eastAsia="nl-BE"/>
        </w:rPr>
        <w:t xml:space="preserve">the twelve experimental studies (WP3), </w:t>
      </w:r>
      <w:r w:rsidRPr="008414EB">
        <w:rPr>
          <w:lang w:eastAsia="nl-BE"/>
        </w:rPr>
        <w:t xml:space="preserve">additional and/or different measures are taken. </w:t>
      </w:r>
      <w:r w:rsidRPr="00E5650E">
        <w:rPr>
          <w:lang w:eastAsia="nl-BE"/>
        </w:rPr>
        <w:t>After the data collection</w:t>
      </w:r>
      <w:r w:rsidR="00461177">
        <w:rPr>
          <w:lang w:eastAsia="nl-BE"/>
        </w:rPr>
        <w:t xml:space="preserve"> in each country</w:t>
      </w:r>
      <w:r w:rsidRPr="00E5650E">
        <w:rPr>
          <w:lang w:eastAsia="nl-BE"/>
        </w:rPr>
        <w:t>, data will be cleaned. The top priority will be given to anonymisation, labelling of variable names, recoding, preparing of a substantive documentation report. Metadata information will be provided. Standards on type of metadata that will be created are among others: DOI, publication date, study title, grant information, princip</w:t>
      </w:r>
      <w:r>
        <w:rPr>
          <w:lang w:eastAsia="nl-BE"/>
        </w:rPr>
        <w:t>al</w:t>
      </w:r>
      <w:r w:rsidRPr="00E5650E">
        <w:rPr>
          <w:lang w:eastAsia="nl-BE"/>
        </w:rPr>
        <w:t xml:space="preserve"> investigators, contact information, abstract, </w:t>
      </w:r>
      <w:r w:rsidR="00461177">
        <w:rPr>
          <w:lang w:eastAsia="nl-BE"/>
        </w:rPr>
        <w:t>key words, type of data source.</w:t>
      </w:r>
    </w:p>
    <w:p w14:paraId="5A538679" w14:textId="77777777" w:rsidR="0052147E" w:rsidRPr="00E5650E" w:rsidRDefault="0052147E" w:rsidP="0052147E">
      <w:pPr>
        <w:rPr>
          <w:lang w:val="en-US" w:eastAsia="nl-BE"/>
        </w:rPr>
      </w:pPr>
      <w:r w:rsidRPr="00E5650E">
        <w:rPr>
          <w:lang w:eastAsia="nl-BE"/>
        </w:rPr>
        <w:t xml:space="preserve">The data will have standard format which is applicable by analytical software currently used in most disciplines. </w:t>
      </w:r>
      <w:r w:rsidRPr="00E5650E">
        <w:rPr>
          <w:lang w:val="en-US" w:eastAsia="nl-BE"/>
        </w:rPr>
        <w:t>The data will probably be available in two basic formats: SPPS as well as .</w:t>
      </w:r>
      <w:proofErr w:type="spellStart"/>
      <w:r w:rsidRPr="00E5650E">
        <w:rPr>
          <w:lang w:val="en-US" w:eastAsia="nl-BE"/>
        </w:rPr>
        <w:t>cvs</w:t>
      </w:r>
      <w:proofErr w:type="spellEnd"/>
      <w:r w:rsidRPr="00E5650E">
        <w:rPr>
          <w:lang w:val="en-US" w:eastAsia="nl-BE"/>
        </w:rPr>
        <w:t xml:space="preserve">. SPSS, which is standard software for analyses applied within relevant disciplines. The .csv format can be used by SPSS as well as most other analytical software </w:t>
      </w:r>
      <w:proofErr w:type="spellStart"/>
      <w:r w:rsidRPr="00E5650E">
        <w:rPr>
          <w:lang w:val="en-US" w:eastAsia="nl-BE"/>
        </w:rPr>
        <w:t>programmes</w:t>
      </w:r>
      <w:proofErr w:type="spellEnd"/>
      <w:r w:rsidRPr="00E5650E">
        <w:rPr>
          <w:lang w:val="en-US" w:eastAsia="nl-BE"/>
        </w:rPr>
        <w:t xml:space="preserve"> (including </w:t>
      </w:r>
      <w:proofErr w:type="gramStart"/>
      <w:r w:rsidRPr="00E5650E">
        <w:rPr>
          <w:lang w:val="en-US" w:eastAsia="nl-BE"/>
        </w:rPr>
        <w:t>open source</w:t>
      </w:r>
      <w:proofErr w:type="gramEnd"/>
      <w:r w:rsidRPr="00E5650E">
        <w:rPr>
          <w:lang w:val="en-US" w:eastAsia="nl-BE"/>
        </w:rPr>
        <w:t xml:space="preserve"> ones, such as R, which are available freely). </w:t>
      </w:r>
      <w:r w:rsidRPr="00E5650E">
        <w:rPr>
          <w:lang w:eastAsia="nl-BE"/>
        </w:rPr>
        <w:t xml:space="preserve">We will use data-cleaning and data managing procedures which follow basic standards in the field to produce dataset which contains most relevant information for immediate use. </w:t>
      </w:r>
    </w:p>
    <w:p w14:paraId="55DD9114" w14:textId="0F55F847" w:rsidR="0052147E" w:rsidRDefault="0052147E" w:rsidP="0052147E">
      <w:pPr>
        <w:rPr>
          <w:lang w:eastAsia="nl-BE"/>
        </w:rPr>
      </w:pPr>
      <w:r w:rsidRPr="00E5650E">
        <w:rPr>
          <w:lang w:eastAsia="nl-BE"/>
        </w:rPr>
        <w:t>The documentation depicting management of the data as well as scripts used for creation of derived variables will be provided. The data dictionary, a document depicting all other relevant information, will be created and available.</w:t>
      </w:r>
    </w:p>
    <w:p w14:paraId="70227E1A" w14:textId="77777777" w:rsidR="00C7349B" w:rsidRDefault="00C7349B" w:rsidP="0052147E">
      <w:pPr>
        <w:rPr>
          <w:lang w:eastAsia="nl-BE"/>
        </w:rPr>
      </w:pPr>
    </w:p>
    <w:p w14:paraId="301391B8" w14:textId="77777777" w:rsidR="0052147E" w:rsidRDefault="0052147E" w:rsidP="0052147E">
      <w:pPr>
        <w:pStyle w:val="Kop1"/>
        <w:rPr>
          <w:lang w:eastAsia="nl-BE"/>
        </w:rPr>
      </w:pPr>
      <w:bookmarkStart w:id="4" w:name="_Toc129866654"/>
      <w:r>
        <w:rPr>
          <w:lang w:eastAsia="nl-BE"/>
        </w:rPr>
        <w:t>Allocation of resources</w:t>
      </w:r>
      <w:bookmarkEnd w:id="4"/>
    </w:p>
    <w:p w14:paraId="79CA176F" w14:textId="59E996C5" w:rsidR="0052147E" w:rsidRDefault="0052147E" w:rsidP="0052147E">
      <w:pPr>
        <w:rPr>
          <w:lang w:eastAsia="nl-BE"/>
        </w:rPr>
      </w:pPr>
      <w:r>
        <w:rPr>
          <w:lang w:eastAsia="nl-BE"/>
        </w:rPr>
        <w:t xml:space="preserve">Costs of data collection, data preparation, anonymisation and provision of metadata are incorporated within the </w:t>
      </w:r>
      <w:r w:rsidR="00C7349B">
        <w:rPr>
          <w:lang w:eastAsia="nl-BE"/>
        </w:rPr>
        <w:t xml:space="preserve">REMEDIS work </w:t>
      </w:r>
      <w:proofErr w:type="gramStart"/>
      <w:r w:rsidR="00C7349B">
        <w:rPr>
          <w:lang w:eastAsia="nl-BE"/>
        </w:rPr>
        <w:t>plan, a</w:t>
      </w:r>
      <w:r>
        <w:rPr>
          <w:lang w:eastAsia="nl-BE"/>
        </w:rPr>
        <w:t>nd</w:t>
      </w:r>
      <w:proofErr w:type="gramEnd"/>
      <w:r>
        <w:rPr>
          <w:lang w:eastAsia="nl-BE"/>
        </w:rPr>
        <w:t xml:space="preserve"> will be carried out by the researchers involved in the respective tasks. The publicly available data will have value in the long term for academics, educational practitioners, and policy makers. Storage of publicly available data and metadata at recognised data repositories safeguards long-term availability of these data.  </w:t>
      </w:r>
    </w:p>
    <w:p w14:paraId="58F1E420" w14:textId="17BBBBF6" w:rsidR="0052147E" w:rsidRDefault="0052147E" w:rsidP="0052147E">
      <w:pPr>
        <w:rPr>
          <w:lang w:eastAsia="nl-BE"/>
        </w:rPr>
      </w:pPr>
      <w:r>
        <w:rPr>
          <w:lang w:eastAsia="nl-BE"/>
        </w:rPr>
        <w:t xml:space="preserve">The Management Team will be responsible for implementing the DMP. They will update this DMP anytime conditions change. </w:t>
      </w:r>
    </w:p>
    <w:p w14:paraId="52C9818E" w14:textId="77777777" w:rsidR="0052147E" w:rsidRDefault="0052147E" w:rsidP="0052147E">
      <w:pPr>
        <w:rPr>
          <w:lang w:eastAsia="nl-BE"/>
        </w:rPr>
      </w:pPr>
    </w:p>
    <w:p w14:paraId="18F4C848" w14:textId="77777777" w:rsidR="00C4614A" w:rsidRDefault="00C4614A" w:rsidP="0052147E">
      <w:pPr>
        <w:rPr>
          <w:lang w:eastAsia="nl-BE"/>
        </w:rPr>
      </w:pPr>
    </w:p>
    <w:p w14:paraId="177C0DF0" w14:textId="77777777" w:rsidR="0052147E" w:rsidRDefault="0052147E" w:rsidP="0052147E">
      <w:pPr>
        <w:pStyle w:val="Kop1"/>
        <w:rPr>
          <w:lang w:eastAsia="nl-BE"/>
        </w:rPr>
      </w:pPr>
      <w:bookmarkStart w:id="5" w:name="_Toc129866655"/>
      <w:r>
        <w:rPr>
          <w:lang w:eastAsia="nl-BE"/>
        </w:rPr>
        <w:lastRenderedPageBreak/>
        <w:t>Data security</w:t>
      </w:r>
      <w:bookmarkEnd w:id="5"/>
    </w:p>
    <w:p w14:paraId="0D2F7281" w14:textId="52E34DF1" w:rsidR="0052147E" w:rsidRDefault="00784CDF" w:rsidP="0052147E">
      <w:pPr>
        <w:rPr>
          <w:lang w:eastAsia="nl-BE"/>
        </w:rPr>
      </w:pPr>
      <w:r>
        <w:rPr>
          <w:lang w:eastAsia="nl-BE"/>
        </w:rPr>
        <w:t>All REMEDIS</w:t>
      </w:r>
      <w:r w:rsidR="0052147E">
        <w:rPr>
          <w:lang w:eastAsia="nl-BE"/>
        </w:rPr>
        <w:t>’ research data obtained by the project partners will be collected and stored by each partner in secure databases at their institution for the purposes of elaborations to be carried out in the project. In addition, primary research data will also be centralised by KU Leuven. They will be used for achieving project objectives and related scientific dissemination activities, including follow up scientific activities. For each task, the task leader will be responsible for the collection, storage, and processing of the data. Furthermore, each partner involved in a task is also responsible for the collection, storage, and processing of their own research data.</w:t>
      </w:r>
    </w:p>
    <w:p w14:paraId="704868D2" w14:textId="1A26D91D" w:rsidR="0052147E" w:rsidRDefault="00F22639" w:rsidP="0052147E">
      <w:pPr>
        <w:rPr>
          <w:lang w:eastAsia="nl-BE"/>
        </w:rPr>
      </w:pPr>
      <w:r>
        <w:rPr>
          <w:lang w:eastAsia="nl-BE"/>
        </w:rPr>
        <w:t>All p</w:t>
      </w:r>
      <w:r w:rsidR="0052147E">
        <w:rPr>
          <w:lang w:eastAsia="nl-BE"/>
        </w:rPr>
        <w:t>ersonal data wi</w:t>
      </w:r>
      <w:r>
        <w:rPr>
          <w:lang w:eastAsia="nl-BE"/>
        </w:rPr>
        <w:t xml:space="preserve">ll be </w:t>
      </w:r>
      <w:proofErr w:type="spellStart"/>
      <w:r>
        <w:rPr>
          <w:lang w:eastAsia="nl-BE"/>
        </w:rPr>
        <w:t>anonymysed</w:t>
      </w:r>
      <w:proofErr w:type="spellEnd"/>
      <w:r>
        <w:rPr>
          <w:lang w:eastAsia="nl-BE"/>
        </w:rPr>
        <w:t xml:space="preserve">/pseudonymised, and </w:t>
      </w:r>
      <w:r w:rsidR="0052147E">
        <w:rPr>
          <w:lang w:eastAsia="nl-BE"/>
        </w:rPr>
        <w:t>for all data collections security measures are or will be implemented to prevent unauthorised access to personal data.</w:t>
      </w:r>
    </w:p>
    <w:p w14:paraId="0D4B3BF0" w14:textId="55E1BDEC" w:rsidR="0052147E" w:rsidRDefault="0052147E" w:rsidP="0052147E">
      <w:pPr>
        <w:rPr>
          <w:lang w:eastAsia="nl-BE"/>
        </w:rPr>
      </w:pPr>
      <w:r>
        <w:rPr>
          <w:lang w:eastAsia="nl-BE"/>
        </w:rPr>
        <w:t xml:space="preserve">For sharing and archiving non-sensitive information between </w:t>
      </w:r>
      <w:r w:rsidR="00F22639">
        <w:rPr>
          <w:lang w:eastAsia="nl-BE"/>
        </w:rPr>
        <w:t>REMEDIS</w:t>
      </w:r>
      <w:r>
        <w:rPr>
          <w:lang w:eastAsia="nl-BE"/>
        </w:rPr>
        <w:t xml:space="preserve"> partners – such as templates (</w:t>
      </w:r>
      <w:proofErr w:type="gramStart"/>
      <w:r>
        <w:rPr>
          <w:lang w:eastAsia="nl-BE"/>
        </w:rPr>
        <w:t>e.g.</w:t>
      </w:r>
      <w:proofErr w:type="gramEnd"/>
      <w:r>
        <w:rPr>
          <w:lang w:eastAsia="nl-BE"/>
        </w:rPr>
        <w:t xml:space="preserve"> for reports or informed consent forms), final deliverables, blog texts, meeting minutes and presentations – Dropbox is the main platform. For more informal talks between </w:t>
      </w:r>
      <w:proofErr w:type="gramStart"/>
      <w:r>
        <w:rPr>
          <w:lang w:eastAsia="nl-BE"/>
        </w:rPr>
        <w:t>partners</w:t>
      </w:r>
      <w:proofErr w:type="gramEnd"/>
      <w:r>
        <w:rPr>
          <w:lang w:eastAsia="nl-BE"/>
        </w:rPr>
        <w:t xml:space="preserve"> we also use the Slack platform. No personal data are collected</w:t>
      </w:r>
      <w:r w:rsidR="00F72E2F">
        <w:rPr>
          <w:lang w:eastAsia="nl-BE"/>
        </w:rPr>
        <w:t xml:space="preserve"> by </w:t>
      </w:r>
      <w:r w:rsidR="00F600AE">
        <w:rPr>
          <w:lang w:eastAsia="nl-BE"/>
        </w:rPr>
        <w:t xml:space="preserve">REMEDIS </w:t>
      </w:r>
      <w:r w:rsidR="00F72E2F">
        <w:rPr>
          <w:lang w:eastAsia="nl-BE"/>
        </w:rPr>
        <w:t>for these purposes.</w:t>
      </w:r>
    </w:p>
    <w:p w14:paraId="2229D5ED" w14:textId="77777777" w:rsidR="00F72E2F" w:rsidRDefault="00F72E2F" w:rsidP="0052147E">
      <w:pPr>
        <w:rPr>
          <w:lang w:eastAsia="nl-BE"/>
        </w:rPr>
      </w:pPr>
    </w:p>
    <w:p w14:paraId="1A472415" w14:textId="77777777" w:rsidR="0052147E" w:rsidRDefault="0052147E" w:rsidP="0052147E">
      <w:pPr>
        <w:pStyle w:val="Kop1"/>
        <w:rPr>
          <w:lang w:eastAsia="nl-BE"/>
        </w:rPr>
      </w:pPr>
      <w:bookmarkStart w:id="6" w:name="_Toc129866656"/>
      <w:r>
        <w:rPr>
          <w:lang w:eastAsia="nl-BE"/>
        </w:rPr>
        <w:t>Ethical aspects</w:t>
      </w:r>
      <w:bookmarkEnd w:id="6"/>
    </w:p>
    <w:p w14:paraId="4DABB427" w14:textId="239F4350" w:rsidR="0052147E" w:rsidRPr="00227D0F" w:rsidRDefault="0052147E" w:rsidP="0052147E">
      <w:pPr>
        <w:rPr>
          <w:rFonts w:cs="Segoe UI"/>
          <w:color w:val="000000"/>
          <w:lang w:val="en-US" w:eastAsia="nl-BE"/>
        </w:rPr>
      </w:pPr>
      <w:r w:rsidRPr="00227D0F">
        <w:rPr>
          <w:rFonts w:cs="Segoe UI"/>
          <w:color w:val="000000"/>
          <w:lang w:val="en-US" w:eastAsia="nl-BE"/>
        </w:rPr>
        <w:t xml:space="preserve">REMEDIS ensures compliance with the ethics requirements of the European Commission and with the EU’s General Data Protection Regulation. </w:t>
      </w:r>
    </w:p>
    <w:p w14:paraId="4F2B181B" w14:textId="542015F4" w:rsidR="0052147E" w:rsidRPr="003B4509" w:rsidRDefault="0052147E" w:rsidP="003B4509">
      <w:pPr>
        <w:pStyle w:val="Kop2"/>
      </w:pPr>
      <w:bookmarkStart w:id="7" w:name="_Toc78181762"/>
      <w:bookmarkStart w:id="8" w:name="_Toc129866657"/>
      <w:r w:rsidRPr="003B4509">
        <w:t>Ethics approval of the ethics committees</w:t>
      </w:r>
      <w:bookmarkEnd w:id="7"/>
      <w:bookmarkEnd w:id="8"/>
      <w:r w:rsidRPr="003B4509">
        <w:t xml:space="preserve"> </w:t>
      </w:r>
    </w:p>
    <w:p w14:paraId="434898C7" w14:textId="2780744F" w:rsidR="0052147E" w:rsidRPr="00227D0F" w:rsidRDefault="0052147E" w:rsidP="0052147E">
      <w:pPr>
        <w:rPr>
          <w:rFonts w:cs="Segoe UI"/>
          <w:color w:val="000000"/>
          <w:lang w:eastAsia="nl-BE"/>
        </w:rPr>
      </w:pPr>
      <w:r w:rsidRPr="00C4614A">
        <w:rPr>
          <w:rFonts w:cs="Segoe UI"/>
          <w:color w:val="000000"/>
          <w:lang w:eastAsia="nl-BE"/>
        </w:rPr>
        <w:t xml:space="preserve">The Social and Societal Ethics Committee (SMEC) of the KU Leuven </w:t>
      </w:r>
      <w:r w:rsidR="00C4614A" w:rsidRPr="00C4614A">
        <w:rPr>
          <w:rFonts w:cs="Segoe UI"/>
          <w:color w:val="000000"/>
          <w:lang w:eastAsia="nl-BE"/>
        </w:rPr>
        <w:t>will have</w:t>
      </w:r>
      <w:r w:rsidRPr="00C4614A">
        <w:rPr>
          <w:rFonts w:cs="Segoe UI"/>
          <w:color w:val="000000"/>
          <w:lang w:eastAsia="nl-BE"/>
        </w:rPr>
        <w:t xml:space="preserve"> approved the project’s handling of ethical issues before the actual commencement of </w:t>
      </w:r>
      <w:r w:rsidR="00C4614A">
        <w:rPr>
          <w:rFonts w:cs="Segoe UI"/>
          <w:color w:val="000000"/>
          <w:lang w:eastAsia="nl-BE"/>
        </w:rPr>
        <w:t>WP2 (</w:t>
      </w:r>
      <w:r w:rsidR="00C4614A" w:rsidRPr="00C4614A">
        <w:rPr>
          <w:rFonts w:cs="Segoe UI"/>
          <w:i/>
          <w:iCs/>
          <w:color w:val="000000"/>
          <w:lang w:eastAsia="nl-BE"/>
        </w:rPr>
        <w:t>Co-development of enhancements and improvements of intervention programmes</w:t>
      </w:r>
      <w:r w:rsidR="00C4614A">
        <w:rPr>
          <w:rFonts w:cs="Segoe UI"/>
          <w:color w:val="000000"/>
          <w:lang w:eastAsia="nl-BE"/>
        </w:rPr>
        <w:t>).</w:t>
      </w:r>
      <w:r w:rsidRPr="00227D0F">
        <w:rPr>
          <w:rFonts w:cs="Segoe UI"/>
          <w:color w:val="000000"/>
          <w:lang w:eastAsia="nl-BE"/>
        </w:rPr>
        <w:t xml:space="preserve"> SMEC evaluates research on human subjects that is not related to health science practices or includes medical or pharmacological procedures. It includes a multidisciplinary panel of experts for ethical review of research in the humanities and the behavioural or social science research traditions.  </w:t>
      </w:r>
    </w:p>
    <w:p w14:paraId="5319E362" w14:textId="5546FDFA" w:rsidR="0052147E" w:rsidRPr="00227D0F" w:rsidRDefault="0052147E" w:rsidP="0052147E">
      <w:pPr>
        <w:rPr>
          <w:rFonts w:cs="Segoe UI"/>
          <w:color w:val="000000"/>
          <w:lang w:eastAsia="nl-BE"/>
        </w:rPr>
      </w:pPr>
      <w:r w:rsidRPr="00227D0F">
        <w:rPr>
          <w:rFonts w:cs="Segoe UI"/>
          <w:color w:val="000000"/>
          <w:lang w:eastAsia="nl-BE"/>
        </w:rPr>
        <w:t>Each scientific partner who has an institutional ethics committee will seek the advice and agreement of their own institute’s Ethics Committee for their own research activities</w:t>
      </w:r>
      <w:r w:rsidR="00C4614A">
        <w:rPr>
          <w:rFonts w:cs="Segoe UI"/>
          <w:color w:val="000000"/>
          <w:lang w:eastAsia="nl-BE"/>
        </w:rPr>
        <w:t xml:space="preserve"> in WPs 2-4</w:t>
      </w:r>
      <w:r w:rsidRPr="00227D0F">
        <w:rPr>
          <w:rFonts w:cs="Segoe UI"/>
          <w:color w:val="000000"/>
          <w:lang w:eastAsia="nl-BE"/>
        </w:rPr>
        <w:t xml:space="preserve">. Should the partner’s host institute not have an institutional ethics committee, the KU Leuven will submit, in close collaboration with that partner, the data and test procedures to SMEC to adhere to the research ethics related procedures of the KU Leuven. </w:t>
      </w:r>
    </w:p>
    <w:p w14:paraId="2334FF52" w14:textId="77777777" w:rsidR="0052147E" w:rsidRPr="00227D0F" w:rsidRDefault="0052147E" w:rsidP="0052147E">
      <w:pPr>
        <w:rPr>
          <w:rFonts w:cs="Segoe UI"/>
          <w:color w:val="000000"/>
          <w:lang w:eastAsia="nl-BE"/>
        </w:rPr>
      </w:pPr>
    </w:p>
    <w:p w14:paraId="4333A2AA" w14:textId="7AA9BE9E" w:rsidR="0052147E" w:rsidRPr="003B4509" w:rsidRDefault="0052147E" w:rsidP="003B4509">
      <w:pPr>
        <w:pStyle w:val="Kop2"/>
      </w:pPr>
      <w:bookmarkStart w:id="9" w:name="_Toc78181763"/>
      <w:bookmarkStart w:id="10" w:name="_Toc129866658"/>
      <w:r w:rsidRPr="003B4509">
        <w:t>Ethics throughout the project</w:t>
      </w:r>
      <w:bookmarkEnd w:id="9"/>
      <w:bookmarkEnd w:id="10"/>
    </w:p>
    <w:p w14:paraId="2EF41E3D" w14:textId="77777777" w:rsidR="0052147E" w:rsidRPr="00227D0F" w:rsidRDefault="0052147E" w:rsidP="0052147E">
      <w:pPr>
        <w:rPr>
          <w:rFonts w:cs="Segoe UI"/>
          <w:color w:val="000000"/>
          <w:lang w:eastAsia="nl-BE"/>
        </w:rPr>
      </w:pPr>
      <w:r w:rsidRPr="00227D0F">
        <w:rPr>
          <w:rFonts w:cs="Segoe UI"/>
          <w:color w:val="000000"/>
          <w:lang w:eastAsia="nl-BE"/>
        </w:rPr>
        <w:t>REMEDIS adheres to the principles laid down in ALLEAs European Code of Conduct for Research Integrity (2017). The project follows and makes use of the work done for global harmonisation by the World Intellectual Property Research Conferences and will make sure that the project partners and researchers will have necessary and updated knowledge of both research ethics and research integrity, as stated in the H2020 article 34.</w:t>
      </w:r>
    </w:p>
    <w:p w14:paraId="21906E06" w14:textId="77777777" w:rsidR="0052147E" w:rsidRPr="00227D0F" w:rsidRDefault="0052147E" w:rsidP="0052147E">
      <w:pPr>
        <w:rPr>
          <w:rFonts w:cs="Segoe UI"/>
          <w:i/>
          <w:color w:val="000000"/>
          <w:lang w:eastAsia="nl-BE"/>
        </w:rPr>
      </w:pPr>
    </w:p>
    <w:p w14:paraId="3CD9A0F7" w14:textId="6A66E4E8" w:rsidR="0052147E" w:rsidRPr="003B4509" w:rsidRDefault="0052147E" w:rsidP="003B4509">
      <w:pPr>
        <w:pStyle w:val="Kop3"/>
      </w:pPr>
      <w:bookmarkStart w:id="11" w:name="_Toc78181764"/>
      <w:bookmarkStart w:id="12" w:name="_Toc129866659"/>
      <w:r w:rsidRPr="003B4509">
        <w:t>Human participants</w:t>
      </w:r>
      <w:bookmarkEnd w:id="11"/>
      <w:bookmarkEnd w:id="12"/>
    </w:p>
    <w:p w14:paraId="1C621977" w14:textId="5E2EF116" w:rsidR="0052147E" w:rsidRPr="00227D0F" w:rsidRDefault="0052147E" w:rsidP="001D48DB">
      <w:pPr>
        <w:rPr>
          <w:rFonts w:cs="Segoe UI"/>
          <w:color w:val="000000"/>
          <w:lang w:eastAsia="nl-BE"/>
        </w:rPr>
      </w:pPr>
      <w:r w:rsidRPr="001D48DB">
        <w:rPr>
          <w:rFonts w:cs="Segoe UI"/>
          <w:color w:val="000000"/>
          <w:lang w:eastAsia="nl-BE"/>
        </w:rPr>
        <w:t>For participants</w:t>
      </w:r>
      <w:r w:rsidR="001D48DB">
        <w:rPr>
          <w:rFonts w:cs="Segoe UI"/>
          <w:color w:val="000000"/>
          <w:lang w:eastAsia="nl-BE"/>
        </w:rPr>
        <w:t xml:space="preserve"> </w:t>
      </w:r>
      <w:r w:rsidR="001D48DB" w:rsidRPr="00227D0F">
        <w:rPr>
          <w:rFonts w:eastAsia="Times New Roman" w:cs="Segoe UI"/>
          <w:lang w:val="en-US"/>
        </w:rPr>
        <w:t xml:space="preserve">(and the parents or legally </w:t>
      </w:r>
      <w:proofErr w:type="spellStart"/>
      <w:r w:rsidR="001D48DB" w:rsidRPr="00227D0F">
        <w:rPr>
          <w:rFonts w:eastAsia="Times New Roman" w:cs="Segoe UI"/>
          <w:lang w:val="en-US"/>
        </w:rPr>
        <w:t>authorised</w:t>
      </w:r>
      <w:proofErr w:type="spellEnd"/>
      <w:r w:rsidR="001D48DB" w:rsidRPr="00227D0F">
        <w:rPr>
          <w:rFonts w:eastAsia="Times New Roman" w:cs="Segoe UI"/>
          <w:lang w:val="en-US"/>
        </w:rPr>
        <w:t xml:space="preserve"> representatives, if relevant)</w:t>
      </w:r>
      <w:r w:rsidRPr="001D48DB">
        <w:rPr>
          <w:rFonts w:cs="Segoe UI"/>
          <w:color w:val="000000"/>
          <w:lang w:eastAsia="nl-BE"/>
        </w:rPr>
        <w:t xml:space="preserve"> in the </w:t>
      </w:r>
      <w:r w:rsidR="001D48DB" w:rsidRPr="001D48DB">
        <w:rPr>
          <w:rFonts w:cs="Segoe UI"/>
          <w:color w:val="000000"/>
          <w:lang w:eastAsia="nl-BE"/>
        </w:rPr>
        <w:t>experimental studies (WP3)</w:t>
      </w:r>
      <w:r w:rsidRPr="001D48DB">
        <w:rPr>
          <w:rFonts w:cs="Segoe UI"/>
          <w:color w:val="000000"/>
          <w:lang w:eastAsia="nl-BE"/>
        </w:rPr>
        <w:t xml:space="preserve"> an informed consent form and information sheet will be provided (following art. 4 &amp; 7 of the General Data Protection Regulation (Regulation (EU) 2016/679) related to Informed Consent). This informed consent includes that the participants will be informed on the purpose, </w:t>
      </w:r>
      <w:proofErr w:type="gramStart"/>
      <w:r w:rsidRPr="001D48DB">
        <w:rPr>
          <w:rFonts w:cs="Segoe UI"/>
          <w:color w:val="000000"/>
          <w:lang w:eastAsia="nl-BE"/>
        </w:rPr>
        <w:t>nature</w:t>
      </w:r>
      <w:proofErr w:type="gramEnd"/>
      <w:r w:rsidRPr="001D48DB">
        <w:rPr>
          <w:rFonts w:cs="Segoe UI"/>
          <w:color w:val="000000"/>
          <w:lang w:eastAsia="nl-BE"/>
        </w:rPr>
        <w:t xml:space="preserve"> and risks/discomforts of and objections to the study before providing any such consent.</w:t>
      </w:r>
      <w:r w:rsidRPr="001D48DB">
        <w:rPr>
          <w:rFonts w:cs="Segoe UI"/>
          <w:color w:val="000000"/>
          <w:lang w:val="en-US" w:eastAsia="nl-BE"/>
        </w:rPr>
        <w:t xml:space="preserve"> The participants will be informed that they can withdraw from the project at any given time without this having any consequences</w:t>
      </w:r>
      <w:r w:rsidRPr="001D48DB">
        <w:rPr>
          <w:rFonts w:cs="Segoe UI"/>
          <w:color w:val="000000"/>
          <w:lang w:eastAsia="nl-BE"/>
        </w:rPr>
        <w:t>. The participants will also be informed that their names will not be published and that the confidentiality of the data at each stage of the research will be guaranteed. The information provided will be clear and the participants will be allowed time to think between receiving the information and potentially providing their consent. The participants may revoke such consent at any time during the study, without any negative consequences, as such ending their participation in the study.</w:t>
      </w:r>
      <w:r w:rsidRPr="00227D0F">
        <w:rPr>
          <w:rFonts w:cs="Segoe UI"/>
          <w:color w:val="000000"/>
          <w:lang w:eastAsia="nl-BE"/>
        </w:rPr>
        <w:t xml:space="preserve"> </w:t>
      </w:r>
    </w:p>
    <w:p w14:paraId="7A77B3BB" w14:textId="77777777" w:rsidR="0052147E" w:rsidRPr="00227D0F" w:rsidRDefault="0052147E" w:rsidP="0052147E">
      <w:pPr>
        <w:rPr>
          <w:rFonts w:cs="Segoe UI"/>
          <w:lang w:eastAsia="nl-BE"/>
        </w:rPr>
      </w:pPr>
      <w:r w:rsidRPr="00227D0F">
        <w:rPr>
          <w:rFonts w:cs="Segoe UI"/>
          <w:lang w:eastAsia="nl-BE"/>
        </w:rPr>
        <w:t xml:space="preserve">The informed consent forms and information sheets will be available before each research activity begins. The format and content of these informed consent forms and information sheets will confirm strictly to the guidelines that exist in the EU Member States, regarding their content, </w:t>
      </w:r>
      <w:proofErr w:type="gramStart"/>
      <w:r w:rsidRPr="00227D0F">
        <w:rPr>
          <w:rFonts w:cs="Segoe UI"/>
          <w:lang w:eastAsia="nl-BE"/>
        </w:rPr>
        <w:t>style</w:t>
      </w:r>
      <w:proofErr w:type="gramEnd"/>
      <w:r w:rsidRPr="00227D0F">
        <w:rPr>
          <w:rFonts w:cs="Segoe UI"/>
          <w:lang w:eastAsia="nl-BE"/>
        </w:rPr>
        <w:t xml:space="preserve"> and format. The informed consent forms will be kept on file. For all research activities, all publicly available research results will be </w:t>
      </w:r>
      <w:r w:rsidRPr="00227D0F">
        <w:rPr>
          <w:rFonts w:cs="Segoe UI"/>
          <w:b/>
          <w:lang w:eastAsia="nl-BE"/>
        </w:rPr>
        <w:t>anonymised or coded to protect the privacy of research participants</w:t>
      </w:r>
      <w:r w:rsidRPr="00227D0F">
        <w:rPr>
          <w:rFonts w:cs="Segoe UI"/>
          <w:lang w:eastAsia="nl-BE"/>
        </w:rPr>
        <w:t xml:space="preserve">. </w:t>
      </w:r>
    </w:p>
    <w:p w14:paraId="5D371467" w14:textId="77777777" w:rsidR="0052147E" w:rsidRPr="00227D0F" w:rsidRDefault="0052147E" w:rsidP="0052147E">
      <w:pPr>
        <w:rPr>
          <w:rFonts w:cs="Segoe UI"/>
          <w:lang w:eastAsia="nl-BE"/>
        </w:rPr>
      </w:pPr>
      <w:r w:rsidRPr="00227D0F">
        <w:rPr>
          <w:rFonts w:cs="Segoe UI"/>
          <w:lang w:eastAsia="nl-BE"/>
        </w:rPr>
        <w:t xml:space="preserve">The project will adhere to the general rules of limits of confidentiality and the obligation to notify proper </w:t>
      </w:r>
      <w:proofErr w:type="gramStart"/>
      <w:r w:rsidRPr="00227D0F">
        <w:rPr>
          <w:rFonts w:cs="Segoe UI"/>
          <w:lang w:eastAsia="nl-BE"/>
        </w:rPr>
        <w:t>authorities, and</w:t>
      </w:r>
      <w:proofErr w:type="gramEnd"/>
      <w:r w:rsidRPr="00227D0F">
        <w:rPr>
          <w:rFonts w:cs="Segoe UI"/>
          <w:lang w:eastAsia="nl-BE"/>
        </w:rPr>
        <w:t xml:space="preserve"> will establish protocols if and when during the research process it is clear that informants are at risk of harming themselves, or pose an immediate threat to others. </w:t>
      </w:r>
    </w:p>
    <w:p w14:paraId="25169CD8" w14:textId="77777777" w:rsidR="0052147E" w:rsidRPr="00227D0F" w:rsidRDefault="0052147E" w:rsidP="0052147E">
      <w:pPr>
        <w:rPr>
          <w:rFonts w:cs="Segoe UI"/>
          <w:lang w:eastAsia="nl-BE"/>
        </w:rPr>
      </w:pPr>
      <w:r w:rsidRPr="00227D0F">
        <w:rPr>
          <w:rFonts w:cs="Segoe UI"/>
          <w:lang w:eastAsia="nl-BE"/>
        </w:rPr>
        <w:t xml:space="preserve">In addition, the project will seek to anticipate </w:t>
      </w:r>
      <w:proofErr w:type="gramStart"/>
      <w:r w:rsidRPr="00227D0F">
        <w:rPr>
          <w:rFonts w:cs="Segoe UI"/>
          <w:lang w:eastAsia="nl-BE"/>
        </w:rPr>
        <w:t>if and when</w:t>
      </w:r>
      <w:proofErr w:type="gramEnd"/>
      <w:r w:rsidRPr="00227D0F">
        <w:rPr>
          <w:rFonts w:cs="Segoe UI"/>
          <w:lang w:eastAsia="nl-BE"/>
        </w:rPr>
        <w:t xml:space="preserve"> third parties can be affected by the research, for instance when informants provide information about individuals originally not part of the research. Protocols will be established to solve these situations. </w:t>
      </w:r>
    </w:p>
    <w:p w14:paraId="6F8BD3BF" w14:textId="4B1BA1B0" w:rsidR="0052147E" w:rsidRPr="00227D0F" w:rsidRDefault="00EA3194" w:rsidP="0052147E">
      <w:pPr>
        <w:rPr>
          <w:rFonts w:cs="Segoe UI"/>
          <w:lang w:val="en-US" w:eastAsia="nl-BE"/>
        </w:rPr>
      </w:pPr>
      <w:r w:rsidRPr="00EA3194">
        <w:rPr>
          <w:rFonts w:cs="Segoe UI"/>
          <w:lang w:val="en-US" w:eastAsia="nl-BE"/>
        </w:rPr>
        <w:t>I</w:t>
      </w:r>
      <w:r w:rsidR="0052147E" w:rsidRPr="00EA3194">
        <w:rPr>
          <w:rFonts w:cs="Segoe UI"/>
          <w:lang w:val="en-US" w:eastAsia="nl-BE"/>
        </w:rPr>
        <w:t xml:space="preserve">n the REMEDIS project, </w:t>
      </w:r>
      <w:r w:rsidRPr="00EA3194">
        <w:rPr>
          <w:rFonts w:cs="Segoe UI"/>
          <w:b/>
          <w:lang w:val="en-US" w:eastAsia="nl-BE"/>
        </w:rPr>
        <w:t>vulnerable target groups</w:t>
      </w:r>
      <w:r w:rsidR="0052147E" w:rsidRPr="00EA3194">
        <w:rPr>
          <w:rFonts w:cs="Segoe UI"/>
          <w:b/>
          <w:lang w:val="en-US" w:eastAsia="nl-BE"/>
        </w:rPr>
        <w:t xml:space="preserve"> </w:t>
      </w:r>
      <w:r w:rsidR="00C4614A">
        <w:rPr>
          <w:rFonts w:cs="Segoe UI"/>
          <w:b/>
          <w:lang w:val="en-US" w:eastAsia="nl-BE"/>
        </w:rPr>
        <w:t xml:space="preserve">and their caregivers </w:t>
      </w:r>
      <w:r w:rsidR="0052147E" w:rsidRPr="00EA3194">
        <w:rPr>
          <w:rFonts w:cs="Segoe UI"/>
          <w:lang w:val="en-US" w:eastAsia="nl-BE"/>
        </w:rPr>
        <w:t xml:space="preserve">will be participants, as the results of the research will benefit the individual or group represented by the participant. </w:t>
      </w:r>
      <w:r w:rsidR="0052147E" w:rsidRPr="00EA3194">
        <w:rPr>
          <w:rFonts w:cs="Segoe UI"/>
          <w:lang w:eastAsia="nl-BE"/>
        </w:rPr>
        <w:t xml:space="preserve"> Furthermore, the REMEDIS project has no objectives which are harmful or prejudicial to participants. </w:t>
      </w:r>
      <w:r w:rsidR="0052147E" w:rsidRPr="00EA3194">
        <w:rPr>
          <w:rFonts w:cs="Segoe UI"/>
          <w:lang w:val="en-US" w:eastAsia="nl-BE"/>
        </w:rPr>
        <w:t xml:space="preserve">For the data collection with children and adolescents, we will obtain informed consent from the legally </w:t>
      </w:r>
      <w:proofErr w:type="spellStart"/>
      <w:r w:rsidR="0052147E" w:rsidRPr="00EA3194">
        <w:rPr>
          <w:rFonts w:cs="Segoe UI"/>
          <w:lang w:val="en-US" w:eastAsia="nl-BE"/>
        </w:rPr>
        <w:t>authorised</w:t>
      </w:r>
      <w:proofErr w:type="spellEnd"/>
      <w:r w:rsidR="0052147E" w:rsidRPr="00EA3194">
        <w:rPr>
          <w:rFonts w:cs="Segoe UI"/>
          <w:lang w:val="en-US" w:eastAsia="nl-BE"/>
        </w:rPr>
        <w:t xml:space="preserve"> representative and ensure that they have sufficient information to enable them to provide this on behalf and in the best interest of their child. In addition to the consent of the parents or legal representatives, the assent of the children will be obtained. This assent will be written in child-friendly language. All other requirements described above for human participants do also apply for children and adolescents.</w:t>
      </w:r>
      <w:r w:rsidR="0052147E" w:rsidRPr="00227D0F">
        <w:rPr>
          <w:rFonts w:cs="Segoe UI"/>
          <w:lang w:val="en-US" w:eastAsia="nl-BE"/>
        </w:rPr>
        <w:t xml:space="preserve"> </w:t>
      </w:r>
    </w:p>
    <w:p w14:paraId="624738F3" w14:textId="77777777" w:rsidR="0052147E" w:rsidRDefault="0052147E" w:rsidP="0052147E">
      <w:pPr>
        <w:rPr>
          <w:rFonts w:cs="Segoe UI"/>
          <w:lang w:val="en-US" w:eastAsia="nl-BE"/>
        </w:rPr>
      </w:pPr>
    </w:p>
    <w:p w14:paraId="499114E7" w14:textId="77777777" w:rsidR="00C4614A" w:rsidRDefault="00C4614A" w:rsidP="0052147E">
      <w:pPr>
        <w:rPr>
          <w:rFonts w:cs="Segoe UI"/>
          <w:lang w:val="en-US" w:eastAsia="nl-BE"/>
        </w:rPr>
      </w:pPr>
    </w:p>
    <w:p w14:paraId="528DC9D6" w14:textId="77777777" w:rsidR="00C4614A" w:rsidRDefault="00C4614A" w:rsidP="0052147E">
      <w:pPr>
        <w:rPr>
          <w:rFonts w:cs="Segoe UI"/>
          <w:lang w:val="en-US" w:eastAsia="nl-BE"/>
        </w:rPr>
      </w:pPr>
    </w:p>
    <w:p w14:paraId="5C4A10DE" w14:textId="77777777" w:rsidR="00C4614A" w:rsidRPr="00227D0F" w:rsidRDefault="00C4614A" w:rsidP="0052147E">
      <w:pPr>
        <w:rPr>
          <w:rFonts w:cs="Segoe UI"/>
          <w:lang w:val="en-US" w:eastAsia="nl-BE"/>
        </w:rPr>
      </w:pPr>
    </w:p>
    <w:p w14:paraId="6160B823" w14:textId="5BF44C13" w:rsidR="0052147E" w:rsidRPr="003B4509" w:rsidRDefault="0052147E" w:rsidP="003B4509">
      <w:pPr>
        <w:pStyle w:val="Kop3"/>
      </w:pPr>
      <w:bookmarkStart w:id="13" w:name="_Toc78181765"/>
      <w:bookmarkStart w:id="14" w:name="_Toc129866660"/>
      <w:r w:rsidRPr="003B4509">
        <w:lastRenderedPageBreak/>
        <w:t>Personal data</w:t>
      </w:r>
      <w:bookmarkEnd w:id="13"/>
      <w:bookmarkEnd w:id="14"/>
    </w:p>
    <w:p w14:paraId="56850C34" w14:textId="77777777" w:rsidR="0052147E" w:rsidRPr="00227D0F" w:rsidRDefault="0052147E" w:rsidP="0052147E">
      <w:pPr>
        <w:rPr>
          <w:rFonts w:cs="Segoe UI"/>
          <w:lang w:eastAsia="nl-BE"/>
        </w:rPr>
      </w:pPr>
      <w:r w:rsidRPr="00227D0F">
        <w:rPr>
          <w:rFonts w:cs="Segoe UI"/>
          <w:lang w:eastAsia="nl-BE"/>
        </w:rPr>
        <w:t xml:space="preserve">The collection of data will be carried out in compliance with the General Data Protection Regulation (EU) 2016/679, and related national legislation such as the Belgian Privacy Law (Law of 8 December 1992), and the regulations relating to the implementation of that law (KB 13/02/2001 and KB 17/12/2003). </w:t>
      </w:r>
    </w:p>
    <w:p w14:paraId="4931F989" w14:textId="77777777" w:rsidR="0052147E" w:rsidRPr="00227D0F" w:rsidRDefault="0052147E" w:rsidP="0052147E">
      <w:pPr>
        <w:rPr>
          <w:rFonts w:cs="Segoe UI"/>
          <w:lang w:eastAsia="nl-BE"/>
        </w:rPr>
      </w:pPr>
      <w:r w:rsidRPr="00227D0F">
        <w:rPr>
          <w:rFonts w:cs="Segoe UI"/>
          <w:lang w:eastAsia="nl-BE"/>
        </w:rPr>
        <w:t xml:space="preserve">Data will only be collected and distributed in EU Member States and states deemed by the European Commission to have </w:t>
      </w:r>
      <w:hyperlink r:id="rId17" w:history="1">
        <w:r w:rsidRPr="00227D0F">
          <w:rPr>
            <w:rStyle w:val="Hyperlink"/>
            <w:rFonts w:cs="Segoe UI"/>
            <w:lang w:eastAsia="nl-BE"/>
          </w:rPr>
          <w:t>adequate data protection rules</w:t>
        </w:r>
      </w:hyperlink>
      <w:r w:rsidRPr="00227D0F">
        <w:rPr>
          <w:rFonts w:cs="Segoe UI"/>
          <w:lang w:eastAsia="nl-BE"/>
        </w:rPr>
        <w:t xml:space="preserve">. The beneficiaries will evaluate the ethics risks related to the data processing activities of the project. The risk evaluation and the assessment will be submitted as a deliverable. </w:t>
      </w:r>
    </w:p>
    <w:p w14:paraId="1D3EE406" w14:textId="77777777" w:rsidR="0052147E" w:rsidRPr="00227D0F" w:rsidRDefault="0052147E" w:rsidP="0052147E">
      <w:pPr>
        <w:rPr>
          <w:rFonts w:cs="Segoe UI"/>
          <w:lang w:eastAsia="nl-BE"/>
        </w:rPr>
      </w:pPr>
      <w:r w:rsidRPr="00227D0F">
        <w:rPr>
          <w:rFonts w:cs="Segoe UI"/>
          <w:lang w:val="en-US" w:eastAsia="nl-BE"/>
        </w:rPr>
        <w:t xml:space="preserve">All data used in the project is publicly available and can be freely used for the purposes of the project. </w:t>
      </w:r>
      <w:r w:rsidRPr="00227D0F">
        <w:rPr>
          <w:rFonts w:cs="Segoe UI"/>
          <w:lang w:eastAsia="nl-BE"/>
        </w:rPr>
        <w:t xml:space="preserve">Two types of data will be collected during the project: primary and secondary. When </w:t>
      </w:r>
      <w:r w:rsidRPr="00227D0F">
        <w:rPr>
          <w:rFonts w:cs="Segoe UI"/>
          <w:b/>
          <w:lang w:eastAsia="nl-BE"/>
        </w:rPr>
        <w:t>primary data</w:t>
      </w:r>
      <w:r w:rsidRPr="00227D0F">
        <w:rPr>
          <w:rFonts w:cs="Segoe UI"/>
          <w:lang w:eastAsia="nl-BE"/>
        </w:rPr>
        <w:t xml:space="preserve"> are to be collected, the project will respect the principles of justifiability, proportionality and transparency: the data will only be collected for a clearly specified goal, and will not be preserved for longer than necessary; the data collected will be relevant and proportional to the goals of the research; and the persons involved will be clearly informed about the goals, and also about any further use of the data collected. Informed consent will be obtained from the participants. The participants will be informed of their right to consult the data collected, t</w:t>
      </w:r>
      <w:r w:rsidRPr="00227D0F">
        <w:rPr>
          <w:rFonts w:cs="Segoe UI"/>
          <w:lang w:val="en-US" w:eastAsia="nl-BE"/>
        </w:rPr>
        <w:t xml:space="preserve">he right to temporarily restrict processing, the right to have the data erased, the right to know what data is being collected. </w:t>
      </w:r>
      <w:r w:rsidRPr="00227D0F">
        <w:rPr>
          <w:rFonts w:cs="Segoe UI"/>
          <w:lang w:eastAsia="nl-BE"/>
        </w:rPr>
        <w:t>their right to correction of erroneous data, and their right to withdraw from the research at any time. In REMEDIS, all data will be anonymised, in such a way that the data subject can no longer be identified (and therefore is no longer personal data and thus outside the scope of data protection law).</w:t>
      </w:r>
    </w:p>
    <w:p w14:paraId="10BE7933" w14:textId="5F799B4B" w:rsidR="0052147E" w:rsidRPr="00227D0F" w:rsidRDefault="0052147E" w:rsidP="0052147E">
      <w:pPr>
        <w:rPr>
          <w:rFonts w:cs="Segoe UI"/>
          <w:lang w:eastAsia="nl-BE"/>
        </w:rPr>
      </w:pPr>
      <w:r w:rsidRPr="00227D0F">
        <w:rPr>
          <w:rFonts w:cs="Segoe UI"/>
          <w:lang w:eastAsia="nl-BE"/>
        </w:rPr>
        <w:t xml:space="preserve">Where </w:t>
      </w:r>
      <w:r w:rsidRPr="00227D0F">
        <w:rPr>
          <w:rFonts w:cs="Segoe UI"/>
          <w:b/>
          <w:lang w:eastAsia="nl-BE"/>
        </w:rPr>
        <w:t>secondary data</w:t>
      </w:r>
      <w:r w:rsidRPr="00227D0F">
        <w:rPr>
          <w:rFonts w:cs="Segoe UI"/>
          <w:lang w:eastAsia="nl-BE"/>
        </w:rPr>
        <w:t xml:space="preserve"> are to be used, this will be obtained from an authorised public source. Authorisation for accessing and using such data will be obtained from the relevant national and sectoral committees. If practically possible, authorisation from the participants who originally provided the data will also be obtained. The secondary data used in REMEDIS (</w:t>
      </w:r>
      <w:proofErr w:type="gramStart"/>
      <w:r w:rsidRPr="00227D0F">
        <w:rPr>
          <w:rFonts w:cs="Segoe UI"/>
          <w:lang w:eastAsia="nl-BE"/>
        </w:rPr>
        <w:t>i.e.</w:t>
      </w:r>
      <w:proofErr w:type="gramEnd"/>
      <w:r w:rsidRPr="00227D0F">
        <w:rPr>
          <w:rFonts w:cs="Segoe UI"/>
          <w:lang w:eastAsia="nl-BE"/>
        </w:rPr>
        <w:t xml:space="preserve"> in </w:t>
      </w:r>
      <w:r w:rsidRPr="00D1624E">
        <w:rPr>
          <w:rFonts w:cs="Segoe UI"/>
          <w:lang w:eastAsia="nl-BE"/>
        </w:rPr>
        <w:t>WP</w:t>
      </w:r>
      <w:r w:rsidR="00D1624E" w:rsidRPr="00D1624E">
        <w:rPr>
          <w:rFonts w:cs="Segoe UI"/>
          <w:lang w:eastAsia="nl-BE"/>
        </w:rPr>
        <w:t>1</w:t>
      </w:r>
      <w:r w:rsidRPr="00D1624E">
        <w:rPr>
          <w:rFonts w:cs="Segoe UI"/>
          <w:lang w:eastAsia="nl-BE"/>
        </w:rPr>
        <w:t>)</w:t>
      </w:r>
      <w:r w:rsidRPr="00227D0F">
        <w:rPr>
          <w:rFonts w:cs="Segoe UI"/>
          <w:lang w:eastAsia="nl-BE"/>
        </w:rPr>
        <w:t xml:space="preserve"> is predominantly publicly available, open </w:t>
      </w:r>
      <w:r w:rsidR="002B5A81">
        <w:rPr>
          <w:rFonts w:cs="Segoe UI"/>
          <w:lang w:eastAsia="nl-BE"/>
        </w:rPr>
        <w:t xml:space="preserve">or published </w:t>
      </w:r>
      <w:r w:rsidRPr="00227D0F">
        <w:rPr>
          <w:rFonts w:cs="Segoe UI"/>
          <w:lang w:eastAsia="nl-BE"/>
        </w:rPr>
        <w:t xml:space="preserve">data, and can be freely used. The secondary data will be requested and managed by the partners in charge of the related task and used according to the rules of the providers, including non-delivery to other project partners if this is not part of the agreement taken. Each partner involved will describe the security measures that will be implemented to prevent unauthorised access to personal </w:t>
      </w:r>
      <w:proofErr w:type="gramStart"/>
      <w:r w:rsidRPr="00227D0F">
        <w:rPr>
          <w:rFonts w:cs="Segoe UI"/>
          <w:lang w:eastAsia="nl-BE"/>
        </w:rPr>
        <w:t>data</w:t>
      </w:r>
      <w:proofErr w:type="gramEnd"/>
      <w:r w:rsidRPr="00227D0F">
        <w:rPr>
          <w:rFonts w:cs="Segoe UI"/>
          <w:lang w:eastAsia="nl-BE"/>
        </w:rPr>
        <w:t xml:space="preserve"> or the equipment used for processing.</w:t>
      </w:r>
    </w:p>
    <w:p w14:paraId="010160F2" w14:textId="77777777" w:rsidR="0052147E" w:rsidRPr="00227D0F" w:rsidRDefault="0052147E" w:rsidP="0052147E">
      <w:pPr>
        <w:rPr>
          <w:rFonts w:cs="Segoe UI"/>
          <w:u w:val="single"/>
          <w:lang w:eastAsia="nl-BE"/>
        </w:rPr>
      </w:pPr>
      <w:r w:rsidRPr="00227D0F">
        <w:rPr>
          <w:rFonts w:cs="Segoe UI"/>
          <w:u w:val="single"/>
          <w:lang w:eastAsia="nl-BE"/>
        </w:rPr>
        <w:t xml:space="preserve">Personal data related to communication, dissemination and </w:t>
      </w:r>
      <w:proofErr w:type="gramStart"/>
      <w:r w:rsidRPr="00227D0F">
        <w:rPr>
          <w:rFonts w:cs="Segoe UI"/>
          <w:u w:val="single"/>
          <w:lang w:eastAsia="nl-BE"/>
        </w:rPr>
        <w:t>exploitation</w:t>
      </w:r>
      <w:proofErr w:type="gramEnd"/>
    </w:p>
    <w:p w14:paraId="2CF0DF2F" w14:textId="77777777" w:rsidR="0052147E" w:rsidRPr="00227D0F" w:rsidRDefault="0052147E" w:rsidP="0052147E">
      <w:pPr>
        <w:rPr>
          <w:rFonts w:cs="Segoe UI"/>
          <w:lang w:eastAsia="nl-BE"/>
        </w:rPr>
      </w:pPr>
      <w:r w:rsidRPr="00227D0F">
        <w:rPr>
          <w:rFonts w:cs="Segoe UI"/>
          <w:lang w:eastAsia="nl-BE"/>
        </w:rPr>
        <w:t>REMEDIS processes personal data (legal basis: </w:t>
      </w:r>
      <w:hyperlink r:id="rId18" w:tgtFrame="_blank" w:history="1">
        <w:r w:rsidRPr="00227D0F">
          <w:rPr>
            <w:rStyle w:val="Hyperlink"/>
            <w:rFonts w:cs="Segoe UI"/>
            <w:lang w:eastAsia="nl-BE"/>
          </w:rPr>
          <w:t>Art. 4 (1) GDPR</w:t>
        </w:r>
      </w:hyperlink>
      <w:r w:rsidRPr="00227D0F">
        <w:rPr>
          <w:rFonts w:cs="Segoe UI"/>
          <w:lang w:eastAsia="nl-BE"/>
        </w:rPr>
        <w:t xml:space="preserve">) within the scope of our privacy policy only to the extent necessary to provide a functioning website and the contents and services made available here. Website visitors provide personal data, for instance, by using a contact form, </w:t>
      </w:r>
      <w:proofErr w:type="gramStart"/>
      <w:r w:rsidRPr="00227D0F">
        <w:rPr>
          <w:rFonts w:cs="Segoe UI"/>
          <w:lang w:eastAsia="nl-BE"/>
        </w:rPr>
        <w:t>sharing</w:t>
      </w:r>
      <w:proofErr w:type="gramEnd"/>
      <w:r w:rsidRPr="00227D0F">
        <w:rPr>
          <w:rFonts w:cs="Segoe UI"/>
          <w:lang w:eastAsia="nl-BE"/>
        </w:rPr>
        <w:t xml:space="preserve"> or commenting a blog post or registering for the newsletter. The purpose of processing these data is to provide visitors with the services of the REMEDIS website and/or the services they registered for. Besides these, some personal data are automatically captured by IT systems every time they visit the REMEDIS website. REMEDIS uses </w:t>
      </w:r>
      <w:r w:rsidRPr="00227D0F">
        <w:rPr>
          <w:rFonts w:cs="Segoe UI"/>
          <w:lang w:eastAsia="nl-BE"/>
        </w:rPr>
        <w:lastRenderedPageBreak/>
        <w:t>these data to assist in providing and improving effective services and analysing the use of the REMEDIS pages.</w:t>
      </w:r>
    </w:p>
    <w:p w14:paraId="2FAEDB8D" w14:textId="7A3A2ADF" w:rsidR="0052147E" w:rsidRPr="00227D0F" w:rsidRDefault="0052147E" w:rsidP="0052147E">
      <w:pPr>
        <w:rPr>
          <w:rFonts w:cs="Segoe UI"/>
          <w:lang w:eastAsia="nl-BE"/>
        </w:rPr>
      </w:pPr>
      <w:r w:rsidRPr="00227D0F">
        <w:rPr>
          <w:rFonts w:cs="Segoe UI"/>
          <w:lang w:eastAsia="nl-BE"/>
        </w:rPr>
        <w:t xml:space="preserve">When anyone visits the REMEDIS website without registering for any services listed below and without providing REMEDIS with personal data in any other form, the REMEDIS website server automatically collects information about visitors, including personal data. The data </w:t>
      </w:r>
      <w:proofErr w:type="gramStart"/>
      <w:r w:rsidRPr="00227D0F">
        <w:rPr>
          <w:rFonts w:cs="Segoe UI"/>
          <w:lang w:eastAsia="nl-BE"/>
        </w:rPr>
        <w:t>are:</w:t>
      </w:r>
      <w:proofErr w:type="gramEnd"/>
      <w:r w:rsidRPr="00227D0F">
        <w:rPr>
          <w:rFonts w:cs="Segoe UI"/>
          <w:lang w:eastAsia="nl-BE"/>
        </w:rPr>
        <w:t xml:space="preserve"> IP address, referrer URL, your device type, name and IDs, date and time, content of your request, and your browser version.</w:t>
      </w:r>
    </w:p>
    <w:p w14:paraId="62298E85" w14:textId="77777777" w:rsidR="0052147E" w:rsidRPr="00227D0F" w:rsidRDefault="0052147E" w:rsidP="0052147E">
      <w:pPr>
        <w:rPr>
          <w:rFonts w:cs="Segoe UI"/>
          <w:lang w:eastAsia="nl-BE"/>
        </w:rPr>
      </w:pPr>
      <w:r w:rsidRPr="00227D0F">
        <w:rPr>
          <w:rFonts w:cs="Segoe UI"/>
          <w:lang w:eastAsia="nl-BE"/>
        </w:rPr>
        <w:t>REMEDIS uses such information to provide a functional website (legal basis: </w:t>
      </w:r>
      <w:hyperlink r:id="rId19" w:tgtFrame="_blank" w:history="1">
        <w:r w:rsidRPr="00227D0F">
          <w:rPr>
            <w:rStyle w:val="Hyperlink"/>
            <w:rFonts w:cs="Segoe UI"/>
            <w:lang w:eastAsia="nl-BE"/>
          </w:rPr>
          <w:t>Art. 6 (1) b GDPR</w:t>
        </w:r>
      </w:hyperlink>
      <w:r w:rsidRPr="00227D0F">
        <w:rPr>
          <w:rFonts w:cs="Segoe UI"/>
          <w:lang w:eastAsia="nl-BE"/>
        </w:rPr>
        <w:t>), for instance, by adapting the pages to the requirements of each device. Furthermore, we safeguard the website’s stability and security (legal basis: </w:t>
      </w:r>
      <w:hyperlink r:id="rId20" w:tgtFrame="_blank" w:history="1">
        <w:r w:rsidRPr="00227D0F">
          <w:rPr>
            <w:rStyle w:val="Hyperlink"/>
            <w:rFonts w:cs="Segoe UI"/>
            <w:lang w:eastAsia="nl-BE"/>
          </w:rPr>
          <w:t>Art. 6 (1) f GDPR</w:t>
        </w:r>
      </w:hyperlink>
      <w:r w:rsidRPr="00227D0F">
        <w:rPr>
          <w:rFonts w:cs="Segoe UI"/>
          <w:lang w:eastAsia="nl-BE"/>
        </w:rPr>
        <w:t xml:space="preserve">). We have reasonable state-of-the-art security measures in place to protect against the loss, </w:t>
      </w:r>
      <w:proofErr w:type="gramStart"/>
      <w:r w:rsidRPr="00227D0F">
        <w:rPr>
          <w:rFonts w:cs="Segoe UI"/>
          <w:lang w:eastAsia="nl-BE"/>
        </w:rPr>
        <w:t>misuse</w:t>
      </w:r>
      <w:proofErr w:type="gramEnd"/>
      <w:r w:rsidRPr="00227D0F">
        <w:rPr>
          <w:rFonts w:cs="Segoe UI"/>
          <w:lang w:eastAsia="nl-BE"/>
        </w:rPr>
        <w:t xml:space="preserve"> and alteration of personal data under our control, e.g., SSL/TLS-encryption. While we cannot ensure or guarantee that loss, </w:t>
      </w:r>
      <w:proofErr w:type="gramStart"/>
      <w:r w:rsidRPr="00227D0F">
        <w:rPr>
          <w:rFonts w:cs="Segoe UI"/>
          <w:lang w:eastAsia="nl-BE"/>
        </w:rPr>
        <w:t>misuse</w:t>
      </w:r>
      <w:proofErr w:type="gramEnd"/>
      <w:r w:rsidRPr="00227D0F">
        <w:rPr>
          <w:rFonts w:cs="Segoe UI"/>
          <w:lang w:eastAsia="nl-BE"/>
        </w:rPr>
        <w:t xml:space="preserve"> or alteration of information will never occur, we use all reasonable efforts to prevent it. </w:t>
      </w:r>
    </w:p>
    <w:p w14:paraId="6F4D61C9" w14:textId="77777777" w:rsidR="0052147E" w:rsidRPr="00227D0F" w:rsidRDefault="0052147E" w:rsidP="0052147E">
      <w:pPr>
        <w:rPr>
          <w:rFonts w:cs="Segoe UI"/>
          <w:lang w:eastAsia="nl-BE"/>
        </w:rPr>
      </w:pPr>
      <w:r w:rsidRPr="00227D0F">
        <w:rPr>
          <w:rFonts w:cs="Segoe UI"/>
          <w:lang w:eastAsia="nl-BE"/>
        </w:rPr>
        <w:t>Visitors have the option to subscribe to our newsletter through which we keep them posted on any activities taking place on our website, on events, news and much more. Their data (</w:t>
      </w:r>
      <w:proofErr w:type="gramStart"/>
      <w:r w:rsidRPr="00227D0F">
        <w:rPr>
          <w:rFonts w:cs="Segoe UI"/>
          <w:lang w:eastAsia="nl-BE"/>
        </w:rPr>
        <w:t>i.e.</w:t>
      </w:r>
      <w:proofErr w:type="gramEnd"/>
      <w:r w:rsidRPr="00227D0F">
        <w:rPr>
          <w:rFonts w:cs="Segoe UI"/>
          <w:lang w:eastAsia="nl-BE"/>
        </w:rPr>
        <w:t xml:space="preserve"> their name and e-mail address) are retained as long as they subscribe to our newsletter. They can unsubscribe from receiving this newsletter at any time via an unsubscribe button at the bottom of all newsletters sent out. If they choose to unsubscribe, all data are irreversibly erased from our servers (legal basis: </w:t>
      </w:r>
      <w:hyperlink r:id="rId21" w:tgtFrame="_blank" w:history="1">
        <w:r w:rsidRPr="00227D0F">
          <w:rPr>
            <w:rStyle w:val="Hyperlink"/>
            <w:rFonts w:cs="Segoe UI"/>
            <w:lang w:eastAsia="nl-BE"/>
          </w:rPr>
          <w:t>Art. 6 (1) a GDPR</w:t>
        </w:r>
      </w:hyperlink>
      <w:r w:rsidRPr="00227D0F">
        <w:rPr>
          <w:rFonts w:cs="Segoe UI"/>
          <w:lang w:eastAsia="nl-BE"/>
        </w:rPr>
        <w:t>).</w:t>
      </w:r>
    </w:p>
    <w:p w14:paraId="06AD5FE6" w14:textId="77777777" w:rsidR="0052147E" w:rsidRPr="00227D0F" w:rsidRDefault="0052147E" w:rsidP="0052147E">
      <w:pPr>
        <w:rPr>
          <w:rFonts w:cs="Segoe UI"/>
          <w:lang w:eastAsia="nl-BE"/>
        </w:rPr>
      </w:pPr>
    </w:p>
    <w:p w14:paraId="4444A20B" w14:textId="1F3445A8" w:rsidR="0052147E" w:rsidRPr="003B4509" w:rsidRDefault="0052147E" w:rsidP="003B4509">
      <w:pPr>
        <w:pStyle w:val="Kop2"/>
      </w:pPr>
      <w:bookmarkStart w:id="15" w:name="_Toc78181766"/>
      <w:bookmarkStart w:id="16" w:name="_Toc129866661"/>
      <w:r w:rsidRPr="003B4509">
        <w:t>Ethics per work package</w:t>
      </w:r>
      <w:bookmarkEnd w:id="15"/>
      <w:bookmarkEnd w:id="16"/>
    </w:p>
    <w:p w14:paraId="7544151B" w14:textId="72DA07FC" w:rsidR="00107B53" w:rsidRDefault="00107B53" w:rsidP="00107B53">
      <w:pPr>
        <w:pStyle w:val="Kop3"/>
        <w:rPr>
          <w:lang w:eastAsia="nl-BE"/>
        </w:rPr>
      </w:pPr>
      <w:bookmarkStart w:id="17" w:name="_Toc129866662"/>
      <w:r>
        <w:rPr>
          <w:lang w:eastAsia="nl-BE"/>
        </w:rPr>
        <w:t>WP3: Evaluation and validation of intervention programmes</w:t>
      </w:r>
      <w:bookmarkEnd w:id="17"/>
    </w:p>
    <w:p w14:paraId="077AD85F" w14:textId="39042F5F" w:rsidR="0052147E" w:rsidRPr="00227D0F" w:rsidRDefault="00107B53" w:rsidP="0052147E">
      <w:pPr>
        <w:rPr>
          <w:rFonts w:cs="Segoe UI"/>
          <w:lang w:eastAsia="nl-BE"/>
        </w:rPr>
      </w:pPr>
      <w:r>
        <w:rPr>
          <w:rFonts w:cs="Segoe UI"/>
          <w:lang w:eastAsia="nl-BE"/>
        </w:rPr>
        <w:t xml:space="preserve">Twelve enhanced interventions in the field of media literacy and digital skills will be tested for their effectiveness in the six REMEDIS countries (2 interventions per country). </w:t>
      </w:r>
      <w:r w:rsidR="0052147E" w:rsidRPr="00227D0F">
        <w:rPr>
          <w:rFonts w:cs="Segoe UI"/>
          <w:lang w:eastAsia="nl-BE"/>
        </w:rPr>
        <w:t>For participa</w:t>
      </w:r>
      <w:r w:rsidR="00284F46">
        <w:rPr>
          <w:rFonts w:cs="Segoe UI"/>
          <w:lang w:eastAsia="nl-BE"/>
        </w:rPr>
        <w:t xml:space="preserve">nts </w:t>
      </w:r>
      <w:r w:rsidR="00284F46" w:rsidRPr="00227D0F">
        <w:rPr>
          <w:rFonts w:eastAsia="Times New Roman" w:cs="Segoe UI"/>
          <w:lang w:val="en-US"/>
        </w:rPr>
        <w:t xml:space="preserve">(and the parents or legally </w:t>
      </w:r>
      <w:proofErr w:type="spellStart"/>
      <w:r w:rsidR="00284F46" w:rsidRPr="00227D0F">
        <w:rPr>
          <w:rFonts w:eastAsia="Times New Roman" w:cs="Segoe UI"/>
          <w:lang w:val="en-US"/>
        </w:rPr>
        <w:t>authorised</w:t>
      </w:r>
      <w:proofErr w:type="spellEnd"/>
      <w:r w:rsidR="00284F46" w:rsidRPr="00227D0F">
        <w:rPr>
          <w:rFonts w:eastAsia="Times New Roman" w:cs="Segoe UI"/>
          <w:lang w:val="en-US"/>
        </w:rPr>
        <w:t xml:space="preserve"> representatives, if relevant)</w:t>
      </w:r>
      <w:r w:rsidR="00284F46">
        <w:rPr>
          <w:rFonts w:cs="Segoe UI"/>
          <w:lang w:eastAsia="nl-BE"/>
        </w:rPr>
        <w:t xml:space="preserve"> who will participate in one of the 12 experimental studies</w:t>
      </w:r>
      <w:r w:rsidR="0052147E" w:rsidRPr="00227D0F">
        <w:rPr>
          <w:rFonts w:cs="Segoe UI"/>
          <w:lang w:eastAsia="nl-BE"/>
        </w:rPr>
        <w:t xml:space="preserve"> an informed consent form and information sheet will be provided.</w:t>
      </w:r>
      <w:r w:rsidR="00B85660">
        <w:rPr>
          <w:rFonts w:cs="Segoe UI"/>
          <w:lang w:eastAsia="nl-BE"/>
        </w:rPr>
        <w:t xml:space="preserve"> </w:t>
      </w:r>
      <w:r w:rsidR="0052147E" w:rsidRPr="00227D0F">
        <w:rPr>
          <w:rFonts w:cs="Segoe UI"/>
          <w:lang w:eastAsia="nl-BE"/>
        </w:rPr>
        <w:t>The participants will be informed that they can withdraw from the project at any given time without this having any consequences. The participants will also be informed that their names will not be published and that the confidentiality of the data at each stage of the research will be guaranteed. The information provided will be clear and the participants will be allowed time to think between receiving the information and potentially providing their consent. The participants may revoke such consent at any time during the study, without any negative consequences, as such ending their participation in the study.</w:t>
      </w:r>
    </w:p>
    <w:p w14:paraId="0ECB57CF" w14:textId="77777777" w:rsidR="0052147E" w:rsidRPr="00227D0F" w:rsidRDefault="0052147E" w:rsidP="0052147E">
      <w:pPr>
        <w:rPr>
          <w:rFonts w:cs="Segoe UI"/>
          <w:lang w:val="en-US" w:eastAsia="nl-BE"/>
        </w:rPr>
      </w:pPr>
    </w:p>
    <w:p w14:paraId="63E75EAB" w14:textId="77777777" w:rsidR="00227D0F" w:rsidRDefault="00227D0F" w:rsidP="00227D0F">
      <w:pPr>
        <w:pStyle w:val="Kop1"/>
        <w:rPr>
          <w:lang w:val="en-US" w:eastAsia="nl-BE"/>
        </w:rPr>
      </w:pPr>
      <w:bookmarkStart w:id="18" w:name="_Toc129866663"/>
      <w:r>
        <w:rPr>
          <w:lang w:val="en-US" w:eastAsia="nl-BE"/>
        </w:rPr>
        <w:t>Other issues</w:t>
      </w:r>
      <w:bookmarkEnd w:id="18"/>
    </w:p>
    <w:p w14:paraId="3E27B5B1" w14:textId="77777777" w:rsidR="00227D0F" w:rsidRPr="00227D0F" w:rsidRDefault="00227D0F" w:rsidP="00227D0F">
      <w:pPr>
        <w:rPr>
          <w:lang w:val="en-US" w:eastAsia="nl-BE"/>
        </w:rPr>
      </w:pPr>
      <w:r w:rsidRPr="00227D0F">
        <w:rPr>
          <w:lang w:val="en-US" w:eastAsia="nl-BE"/>
        </w:rPr>
        <w:t xml:space="preserve">All project partners comply with the European regulation for data protection. Actions dealing with data collection and data storage will be carried on accordingly. KU Leuven helps its researchers </w:t>
      </w:r>
      <w:proofErr w:type="gramStart"/>
      <w:r w:rsidRPr="00227D0F">
        <w:rPr>
          <w:lang w:val="en-US" w:eastAsia="nl-BE"/>
        </w:rPr>
        <w:t>in the area of</w:t>
      </w:r>
      <w:proofErr w:type="gramEnd"/>
      <w:r w:rsidRPr="00227D0F">
        <w:rPr>
          <w:lang w:val="en-US" w:eastAsia="nl-BE"/>
        </w:rPr>
        <w:t xml:space="preserve"> RDM (Research Data Management) by the provision of a </w:t>
      </w:r>
      <w:proofErr w:type="spellStart"/>
      <w:r w:rsidRPr="00227D0F">
        <w:rPr>
          <w:lang w:val="en-US" w:eastAsia="nl-BE"/>
        </w:rPr>
        <w:t>customised</w:t>
      </w:r>
      <w:proofErr w:type="spellEnd"/>
      <w:r w:rsidRPr="00227D0F">
        <w:rPr>
          <w:lang w:val="en-US" w:eastAsia="nl-BE"/>
        </w:rPr>
        <w:t xml:space="preserve"> and free data management plan (including guidance to KU Leuven legal requirements and </w:t>
      </w:r>
      <w:r w:rsidRPr="00227D0F">
        <w:rPr>
          <w:lang w:val="en-US" w:eastAsia="nl-BE"/>
        </w:rPr>
        <w:lastRenderedPageBreak/>
        <w:t xml:space="preserve">policy guidelines) based on the templates provided by the Digital Curation Centre (UK), and a dedicated RDM support desk advising on data storage, metadata and preparing for data sharing. </w:t>
      </w:r>
    </w:p>
    <w:p w14:paraId="14720C8A" w14:textId="0C0D9C25" w:rsidR="00227D0F" w:rsidRPr="00227D0F" w:rsidRDefault="00227D0F" w:rsidP="00227D0F">
      <w:pPr>
        <w:rPr>
          <w:lang w:val="en-US" w:eastAsia="nl-BE"/>
        </w:rPr>
      </w:pPr>
      <w:r w:rsidRPr="00227D0F">
        <w:rPr>
          <w:lang w:val="en-US" w:eastAsia="nl-BE"/>
        </w:rPr>
        <w:t xml:space="preserve">Most pictures and photos used for communication, </w:t>
      </w:r>
      <w:proofErr w:type="gramStart"/>
      <w:r w:rsidRPr="00227D0F">
        <w:rPr>
          <w:lang w:val="en-US" w:eastAsia="nl-BE"/>
        </w:rPr>
        <w:t>dissemination</w:t>
      </w:r>
      <w:proofErr w:type="gramEnd"/>
      <w:r w:rsidRPr="00227D0F">
        <w:rPr>
          <w:lang w:val="en-US" w:eastAsia="nl-BE"/>
        </w:rPr>
        <w:t xml:space="preserve"> and exploitation purposes </w:t>
      </w:r>
      <w:r w:rsidR="002B5A81">
        <w:rPr>
          <w:lang w:val="en-US" w:eastAsia="nl-BE"/>
        </w:rPr>
        <w:t>on our website or in our blog texts ar</w:t>
      </w:r>
      <w:r w:rsidRPr="00227D0F">
        <w:rPr>
          <w:lang w:val="en-US" w:eastAsia="nl-BE"/>
        </w:rPr>
        <w:t>e selected from free stock websites such as pexels.com. Pictures or photos of (research) participants may only be used after explicit consent by the respective participants.</w:t>
      </w:r>
    </w:p>
    <w:p w14:paraId="7657B750" w14:textId="77777777" w:rsidR="0052147E" w:rsidRPr="0052147E" w:rsidRDefault="0052147E" w:rsidP="0052147E">
      <w:pPr>
        <w:rPr>
          <w:lang w:val="en-US" w:eastAsia="nl-BE"/>
        </w:rPr>
      </w:pPr>
    </w:p>
    <w:p w14:paraId="1E206636" w14:textId="77777777" w:rsidR="0052147E" w:rsidRPr="0052147E" w:rsidRDefault="0052147E" w:rsidP="0052147E"/>
    <w:p w14:paraId="5BFDD9B1" w14:textId="77777777" w:rsidR="00487B30" w:rsidRPr="00487B30" w:rsidRDefault="00487B30" w:rsidP="00487B30"/>
    <w:sectPr w:rsidR="00487B30" w:rsidRPr="00487B30" w:rsidSect="00691D90">
      <w:footerReference w:type="default" r:id="rId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49498" w14:textId="77777777" w:rsidR="006437C4" w:rsidRDefault="006437C4" w:rsidP="00952495">
      <w:pPr>
        <w:spacing w:after="0" w:line="240" w:lineRule="auto"/>
      </w:pPr>
      <w:r>
        <w:separator/>
      </w:r>
    </w:p>
  </w:endnote>
  <w:endnote w:type="continuationSeparator" w:id="0">
    <w:p w14:paraId="50604E13" w14:textId="77777777" w:rsidR="006437C4" w:rsidRDefault="006437C4" w:rsidP="0095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2A88" w14:textId="52D15FD0" w:rsidR="00952495" w:rsidRPr="00B43795" w:rsidRDefault="00E44581">
    <w:pPr>
      <w:pStyle w:val="Voettekst"/>
      <w:rPr>
        <w:color w:val="0B0CAC"/>
        <w:lang w:val="nl-BE"/>
      </w:rPr>
    </w:pPr>
    <w:r>
      <w:rPr>
        <w:noProof/>
        <w:lang w:val="nl-BE" w:eastAsia="nl-BE"/>
      </w:rPr>
      <w:drawing>
        <wp:anchor distT="0" distB="0" distL="114300" distR="114300" simplePos="0" relativeHeight="251660288" behindDoc="1" locked="0" layoutInCell="1" allowOverlap="1" wp14:anchorId="2C9D44BF" wp14:editId="7A22F6B6">
          <wp:simplePos x="0" y="0"/>
          <wp:positionH relativeFrom="margin">
            <wp:align>left</wp:align>
          </wp:positionH>
          <wp:positionV relativeFrom="paragraph">
            <wp:posOffset>0</wp:posOffset>
          </wp:positionV>
          <wp:extent cx="1646664" cy="55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larg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6664" cy="558800"/>
                  </a:xfrm>
                  <a:prstGeom prst="rect">
                    <a:avLst/>
                  </a:prstGeom>
                </pic:spPr>
              </pic:pic>
            </a:graphicData>
          </a:graphic>
          <wp14:sizeRelH relativeFrom="page">
            <wp14:pctWidth>0</wp14:pctWidth>
          </wp14:sizeRelH>
          <wp14:sizeRelV relativeFrom="page">
            <wp14:pctHeight>0</wp14:pctHeight>
          </wp14:sizeRelV>
        </wp:anchor>
      </w:drawing>
    </w:r>
    <w:r w:rsidR="00F22639" w:rsidRPr="00952495">
      <w:rPr>
        <w:noProof/>
        <w:lang w:val="nl-BE" w:eastAsia="nl-BE"/>
      </w:rPr>
      <w:drawing>
        <wp:anchor distT="0" distB="0" distL="114300" distR="114300" simplePos="0" relativeHeight="251659264" behindDoc="1" locked="0" layoutInCell="1" allowOverlap="1" wp14:anchorId="0054D58A" wp14:editId="6447D7C4">
          <wp:simplePos x="0" y="0"/>
          <wp:positionH relativeFrom="column">
            <wp:posOffset>4301490</wp:posOffset>
          </wp:positionH>
          <wp:positionV relativeFrom="paragraph">
            <wp:posOffset>-100330</wp:posOffset>
          </wp:positionV>
          <wp:extent cx="2259935" cy="827413"/>
          <wp:effectExtent l="0" t="0" r="7620" b="0"/>
          <wp:wrapNone/>
          <wp:docPr id="15" name="Picture 14" descr="A picture containing text&#10;&#10;Description automatically generated">
            <a:extLst xmlns:a="http://schemas.openxmlformats.org/drawingml/2006/main">
              <a:ext uri="{FF2B5EF4-FFF2-40B4-BE49-F238E27FC236}">
                <a16:creationId xmlns:a16="http://schemas.microsoft.com/office/drawing/2014/main" id="{D8013DB6-E1BA-4B9F-8B67-D854DE19C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picture containing text&#10;&#10;Description automatically generated">
                    <a:extLst>
                      <a:ext uri="{FF2B5EF4-FFF2-40B4-BE49-F238E27FC236}">
                        <a16:creationId xmlns:a16="http://schemas.microsoft.com/office/drawing/2014/main" id="{D8013DB6-E1BA-4B9F-8B67-D854DE19CB75}"/>
                      </a:ext>
                    </a:extLst>
                  </pic:cNvPr>
                  <pic:cNvPicPr>
                    <a:picLocks noChangeAspect="1"/>
                  </pic:cNvPicPr>
                </pic:nvPicPr>
                <pic:blipFill rotWithShape="1">
                  <a:blip r:embed="rId2" cstate="print">
                    <a:extLst>
                      <a:ext uri="{28A0092B-C50C-407E-A947-70E740481C1C}">
                        <a14:useLocalDpi xmlns:a14="http://schemas.microsoft.com/office/drawing/2010/main" val="0"/>
                      </a:ext>
                    </a:extLst>
                  </a:blip>
                  <a:srcRect l="24965" t="21535" r="38837" b="54904"/>
                  <a:stretch/>
                </pic:blipFill>
                <pic:spPr bwMode="auto">
                  <a:xfrm>
                    <a:off x="0" y="0"/>
                    <a:ext cx="2259935" cy="8274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BEB" w:rsidRPr="00952495">
      <w:rPr>
        <w:noProof/>
        <w:lang w:val="nl-BE" w:eastAsia="nl-BE"/>
      </w:rPr>
      <w:drawing>
        <wp:anchor distT="0" distB="0" distL="114300" distR="114300" simplePos="0" relativeHeight="251658240" behindDoc="1" locked="0" layoutInCell="1" allowOverlap="1" wp14:anchorId="3A308E3C" wp14:editId="6AA842F6">
          <wp:simplePos x="0" y="0"/>
          <wp:positionH relativeFrom="page">
            <wp:align>right</wp:align>
          </wp:positionH>
          <wp:positionV relativeFrom="paragraph">
            <wp:posOffset>-292735</wp:posOffset>
          </wp:positionV>
          <wp:extent cx="1095709" cy="1098127"/>
          <wp:effectExtent l="0" t="0" r="9525" b="6985"/>
          <wp:wrapNone/>
          <wp:docPr id="5" name="Picture 4" descr="A picture containing shape&#10;&#10;Description automatically generated">
            <a:extLst xmlns:a="http://schemas.openxmlformats.org/drawingml/2006/main">
              <a:ext uri="{FF2B5EF4-FFF2-40B4-BE49-F238E27FC236}">
                <a16:creationId xmlns:a16="http://schemas.microsoft.com/office/drawing/2014/main" id="{386ADBAF-733E-4E74-BDC1-271A79BBFE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shape&#10;&#10;Description automatically generated">
                    <a:extLst>
                      <a:ext uri="{FF2B5EF4-FFF2-40B4-BE49-F238E27FC236}">
                        <a16:creationId xmlns:a16="http://schemas.microsoft.com/office/drawing/2014/main" id="{386ADBAF-733E-4E74-BDC1-271A79BBFE37}"/>
                      </a:ext>
                    </a:extLst>
                  </pic:cNvPr>
                  <pic:cNvPicPr>
                    <a:picLocks noChangeAspect="1"/>
                  </pic:cNvPicPr>
                </pic:nvPicPr>
                <pic:blipFill rotWithShape="1">
                  <a:blip r:embed="rId3" cstate="print">
                    <a:extLst>
                      <a:ext uri="{28A0092B-C50C-407E-A947-70E740481C1C}">
                        <a14:useLocalDpi xmlns:a14="http://schemas.microsoft.com/office/drawing/2010/main" val="0"/>
                      </a:ext>
                    </a:extLst>
                  </a:blip>
                  <a:srcRect l="1" r="62249" b="32741"/>
                  <a:stretch/>
                </pic:blipFill>
                <pic:spPr>
                  <a:xfrm flipH="1" flipV="1">
                    <a:off x="0" y="0"/>
                    <a:ext cx="1095709" cy="1098127"/>
                  </a:xfrm>
                  <a:prstGeom prst="rect">
                    <a:avLst/>
                  </a:prstGeom>
                </pic:spPr>
              </pic:pic>
            </a:graphicData>
          </a:graphic>
          <wp14:sizeRelH relativeFrom="page">
            <wp14:pctWidth>0</wp14:pctWidth>
          </wp14:sizeRelH>
          <wp14:sizeRelV relativeFrom="page">
            <wp14:pctHeight>0</wp14:pctHeight>
          </wp14:sizeRelV>
        </wp:anchor>
      </w:drawing>
    </w:r>
    <w:r w:rsidR="00B43795">
      <w:rPr>
        <w:lang w:val="nl-BE"/>
      </w:rPr>
      <w:tab/>
    </w:r>
    <w:r w:rsidR="00B43795" w:rsidRPr="00B43795">
      <w:rPr>
        <w:color w:val="0B0CAC"/>
        <w:lang w:val="nl-BE"/>
      </w:rPr>
      <w:fldChar w:fldCharType="begin"/>
    </w:r>
    <w:r w:rsidR="00B43795" w:rsidRPr="00B43795">
      <w:rPr>
        <w:color w:val="0B0CAC"/>
        <w:lang w:val="nl-BE"/>
      </w:rPr>
      <w:instrText xml:space="preserve"> PAGE   \* MERGEFORMAT </w:instrText>
    </w:r>
    <w:r w:rsidR="00B43795" w:rsidRPr="00B43795">
      <w:rPr>
        <w:color w:val="0B0CAC"/>
        <w:lang w:val="nl-BE"/>
      </w:rPr>
      <w:fldChar w:fldCharType="separate"/>
    </w:r>
    <w:r w:rsidR="00AC23F4">
      <w:rPr>
        <w:noProof/>
        <w:color w:val="0B0CAC"/>
        <w:lang w:val="nl-BE"/>
      </w:rPr>
      <w:t>6</w:t>
    </w:r>
    <w:r w:rsidR="00B43795" w:rsidRPr="00B43795">
      <w:rPr>
        <w:noProof/>
        <w:color w:val="0B0CAC"/>
        <w:lang w:val="nl-BE"/>
      </w:rPr>
      <w:fldChar w:fldCharType="end"/>
    </w:r>
  </w:p>
  <w:p w14:paraId="1D9A5CE1" w14:textId="77777777" w:rsidR="00952495" w:rsidRDefault="009524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E8DD" w14:textId="77777777" w:rsidR="006437C4" w:rsidRDefault="006437C4" w:rsidP="00952495">
      <w:pPr>
        <w:spacing w:after="0" w:line="240" w:lineRule="auto"/>
      </w:pPr>
      <w:r>
        <w:separator/>
      </w:r>
    </w:p>
  </w:footnote>
  <w:footnote w:type="continuationSeparator" w:id="0">
    <w:p w14:paraId="74C4A235" w14:textId="77777777" w:rsidR="006437C4" w:rsidRDefault="006437C4" w:rsidP="00952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E09"/>
    <w:multiLevelType w:val="multilevel"/>
    <w:tmpl w:val="F32C6BA4"/>
    <w:numStyleLink w:val="Style3"/>
  </w:abstractNum>
  <w:abstractNum w:abstractNumId="1" w15:restartNumberingAfterBreak="0">
    <w:nsid w:val="184F5572"/>
    <w:multiLevelType w:val="multilevel"/>
    <w:tmpl w:val="DBD4FC26"/>
    <w:styleLink w:val="Style1"/>
    <w:lvl w:ilvl="0">
      <w:start w:val="1"/>
      <w:numFmt w:val="decimal"/>
      <w:lvlText w:val="%1"/>
      <w:lvlJc w:val="left"/>
      <w:pPr>
        <w:ind w:left="284" w:hanging="284"/>
      </w:pPr>
      <w:rPr>
        <w:rFonts w:hint="default"/>
        <w:color w:val="FF8754"/>
      </w:rPr>
    </w:lvl>
    <w:lvl w:ilvl="1">
      <w:start w:val="1"/>
      <w:numFmt w:val="lowerLetter"/>
      <w:lvlText w:val="%2."/>
      <w:lvlJc w:val="left"/>
      <w:pPr>
        <w:ind w:left="1361" w:hanging="284"/>
      </w:pPr>
      <w:rPr>
        <w:rFonts w:hint="default"/>
      </w:rPr>
    </w:lvl>
    <w:lvl w:ilvl="2">
      <w:start w:val="1"/>
      <w:numFmt w:val="lowerRoman"/>
      <w:lvlText w:val="%3."/>
      <w:lvlJc w:val="right"/>
      <w:pPr>
        <w:ind w:left="2438" w:hanging="284"/>
      </w:pPr>
      <w:rPr>
        <w:rFonts w:hint="default"/>
      </w:rPr>
    </w:lvl>
    <w:lvl w:ilvl="3">
      <w:start w:val="1"/>
      <w:numFmt w:val="decimal"/>
      <w:lvlText w:val="%4."/>
      <w:lvlJc w:val="left"/>
      <w:pPr>
        <w:ind w:left="3515" w:hanging="284"/>
      </w:pPr>
      <w:rPr>
        <w:rFonts w:hint="default"/>
      </w:rPr>
    </w:lvl>
    <w:lvl w:ilvl="4">
      <w:start w:val="1"/>
      <w:numFmt w:val="lowerLetter"/>
      <w:lvlText w:val="%5."/>
      <w:lvlJc w:val="left"/>
      <w:pPr>
        <w:ind w:left="4592" w:hanging="284"/>
      </w:pPr>
      <w:rPr>
        <w:rFonts w:hint="default"/>
      </w:rPr>
    </w:lvl>
    <w:lvl w:ilvl="5">
      <w:start w:val="1"/>
      <w:numFmt w:val="lowerRoman"/>
      <w:lvlText w:val="%6."/>
      <w:lvlJc w:val="right"/>
      <w:pPr>
        <w:ind w:left="5669" w:hanging="284"/>
      </w:pPr>
      <w:rPr>
        <w:rFonts w:hint="default"/>
      </w:rPr>
    </w:lvl>
    <w:lvl w:ilvl="6">
      <w:start w:val="1"/>
      <w:numFmt w:val="decimal"/>
      <w:lvlText w:val="%7."/>
      <w:lvlJc w:val="left"/>
      <w:pPr>
        <w:ind w:left="6746" w:hanging="284"/>
      </w:pPr>
      <w:rPr>
        <w:rFonts w:hint="default"/>
      </w:rPr>
    </w:lvl>
    <w:lvl w:ilvl="7">
      <w:start w:val="1"/>
      <w:numFmt w:val="lowerLetter"/>
      <w:lvlText w:val="%8."/>
      <w:lvlJc w:val="left"/>
      <w:pPr>
        <w:ind w:left="7823" w:hanging="284"/>
      </w:pPr>
      <w:rPr>
        <w:rFonts w:hint="default"/>
      </w:rPr>
    </w:lvl>
    <w:lvl w:ilvl="8">
      <w:start w:val="1"/>
      <w:numFmt w:val="lowerRoman"/>
      <w:lvlText w:val="%9."/>
      <w:lvlJc w:val="right"/>
      <w:pPr>
        <w:ind w:left="8900" w:hanging="284"/>
      </w:pPr>
      <w:rPr>
        <w:rFonts w:hint="default"/>
      </w:rPr>
    </w:lvl>
  </w:abstractNum>
  <w:abstractNum w:abstractNumId="2" w15:restartNumberingAfterBreak="0">
    <w:nsid w:val="19382E7A"/>
    <w:multiLevelType w:val="hybridMultilevel"/>
    <w:tmpl w:val="775EC854"/>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DE91B0D"/>
    <w:multiLevelType w:val="hybridMultilevel"/>
    <w:tmpl w:val="B56C69D4"/>
    <w:lvl w:ilvl="0" w:tplc="1BC0135A">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E1242DC"/>
    <w:multiLevelType w:val="hybridMultilevel"/>
    <w:tmpl w:val="97A8AAE0"/>
    <w:lvl w:ilvl="0" w:tplc="08130015">
      <w:start w:val="8"/>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2157411C"/>
    <w:multiLevelType w:val="multilevel"/>
    <w:tmpl w:val="77B84BC0"/>
    <w:styleLink w:val="Style2"/>
    <w:lvl w:ilvl="0">
      <w:start w:val="1"/>
      <w:numFmt w:val="decimal"/>
      <w:lvlText w:val="%1"/>
      <w:lvlJc w:val="left"/>
      <w:pPr>
        <w:ind w:left="284" w:hanging="284"/>
      </w:pPr>
      <w:rPr>
        <w:rFonts w:hint="default"/>
        <w:color w:val="FF8754"/>
      </w:rPr>
    </w:lvl>
    <w:lvl w:ilvl="1">
      <w:start w:val="1"/>
      <w:numFmt w:val="decimal"/>
      <w:lvlText w:val="%1.%2"/>
      <w:lvlJc w:val="left"/>
      <w:pPr>
        <w:ind w:left="357" w:hanging="357"/>
      </w:pPr>
      <w:rPr>
        <w:rFonts w:hint="default"/>
        <w:color w:val="0B0CAC"/>
      </w:rPr>
    </w:lvl>
    <w:lvl w:ilvl="2">
      <w:start w:val="1"/>
      <w:numFmt w:val="lowerRoman"/>
      <w:lvlText w:val="%3."/>
      <w:lvlJc w:val="right"/>
      <w:pPr>
        <w:ind w:left="2438" w:hanging="284"/>
      </w:pPr>
      <w:rPr>
        <w:rFonts w:hint="default"/>
      </w:rPr>
    </w:lvl>
    <w:lvl w:ilvl="3">
      <w:start w:val="1"/>
      <w:numFmt w:val="decimal"/>
      <w:lvlText w:val="%4."/>
      <w:lvlJc w:val="left"/>
      <w:pPr>
        <w:ind w:left="3515" w:hanging="284"/>
      </w:pPr>
      <w:rPr>
        <w:rFonts w:hint="default"/>
      </w:rPr>
    </w:lvl>
    <w:lvl w:ilvl="4">
      <w:start w:val="1"/>
      <w:numFmt w:val="lowerLetter"/>
      <w:lvlText w:val="%5."/>
      <w:lvlJc w:val="left"/>
      <w:pPr>
        <w:ind w:left="4592" w:hanging="284"/>
      </w:pPr>
      <w:rPr>
        <w:rFonts w:hint="default"/>
      </w:rPr>
    </w:lvl>
    <w:lvl w:ilvl="5">
      <w:start w:val="1"/>
      <w:numFmt w:val="lowerRoman"/>
      <w:lvlText w:val="%6."/>
      <w:lvlJc w:val="right"/>
      <w:pPr>
        <w:ind w:left="5669" w:hanging="284"/>
      </w:pPr>
      <w:rPr>
        <w:rFonts w:hint="default"/>
      </w:rPr>
    </w:lvl>
    <w:lvl w:ilvl="6">
      <w:start w:val="1"/>
      <w:numFmt w:val="decimal"/>
      <w:lvlText w:val="%7."/>
      <w:lvlJc w:val="left"/>
      <w:pPr>
        <w:ind w:left="6746" w:hanging="284"/>
      </w:pPr>
      <w:rPr>
        <w:rFonts w:hint="default"/>
      </w:rPr>
    </w:lvl>
    <w:lvl w:ilvl="7">
      <w:start w:val="1"/>
      <w:numFmt w:val="lowerLetter"/>
      <w:lvlText w:val="%8."/>
      <w:lvlJc w:val="left"/>
      <w:pPr>
        <w:ind w:left="7823" w:hanging="284"/>
      </w:pPr>
      <w:rPr>
        <w:rFonts w:hint="default"/>
      </w:rPr>
    </w:lvl>
    <w:lvl w:ilvl="8">
      <w:start w:val="1"/>
      <w:numFmt w:val="lowerRoman"/>
      <w:lvlText w:val="%9."/>
      <w:lvlJc w:val="right"/>
      <w:pPr>
        <w:ind w:left="8900" w:hanging="284"/>
      </w:pPr>
      <w:rPr>
        <w:rFonts w:hint="default"/>
      </w:rPr>
    </w:lvl>
  </w:abstractNum>
  <w:abstractNum w:abstractNumId="6" w15:restartNumberingAfterBreak="0">
    <w:nsid w:val="228A33C4"/>
    <w:multiLevelType w:val="hybridMultilevel"/>
    <w:tmpl w:val="7BF03928"/>
    <w:lvl w:ilvl="0" w:tplc="12EAE66C">
      <w:start w:val="1"/>
      <w:numFmt w:val="upperLetter"/>
      <w:pStyle w:val="Appendices"/>
      <w:lvlText w:val="%1."/>
      <w:lvlJc w:val="left"/>
      <w:pPr>
        <w:ind w:left="284" w:hanging="284"/>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AD453B7"/>
    <w:multiLevelType w:val="multilevel"/>
    <w:tmpl w:val="0360B134"/>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suff w:val="space"/>
      <w:lvlText w:val="%1.%2.%3"/>
      <w:lvlJc w:val="left"/>
      <w:pPr>
        <w:ind w:left="284" w:hanging="284"/>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 w15:restartNumberingAfterBreak="0">
    <w:nsid w:val="301C5F7F"/>
    <w:multiLevelType w:val="hybridMultilevel"/>
    <w:tmpl w:val="BDFAD6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F044889"/>
    <w:multiLevelType w:val="multilevel"/>
    <w:tmpl w:val="AE5439D6"/>
    <w:lvl w:ilvl="0">
      <w:start w:val="1"/>
      <w:numFmt w:val="decimal"/>
      <w:lvlText w:val="%1"/>
      <w:lvlJc w:val="left"/>
      <w:pPr>
        <w:ind w:left="284" w:hanging="284"/>
      </w:pPr>
      <w:rPr>
        <w:rFonts w:hint="default"/>
        <w:color w:val="FF8754"/>
      </w:rPr>
    </w:lvl>
    <w:lvl w:ilvl="1">
      <w:start w:val="1"/>
      <w:numFmt w:val="decimal"/>
      <w:lvlText w:val="%1.%2"/>
      <w:lvlJc w:val="left"/>
      <w:pPr>
        <w:ind w:left="357" w:hanging="357"/>
      </w:pPr>
      <w:rPr>
        <w:rFonts w:hint="default"/>
      </w:rPr>
    </w:lvl>
    <w:lvl w:ilvl="2">
      <w:start w:val="1"/>
      <w:numFmt w:val="lowerRoman"/>
      <w:lvlText w:val="%3."/>
      <w:lvlJc w:val="right"/>
      <w:pPr>
        <w:ind w:left="2438" w:hanging="284"/>
      </w:pPr>
      <w:rPr>
        <w:rFonts w:hint="default"/>
      </w:rPr>
    </w:lvl>
    <w:lvl w:ilvl="3">
      <w:start w:val="1"/>
      <w:numFmt w:val="decimal"/>
      <w:lvlText w:val="%4."/>
      <w:lvlJc w:val="left"/>
      <w:pPr>
        <w:ind w:left="3515" w:hanging="284"/>
      </w:pPr>
      <w:rPr>
        <w:rFonts w:hint="default"/>
      </w:rPr>
    </w:lvl>
    <w:lvl w:ilvl="4">
      <w:start w:val="1"/>
      <w:numFmt w:val="lowerLetter"/>
      <w:lvlText w:val="%5."/>
      <w:lvlJc w:val="left"/>
      <w:pPr>
        <w:ind w:left="4592" w:hanging="284"/>
      </w:pPr>
      <w:rPr>
        <w:rFonts w:hint="default"/>
      </w:rPr>
    </w:lvl>
    <w:lvl w:ilvl="5">
      <w:start w:val="1"/>
      <w:numFmt w:val="lowerRoman"/>
      <w:lvlText w:val="%6."/>
      <w:lvlJc w:val="right"/>
      <w:pPr>
        <w:ind w:left="5669" w:hanging="284"/>
      </w:pPr>
      <w:rPr>
        <w:rFonts w:hint="default"/>
      </w:rPr>
    </w:lvl>
    <w:lvl w:ilvl="6">
      <w:start w:val="1"/>
      <w:numFmt w:val="decimal"/>
      <w:lvlText w:val="%7."/>
      <w:lvlJc w:val="left"/>
      <w:pPr>
        <w:ind w:left="6746" w:hanging="284"/>
      </w:pPr>
      <w:rPr>
        <w:rFonts w:hint="default"/>
      </w:rPr>
    </w:lvl>
    <w:lvl w:ilvl="7">
      <w:start w:val="1"/>
      <w:numFmt w:val="lowerLetter"/>
      <w:lvlText w:val="%8."/>
      <w:lvlJc w:val="left"/>
      <w:pPr>
        <w:ind w:left="7823" w:hanging="284"/>
      </w:pPr>
      <w:rPr>
        <w:rFonts w:hint="default"/>
      </w:rPr>
    </w:lvl>
    <w:lvl w:ilvl="8">
      <w:start w:val="1"/>
      <w:numFmt w:val="lowerRoman"/>
      <w:lvlText w:val="%9."/>
      <w:lvlJc w:val="right"/>
      <w:pPr>
        <w:ind w:left="8900" w:hanging="284"/>
      </w:pPr>
      <w:rPr>
        <w:rFonts w:hint="default"/>
      </w:rPr>
    </w:lvl>
  </w:abstractNum>
  <w:abstractNum w:abstractNumId="10" w15:restartNumberingAfterBreak="0">
    <w:nsid w:val="44E71484"/>
    <w:multiLevelType w:val="multilevel"/>
    <w:tmpl w:val="8FA433FA"/>
    <w:lvl w:ilvl="0">
      <w:start w:val="1"/>
      <w:numFmt w:val="decimal"/>
      <w:lvlText w:val="%1"/>
      <w:lvlJc w:val="left"/>
      <w:pPr>
        <w:ind w:left="284" w:hanging="284"/>
      </w:pPr>
      <w:rPr>
        <w:rFonts w:hint="default"/>
        <w:color w:val="FF8754"/>
      </w:rPr>
    </w:lvl>
    <w:lvl w:ilvl="1">
      <w:start w:val="1"/>
      <w:numFmt w:val="lowerLetter"/>
      <w:lvlText w:val="%2."/>
      <w:lvlJc w:val="left"/>
      <w:pPr>
        <w:ind w:left="1361" w:hanging="284"/>
      </w:pPr>
      <w:rPr>
        <w:rFonts w:hint="default"/>
      </w:rPr>
    </w:lvl>
    <w:lvl w:ilvl="2">
      <w:start w:val="1"/>
      <w:numFmt w:val="lowerRoman"/>
      <w:lvlText w:val="%3."/>
      <w:lvlJc w:val="right"/>
      <w:pPr>
        <w:ind w:left="2438" w:hanging="284"/>
      </w:pPr>
      <w:rPr>
        <w:rFonts w:hint="default"/>
      </w:rPr>
    </w:lvl>
    <w:lvl w:ilvl="3">
      <w:start w:val="1"/>
      <w:numFmt w:val="decimal"/>
      <w:lvlText w:val="%4."/>
      <w:lvlJc w:val="left"/>
      <w:pPr>
        <w:ind w:left="3515" w:hanging="284"/>
      </w:pPr>
      <w:rPr>
        <w:rFonts w:hint="default"/>
      </w:rPr>
    </w:lvl>
    <w:lvl w:ilvl="4">
      <w:start w:val="1"/>
      <w:numFmt w:val="lowerLetter"/>
      <w:lvlText w:val="%5."/>
      <w:lvlJc w:val="left"/>
      <w:pPr>
        <w:ind w:left="4592" w:hanging="284"/>
      </w:pPr>
      <w:rPr>
        <w:rFonts w:hint="default"/>
      </w:rPr>
    </w:lvl>
    <w:lvl w:ilvl="5">
      <w:start w:val="1"/>
      <w:numFmt w:val="lowerRoman"/>
      <w:lvlText w:val="%6."/>
      <w:lvlJc w:val="right"/>
      <w:pPr>
        <w:ind w:left="5669" w:hanging="284"/>
      </w:pPr>
      <w:rPr>
        <w:rFonts w:hint="default"/>
      </w:rPr>
    </w:lvl>
    <w:lvl w:ilvl="6">
      <w:start w:val="1"/>
      <w:numFmt w:val="decimal"/>
      <w:lvlText w:val="%7."/>
      <w:lvlJc w:val="left"/>
      <w:pPr>
        <w:ind w:left="6746" w:hanging="284"/>
      </w:pPr>
      <w:rPr>
        <w:rFonts w:hint="default"/>
      </w:rPr>
    </w:lvl>
    <w:lvl w:ilvl="7">
      <w:start w:val="1"/>
      <w:numFmt w:val="lowerLetter"/>
      <w:lvlText w:val="%8."/>
      <w:lvlJc w:val="left"/>
      <w:pPr>
        <w:ind w:left="7823" w:hanging="284"/>
      </w:pPr>
      <w:rPr>
        <w:rFonts w:hint="default"/>
      </w:rPr>
    </w:lvl>
    <w:lvl w:ilvl="8">
      <w:start w:val="1"/>
      <w:numFmt w:val="lowerRoman"/>
      <w:lvlText w:val="%9."/>
      <w:lvlJc w:val="right"/>
      <w:pPr>
        <w:ind w:left="8900" w:hanging="284"/>
      </w:pPr>
      <w:rPr>
        <w:rFonts w:hint="default"/>
      </w:rPr>
    </w:lvl>
  </w:abstractNum>
  <w:abstractNum w:abstractNumId="11" w15:restartNumberingAfterBreak="0">
    <w:nsid w:val="53496645"/>
    <w:multiLevelType w:val="multilevel"/>
    <w:tmpl w:val="77B84BC0"/>
    <w:lvl w:ilvl="0">
      <w:start w:val="1"/>
      <w:numFmt w:val="decimal"/>
      <w:lvlText w:val="%1"/>
      <w:lvlJc w:val="left"/>
      <w:pPr>
        <w:ind w:left="284" w:hanging="284"/>
      </w:pPr>
      <w:rPr>
        <w:rFonts w:hint="default"/>
        <w:color w:val="FF8754"/>
      </w:rPr>
    </w:lvl>
    <w:lvl w:ilvl="1">
      <w:start w:val="1"/>
      <w:numFmt w:val="decimal"/>
      <w:lvlText w:val="%1.%2"/>
      <w:lvlJc w:val="left"/>
      <w:pPr>
        <w:ind w:left="357" w:hanging="357"/>
      </w:pPr>
      <w:rPr>
        <w:rFonts w:hint="default"/>
      </w:rPr>
    </w:lvl>
    <w:lvl w:ilvl="2">
      <w:start w:val="1"/>
      <w:numFmt w:val="lowerRoman"/>
      <w:lvlText w:val="%3."/>
      <w:lvlJc w:val="right"/>
      <w:pPr>
        <w:ind w:left="2438" w:hanging="284"/>
      </w:pPr>
      <w:rPr>
        <w:rFonts w:hint="default"/>
      </w:rPr>
    </w:lvl>
    <w:lvl w:ilvl="3">
      <w:start w:val="1"/>
      <w:numFmt w:val="decimal"/>
      <w:lvlText w:val="%4."/>
      <w:lvlJc w:val="left"/>
      <w:pPr>
        <w:ind w:left="3515" w:hanging="284"/>
      </w:pPr>
      <w:rPr>
        <w:rFonts w:hint="default"/>
      </w:rPr>
    </w:lvl>
    <w:lvl w:ilvl="4">
      <w:start w:val="1"/>
      <w:numFmt w:val="lowerLetter"/>
      <w:lvlText w:val="%5."/>
      <w:lvlJc w:val="left"/>
      <w:pPr>
        <w:ind w:left="4592" w:hanging="284"/>
      </w:pPr>
      <w:rPr>
        <w:rFonts w:hint="default"/>
      </w:rPr>
    </w:lvl>
    <w:lvl w:ilvl="5">
      <w:start w:val="1"/>
      <w:numFmt w:val="lowerRoman"/>
      <w:lvlText w:val="%6."/>
      <w:lvlJc w:val="right"/>
      <w:pPr>
        <w:ind w:left="5669" w:hanging="284"/>
      </w:pPr>
      <w:rPr>
        <w:rFonts w:hint="default"/>
      </w:rPr>
    </w:lvl>
    <w:lvl w:ilvl="6">
      <w:start w:val="1"/>
      <w:numFmt w:val="decimal"/>
      <w:lvlText w:val="%7."/>
      <w:lvlJc w:val="left"/>
      <w:pPr>
        <w:ind w:left="6746" w:hanging="284"/>
      </w:pPr>
      <w:rPr>
        <w:rFonts w:hint="default"/>
      </w:rPr>
    </w:lvl>
    <w:lvl w:ilvl="7">
      <w:start w:val="1"/>
      <w:numFmt w:val="lowerLetter"/>
      <w:lvlText w:val="%8."/>
      <w:lvlJc w:val="left"/>
      <w:pPr>
        <w:ind w:left="7823" w:hanging="284"/>
      </w:pPr>
      <w:rPr>
        <w:rFonts w:hint="default"/>
      </w:rPr>
    </w:lvl>
    <w:lvl w:ilvl="8">
      <w:start w:val="1"/>
      <w:numFmt w:val="lowerRoman"/>
      <w:lvlText w:val="%9."/>
      <w:lvlJc w:val="right"/>
      <w:pPr>
        <w:ind w:left="8900" w:hanging="284"/>
      </w:pPr>
      <w:rPr>
        <w:rFonts w:hint="default"/>
      </w:rPr>
    </w:lvl>
  </w:abstractNum>
  <w:abstractNum w:abstractNumId="12" w15:restartNumberingAfterBreak="0">
    <w:nsid w:val="57AE7615"/>
    <w:multiLevelType w:val="multilevel"/>
    <w:tmpl w:val="52E0C6F6"/>
    <w:lvl w:ilvl="0">
      <w:start w:val="1"/>
      <w:numFmt w:val="decimal"/>
      <w:pStyle w:val="Kop1"/>
      <w:lvlText w:val="%1"/>
      <w:lvlJc w:val="left"/>
      <w:pPr>
        <w:ind w:left="284" w:hanging="284"/>
      </w:pPr>
      <w:rPr>
        <w:rFonts w:hint="default"/>
        <w:color w:val="FF8754"/>
      </w:rPr>
    </w:lvl>
    <w:lvl w:ilvl="1">
      <w:start w:val="1"/>
      <w:numFmt w:val="decimal"/>
      <w:pStyle w:val="Kop2"/>
      <w:lvlText w:val="%1.%2"/>
      <w:lvlJc w:val="left"/>
      <w:pPr>
        <w:ind w:left="357" w:hanging="357"/>
      </w:pPr>
      <w:rPr>
        <w:rFonts w:hint="default"/>
      </w:rPr>
    </w:lvl>
    <w:lvl w:ilvl="2">
      <w:start w:val="1"/>
      <w:numFmt w:val="decimal"/>
      <w:pStyle w:val="Kop3"/>
      <w:lvlText w:val="%1.%2.%3"/>
      <w:lvlJc w:val="right"/>
      <w:pPr>
        <w:ind w:left="567" w:hanging="57"/>
      </w:pPr>
      <w:rPr>
        <w:rFonts w:hint="default"/>
      </w:rPr>
    </w:lvl>
    <w:lvl w:ilvl="3">
      <w:start w:val="1"/>
      <w:numFmt w:val="decimal"/>
      <w:pStyle w:val="Kop4"/>
      <w:lvlText w:val="%1.%2.%3.%4"/>
      <w:lvlJc w:val="left"/>
      <w:pPr>
        <w:ind w:left="567" w:hanging="567"/>
      </w:pPr>
      <w:rPr>
        <w:rFonts w:hint="default"/>
      </w:rPr>
    </w:lvl>
    <w:lvl w:ilvl="4">
      <w:start w:val="1"/>
      <w:numFmt w:val="lowerLetter"/>
      <w:lvlText w:val="%5."/>
      <w:lvlJc w:val="left"/>
      <w:pPr>
        <w:ind w:left="4592" w:hanging="284"/>
      </w:pPr>
      <w:rPr>
        <w:rFonts w:hint="default"/>
      </w:rPr>
    </w:lvl>
    <w:lvl w:ilvl="5">
      <w:start w:val="1"/>
      <w:numFmt w:val="lowerRoman"/>
      <w:lvlText w:val="%6."/>
      <w:lvlJc w:val="right"/>
      <w:pPr>
        <w:ind w:left="5669" w:hanging="284"/>
      </w:pPr>
      <w:rPr>
        <w:rFonts w:hint="default"/>
      </w:rPr>
    </w:lvl>
    <w:lvl w:ilvl="6">
      <w:start w:val="1"/>
      <w:numFmt w:val="decimal"/>
      <w:lvlText w:val="%7."/>
      <w:lvlJc w:val="left"/>
      <w:pPr>
        <w:ind w:left="6746" w:hanging="284"/>
      </w:pPr>
      <w:rPr>
        <w:rFonts w:hint="default"/>
      </w:rPr>
    </w:lvl>
    <w:lvl w:ilvl="7">
      <w:start w:val="1"/>
      <w:numFmt w:val="lowerLetter"/>
      <w:lvlText w:val="%8."/>
      <w:lvlJc w:val="left"/>
      <w:pPr>
        <w:ind w:left="7823" w:hanging="284"/>
      </w:pPr>
      <w:rPr>
        <w:rFonts w:hint="default"/>
      </w:rPr>
    </w:lvl>
    <w:lvl w:ilvl="8">
      <w:start w:val="1"/>
      <w:numFmt w:val="lowerRoman"/>
      <w:lvlText w:val="%9."/>
      <w:lvlJc w:val="right"/>
      <w:pPr>
        <w:ind w:left="8900" w:hanging="284"/>
      </w:pPr>
      <w:rPr>
        <w:rFonts w:hint="default"/>
      </w:rPr>
    </w:lvl>
  </w:abstractNum>
  <w:abstractNum w:abstractNumId="13" w15:restartNumberingAfterBreak="0">
    <w:nsid w:val="598F799E"/>
    <w:multiLevelType w:val="multilevel"/>
    <w:tmpl w:val="04FC8F94"/>
    <w:name w:val="List Number 3"/>
    <w:lvl w:ilvl="0">
      <w:start w:val="1"/>
      <w:numFmt w:val="decimal"/>
      <w:lvlRestart w:val="0"/>
      <w:pStyle w:val="Lijstnummering"/>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5B452F85"/>
    <w:multiLevelType w:val="multilevel"/>
    <w:tmpl w:val="77B84BC0"/>
    <w:numStyleLink w:val="Style2"/>
  </w:abstractNum>
  <w:abstractNum w:abstractNumId="15" w15:restartNumberingAfterBreak="0">
    <w:nsid w:val="623B390C"/>
    <w:multiLevelType w:val="multilevel"/>
    <w:tmpl w:val="8FA433FA"/>
    <w:lvl w:ilvl="0">
      <w:start w:val="1"/>
      <w:numFmt w:val="decimal"/>
      <w:lvlText w:val="%1"/>
      <w:lvlJc w:val="left"/>
      <w:pPr>
        <w:ind w:left="284" w:hanging="284"/>
      </w:pPr>
      <w:rPr>
        <w:rFonts w:hint="default"/>
        <w:color w:val="FF8754"/>
      </w:rPr>
    </w:lvl>
    <w:lvl w:ilvl="1">
      <w:start w:val="1"/>
      <w:numFmt w:val="lowerLetter"/>
      <w:lvlText w:val="%2."/>
      <w:lvlJc w:val="left"/>
      <w:pPr>
        <w:ind w:left="1361" w:hanging="284"/>
      </w:pPr>
      <w:rPr>
        <w:rFonts w:hint="default"/>
      </w:rPr>
    </w:lvl>
    <w:lvl w:ilvl="2">
      <w:start w:val="1"/>
      <w:numFmt w:val="lowerRoman"/>
      <w:lvlText w:val="%3."/>
      <w:lvlJc w:val="right"/>
      <w:pPr>
        <w:ind w:left="2438" w:hanging="284"/>
      </w:pPr>
      <w:rPr>
        <w:rFonts w:hint="default"/>
      </w:rPr>
    </w:lvl>
    <w:lvl w:ilvl="3">
      <w:start w:val="1"/>
      <w:numFmt w:val="decimal"/>
      <w:lvlText w:val="%4."/>
      <w:lvlJc w:val="left"/>
      <w:pPr>
        <w:ind w:left="3515" w:hanging="284"/>
      </w:pPr>
      <w:rPr>
        <w:rFonts w:hint="default"/>
      </w:rPr>
    </w:lvl>
    <w:lvl w:ilvl="4">
      <w:start w:val="1"/>
      <w:numFmt w:val="lowerLetter"/>
      <w:lvlText w:val="%5."/>
      <w:lvlJc w:val="left"/>
      <w:pPr>
        <w:ind w:left="4592" w:hanging="284"/>
      </w:pPr>
      <w:rPr>
        <w:rFonts w:hint="default"/>
      </w:rPr>
    </w:lvl>
    <w:lvl w:ilvl="5">
      <w:start w:val="1"/>
      <w:numFmt w:val="lowerRoman"/>
      <w:lvlText w:val="%6."/>
      <w:lvlJc w:val="right"/>
      <w:pPr>
        <w:ind w:left="5669" w:hanging="284"/>
      </w:pPr>
      <w:rPr>
        <w:rFonts w:hint="default"/>
      </w:rPr>
    </w:lvl>
    <w:lvl w:ilvl="6">
      <w:start w:val="1"/>
      <w:numFmt w:val="decimal"/>
      <w:lvlText w:val="%7."/>
      <w:lvlJc w:val="left"/>
      <w:pPr>
        <w:ind w:left="6746" w:hanging="284"/>
      </w:pPr>
      <w:rPr>
        <w:rFonts w:hint="default"/>
      </w:rPr>
    </w:lvl>
    <w:lvl w:ilvl="7">
      <w:start w:val="1"/>
      <w:numFmt w:val="lowerLetter"/>
      <w:lvlText w:val="%8."/>
      <w:lvlJc w:val="left"/>
      <w:pPr>
        <w:ind w:left="7823" w:hanging="284"/>
      </w:pPr>
      <w:rPr>
        <w:rFonts w:hint="default"/>
      </w:rPr>
    </w:lvl>
    <w:lvl w:ilvl="8">
      <w:start w:val="1"/>
      <w:numFmt w:val="lowerRoman"/>
      <w:lvlText w:val="%9."/>
      <w:lvlJc w:val="right"/>
      <w:pPr>
        <w:ind w:left="8900" w:hanging="284"/>
      </w:pPr>
      <w:rPr>
        <w:rFonts w:hint="default"/>
      </w:rPr>
    </w:lvl>
  </w:abstractNum>
  <w:abstractNum w:abstractNumId="16" w15:restartNumberingAfterBreak="0">
    <w:nsid w:val="63950752"/>
    <w:multiLevelType w:val="hybridMultilevel"/>
    <w:tmpl w:val="F62ED01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4683F23"/>
    <w:multiLevelType w:val="hybridMultilevel"/>
    <w:tmpl w:val="D084FD48"/>
    <w:lvl w:ilvl="0" w:tplc="BAD03890">
      <w:start w:val="1"/>
      <w:numFmt w:val="decimal"/>
      <w:lvlText w:val="%1."/>
      <w:lvlJc w:val="left"/>
      <w:pPr>
        <w:ind w:left="284" w:hanging="284"/>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71D5300"/>
    <w:multiLevelType w:val="hybridMultilevel"/>
    <w:tmpl w:val="3DA8D75E"/>
    <w:lvl w:ilvl="0" w:tplc="BAD03890">
      <w:start w:val="1"/>
      <w:numFmt w:val="decimal"/>
      <w:lvlText w:val="%1."/>
      <w:lvlJc w:val="left"/>
      <w:pPr>
        <w:ind w:left="284" w:hanging="284"/>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7AD337E3"/>
    <w:multiLevelType w:val="multilevel"/>
    <w:tmpl w:val="F32C6BA4"/>
    <w:styleLink w:val="Style3"/>
    <w:lvl w:ilvl="0">
      <w:start w:val="1"/>
      <w:numFmt w:val="decimal"/>
      <w:lvlText w:val="%1"/>
      <w:lvlJc w:val="left"/>
      <w:pPr>
        <w:ind w:left="284" w:hanging="284"/>
      </w:pPr>
      <w:rPr>
        <w:rFonts w:hint="default"/>
        <w:color w:val="FF8754"/>
      </w:rPr>
    </w:lvl>
    <w:lvl w:ilvl="1">
      <w:start w:val="1"/>
      <w:numFmt w:val="decimal"/>
      <w:lvlText w:val="%1.%2"/>
      <w:lvlJc w:val="left"/>
      <w:pPr>
        <w:ind w:left="357" w:hanging="357"/>
      </w:pPr>
      <w:rPr>
        <w:rFonts w:hint="default"/>
      </w:rPr>
    </w:lvl>
    <w:lvl w:ilvl="2">
      <w:start w:val="1"/>
      <w:numFmt w:val="decimal"/>
      <w:lvlText w:val="%1.%2.%3"/>
      <w:lvlJc w:val="right"/>
      <w:pPr>
        <w:ind w:left="357" w:hanging="357"/>
      </w:pPr>
      <w:rPr>
        <w:rFonts w:hint="default"/>
      </w:rPr>
    </w:lvl>
    <w:lvl w:ilvl="3">
      <w:start w:val="1"/>
      <w:numFmt w:val="decimal"/>
      <w:lvlText w:val="%4."/>
      <w:lvlJc w:val="left"/>
      <w:pPr>
        <w:ind w:left="3515" w:hanging="284"/>
      </w:pPr>
      <w:rPr>
        <w:rFonts w:hint="default"/>
      </w:rPr>
    </w:lvl>
    <w:lvl w:ilvl="4">
      <w:start w:val="1"/>
      <w:numFmt w:val="lowerLetter"/>
      <w:lvlText w:val="%5."/>
      <w:lvlJc w:val="left"/>
      <w:pPr>
        <w:ind w:left="4592" w:hanging="284"/>
      </w:pPr>
      <w:rPr>
        <w:rFonts w:hint="default"/>
      </w:rPr>
    </w:lvl>
    <w:lvl w:ilvl="5">
      <w:start w:val="1"/>
      <w:numFmt w:val="lowerRoman"/>
      <w:lvlText w:val="%6."/>
      <w:lvlJc w:val="right"/>
      <w:pPr>
        <w:ind w:left="5669" w:hanging="284"/>
      </w:pPr>
      <w:rPr>
        <w:rFonts w:hint="default"/>
      </w:rPr>
    </w:lvl>
    <w:lvl w:ilvl="6">
      <w:start w:val="1"/>
      <w:numFmt w:val="decimal"/>
      <w:lvlText w:val="%7."/>
      <w:lvlJc w:val="left"/>
      <w:pPr>
        <w:ind w:left="6746" w:hanging="284"/>
      </w:pPr>
      <w:rPr>
        <w:rFonts w:hint="default"/>
      </w:rPr>
    </w:lvl>
    <w:lvl w:ilvl="7">
      <w:start w:val="1"/>
      <w:numFmt w:val="lowerLetter"/>
      <w:lvlText w:val="%8."/>
      <w:lvlJc w:val="left"/>
      <w:pPr>
        <w:ind w:left="7823" w:hanging="284"/>
      </w:pPr>
      <w:rPr>
        <w:rFonts w:hint="default"/>
      </w:rPr>
    </w:lvl>
    <w:lvl w:ilvl="8">
      <w:start w:val="1"/>
      <w:numFmt w:val="lowerRoman"/>
      <w:lvlText w:val="%9."/>
      <w:lvlJc w:val="right"/>
      <w:pPr>
        <w:ind w:left="8900" w:hanging="284"/>
      </w:pPr>
      <w:rPr>
        <w:rFonts w:hint="default"/>
      </w:rPr>
    </w:lvl>
  </w:abstractNum>
  <w:abstractNum w:abstractNumId="20" w15:restartNumberingAfterBreak="0">
    <w:nsid w:val="7BE60009"/>
    <w:multiLevelType w:val="multilevel"/>
    <w:tmpl w:val="6770BAAA"/>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suff w:val="space"/>
      <w:lvlText w:val="%1.%2.%3"/>
      <w:lvlJc w:val="left"/>
      <w:pPr>
        <w:ind w:left="284" w:hanging="284"/>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1616405171">
    <w:abstractNumId w:val="18"/>
  </w:num>
  <w:num w:numId="2" w16cid:durableId="1241600911">
    <w:abstractNumId w:val="17"/>
  </w:num>
  <w:num w:numId="3" w16cid:durableId="2035687507">
    <w:abstractNumId w:val="15"/>
  </w:num>
  <w:num w:numId="4" w16cid:durableId="376973589">
    <w:abstractNumId w:val="13"/>
  </w:num>
  <w:num w:numId="5" w16cid:durableId="849875427">
    <w:abstractNumId w:val="15"/>
  </w:num>
  <w:num w:numId="6" w16cid:durableId="595405711">
    <w:abstractNumId w:val="8"/>
  </w:num>
  <w:num w:numId="7" w16cid:durableId="1105421956">
    <w:abstractNumId w:val="7"/>
  </w:num>
  <w:num w:numId="8" w16cid:durableId="1620724654">
    <w:abstractNumId w:val="1"/>
  </w:num>
  <w:num w:numId="9" w16cid:durableId="302779879">
    <w:abstractNumId w:val="20"/>
  </w:num>
  <w:num w:numId="10" w16cid:durableId="738283816">
    <w:abstractNumId w:val="9"/>
  </w:num>
  <w:num w:numId="11" w16cid:durableId="1499535463">
    <w:abstractNumId w:val="9"/>
    <w:lvlOverride w:ilvl="0">
      <w:lvl w:ilvl="0">
        <w:start w:val="1"/>
        <w:numFmt w:val="decimal"/>
        <w:lvlText w:val="%1"/>
        <w:lvlJc w:val="left"/>
        <w:pPr>
          <w:ind w:left="284" w:hanging="284"/>
        </w:pPr>
        <w:rPr>
          <w:rFonts w:hint="default"/>
          <w:color w:val="FF8754"/>
        </w:rPr>
      </w:lvl>
    </w:lvlOverride>
    <w:lvlOverride w:ilvl="1">
      <w:lvl w:ilvl="1">
        <w:start w:val="1"/>
        <w:numFmt w:val="decimal"/>
        <w:lvlText w:val="1.%1"/>
        <w:lvlJc w:val="left"/>
        <w:pPr>
          <w:ind w:left="357" w:hanging="357"/>
        </w:pPr>
        <w:rPr>
          <w:rFonts w:hint="default"/>
        </w:rPr>
      </w:lvl>
    </w:lvlOverride>
    <w:lvlOverride w:ilvl="2">
      <w:lvl w:ilvl="2">
        <w:start w:val="1"/>
        <w:numFmt w:val="lowerRoman"/>
        <w:lvlText w:val="%3."/>
        <w:lvlJc w:val="right"/>
        <w:pPr>
          <w:ind w:left="2438" w:hanging="284"/>
        </w:pPr>
        <w:rPr>
          <w:rFonts w:hint="default"/>
        </w:rPr>
      </w:lvl>
    </w:lvlOverride>
    <w:lvlOverride w:ilvl="3">
      <w:lvl w:ilvl="3">
        <w:start w:val="1"/>
        <w:numFmt w:val="decimal"/>
        <w:lvlText w:val="%4."/>
        <w:lvlJc w:val="left"/>
        <w:pPr>
          <w:ind w:left="3515" w:hanging="284"/>
        </w:pPr>
        <w:rPr>
          <w:rFonts w:hint="default"/>
        </w:rPr>
      </w:lvl>
    </w:lvlOverride>
    <w:lvlOverride w:ilvl="4">
      <w:lvl w:ilvl="4">
        <w:start w:val="1"/>
        <w:numFmt w:val="lowerLetter"/>
        <w:lvlText w:val="%5."/>
        <w:lvlJc w:val="left"/>
        <w:pPr>
          <w:ind w:left="4592" w:hanging="284"/>
        </w:pPr>
        <w:rPr>
          <w:rFonts w:hint="default"/>
        </w:rPr>
      </w:lvl>
    </w:lvlOverride>
    <w:lvlOverride w:ilvl="5">
      <w:lvl w:ilvl="5">
        <w:start w:val="1"/>
        <w:numFmt w:val="lowerRoman"/>
        <w:lvlText w:val="%6."/>
        <w:lvlJc w:val="right"/>
        <w:pPr>
          <w:ind w:left="5669" w:hanging="284"/>
        </w:pPr>
        <w:rPr>
          <w:rFonts w:hint="default"/>
        </w:rPr>
      </w:lvl>
    </w:lvlOverride>
    <w:lvlOverride w:ilvl="6">
      <w:lvl w:ilvl="6">
        <w:start w:val="1"/>
        <w:numFmt w:val="decimal"/>
        <w:lvlText w:val="%7."/>
        <w:lvlJc w:val="left"/>
        <w:pPr>
          <w:ind w:left="6746" w:hanging="284"/>
        </w:pPr>
        <w:rPr>
          <w:rFonts w:hint="default"/>
        </w:rPr>
      </w:lvl>
    </w:lvlOverride>
    <w:lvlOverride w:ilvl="7">
      <w:lvl w:ilvl="7">
        <w:start w:val="1"/>
        <w:numFmt w:val="lowerLetter"/>
        <w:lvlText w:val="%8."/>
        <w:lvlJc w:val="left"/>
        <w:pPr>
          <w:ind w:left="7823" w:hanging="284"/>
        </w:pPr>
        <w:rPr>
          <w:rFonts w:hint="default"/>
        </w:rPr>
      </w:lvl>
    </w:lvlOverride>
    <w:lvlOverride w:ilvl="8">
      <w:lvl w:ilvl="8">
        <w:start w:val="1"/>
        <w:numFmt w:val="lowerRoman"/>
        <w:lvlText w:val="%9."/>
        <w:lvlJc w:val="right"/>
        <w:pPr>
          <w:ind w:left="8900" w:hanging="284"/>
        </w:pPr>
        <w:rPr>
          <w:rFonts w:hint="default"/>
        </w:rPr>
      </w:lvl>
    </w:lvlOverride>
  </w:num>
  <w:num w:numId="12" w16cid:durableId="414477279">
    <w:abstractNumId w:val="10"/>
  </w:num>
  <w:num w:numId="13" w16cid:durableId="960573127">
    <w:abstractNumId w:val="9"/>
    <w:lvlOverride w:ilvl="0">
      <w:lvl w:ilvl="0">
        <w:start w:val="1"/>
        <w:numFmt w:val="decimal"/>
        <w:lvlText w:val="%1"/>
        <w:lvlJc w:val="left"/>
        <w:pPr>
          <w:ind w:left="284" w:hanging="284"/>
        </w:pPr>
        <w:rPr>
          <w:rFonts w:hint="default"/>
          <w:color w:val="FF8754"/>
        </w:rPr>
      </w:lvl>
    </w:lvlOverride>
    <w:lvlOverride w:ilvl="1">
      <w:lvl w:ilvl="1">
        <w:start w:val="1"/>
        <w:numFmt w:val="decimal"/>
        <w:lvlText w:val="%2.%1"/>
        <w:lvlJc w:val="left"/>
        <w:pPr>
          <w:ind w:left="357" w:hanging="357"/>
        </w:pPr>
        <w:rPr>
          <w:rFonts w:hint="default"/>
        </w:rPr>
      </w:lvl>
    </w:lvlOverride>
    <w:lvlOverride w:ilvl="2">
      <w:lvl w:ilvl="2">
        <w:start w:val="1"/>
        <w:numFmt w:val="lowerRoman"/>
        <w:lvlText w:val="%3."/>
        <w:lvlJc w:val="right"/>
        <w:pPr>
          <w:ind w:left="2438" w:hanging="284"/>
        </w:pPr>
        <w:rPr>
          <w:rFonts w:hint="default"/>
        </w:rPr>
      </w:lvl>
    </w:lvlOverride>
    <w:lvlOverride w:ilvl="3">
      <w:lvl w:ilvl="3">
        <w:start w:val="1"/>
        <w:numFmt w:val="decimal"/>
        <w:lvlText w:val="%4."/>
        <w:lvlJc w:val="left"/>
        <w:pPr>
          <w:ind w:left="3515" w:hanging="284"/>
        </w:pPr>
        <w:rPr>
          <w:rFonts w:hint="default"/>
        </w:rPr>
      </w:lvl>
    </w:lvlOverride>
    <w:lvlOverride w:ilvl="4">
      <w:lvl w:ilvl="4">
        <w:start w:val="1"/>
        <w:numFmt w:val="lowerLetter"/>
        <w:lvlText w:val="%5."/>
        <w:lvlJc w:val="left"/>
        <w:pPr>
          <w:ind w:left="4592" w:hanging="284"/>
        </w:pPr>
        <w:rPr>
          <w:rFonts w:hint="default"/>
        </w:rPr>
      </w:lvl>
    </w:lvlOverride>
    <w:lvlOverride w:ilvl="5">
      <w:lvl w:ilvl="5">
        <w:start w:val="1"/>
        <w:numFmt w:val="lowerRoman"/>
        <w:lvlText w:val="%6."/>
        <w:lvlJc w:val="right"/>
        <w:pPr>
          <w:ind w:left="5669" w:hanging="284"/>
        </w:pPr>
        <w:rPr>
          <w:rFonts w:hint="default"/>
        </w:rPr>
      </w:lvl>
    </w:lvlOverride>
    <w:lvlOverride w:ilvl="6">
      <w:lvl w:ilvl="6">
        <w:start w:val="1"/>
        <w:numFmt w:val="decimal"/>
        <w:lvlText w:val="%7."/>
        <w:lvlJc w:val="left"/>
        <w:pPr>
          <w:ind w:left="6746" w:hanging="284"/>
        </w:pPr>
        <w:rPr>
          <w:rFonts w:hint="default"/>
        </w:rPr>
      </w:lvl>
    </w:lvlOverride>
    <w:lvlOverride w:ilvl="7">
      <w:lvl w:ilvl="7">
        <w:start w:val="1"/>
        <w:numFmt w:val="lowerLetter"/>
        <w:lvlText w:val="%8."/>
        <w:lvlJc w:val="left"/>
        <w:pPr>
          <w:ind w:left="7823" w:hanging="284"/>
        </w:pPr>
        <w:rPr>
          <w:rFonts w:hint="default"/>
        </w:rPr>
      </w:lvl>
    </w:lvlOverride>
    <w:lvlOverride w:ilvl="8">
      <w:lvl w:ilvl="8">
        <w:start w:val="1"/>
        <w:numFmt w:val="lowerRoman"/>
        <w:lvlText w:val="%9."/>
        <w:lvlJc w:val="right"/>
        <w:pPr>
          <w:ind w:left="8900" w:hanging="284"/>
        </w:pPr>
        <w:rPr>
          <w:rFonts w:hint="default"/>
        </w:rPr>
      </w:lvl>
    </w:lvlOverride>
  </w:num>
  <w:num w:numId="14" w16cid:durableId="1260605973">
    <w:abstractNumId w:val="11"/>
  </w:num>
  <w:num w:numId="15" w16cid:durableId="1185290226">
    <w:abstractNumId w:val="5"/>
  </w:num>
  <w:num w:numId="16" w16cid:durableId="667711232">
    <w:abstractNumId w:val="14"/>
  </w:num>
  <w:num w:numId="17" w16cid:durableId="1000697275">
    <w:abstractNumId w:val="12"/>
  </w:num>
  <w:num w:numId="18" w16cid:durableId="719938009">
    <w:abstractNumId w:val="19"/>
  </w:num>
  <w:num w:numId="19" w16cid:durableId="1011302423">
    <w:abstractNumId w:val="0"/>
  </w:num>
  <w:num w:numId="20" w16cid:durableId="1406881681">
    <w:abstractNumId w:val="12"/>
    <w:lvlOverride w:ilvl="0">
      <w:lvl w:ilvl="0">
        <w:start w:val="1"/>
        <w:numFmt w:val="decimal"/>
        <w:pStyle w:val="Kop1"/>
        <w:lvlText w:val="%1"/>
        <w:lvlJc w:val="left"/>
        <w:pPr>
          <w:ind w:left="284" w:hanging="284"/>
        </w:pPr>
        <w:rPr>
          <w:rFonts w:hint="default"/>
          <w:color w:val="FF8754"/>
        </w:rPr>
      </w:lvl>
    </w:lvlOverride>
    <w:lvlOverride w:ilvl="1">
      <w:lvl w:ilvl="1">
        <w:start w:val="1"/>
        <w:numFmt w:val="decimal"/>
        <w:pStyle w:val="Kop2"/>
        <w:lvlText w:val="%1.%2"/>
        <w:lvlJc w:val="left"/>
        <w:pPr>
          <w:ind w:left="357" w:hanging="357"/>
        </w:pPr>
        <w:rPr>
          <w:rFonts w:hint="default"/>
        </w:rPr>
      </w:lvl>
    </w:lvlOverride>
    <w:lvlOverride w:ilvl="2">
      <w:lvl w:ilvl="2">
        <w:start w:val="1"/>
        <w:numFmt w:val="decimal"/>
        <w:pStyle w:val="Kop3"/>
        <w:lvlText w:val="%1.%2.%3"/>
        <w:lvlJc w:val="right"/>
        <w:pPr>
          <w:ind w:left="1021" w:hanging="341"/>
        </w:pPr>
        <w:rPr>
          <w:rFonts w:hint="default"/>
        </w:rPr>
      </w:lvl>
    </w:lvlOverride>
    <w:lvlOverride w:ilvl="3">
      <w:lvl w:ilvl="3">
        <w:start w:val="1"/>
        <w:numFmt w:val="decimal"/>
        <w:pStyle w:val="Kop4"/>
        <w:lvlText w:val="%4."/>
        <w:lvlJc w:val="left"/>
        <w:pPr>
          <w:ind w:left="3515" w:hanging="284"/>
        </w:pPr>
        <w:rPr>
          <w:rFonts w:hint="default"/>
        </w:rPr>
      </w:lvl>
    </w:lvlOverride>
    <w:lvlOverride w:ilvl="4">
      <w:lvl w:ilvl="4">
        <w:start w:val="1"/>
        <w:numFmt w:val="lowerLetter"/>
        <w:lvlText w:val="%5."/>
        <w:lvlJc w:val="left"/>
        <w:pPr>
          <w:ind w:left="4592" w:hanging="284"/>
        </w:pPr>
        <w:rPr>
          <w:rFonts w:hint="default"/>
        </w:rPr>
      </w:lvl>
    </w:lvlOverride>
    <w:lvlOverride w:ilvl="5">
      <w:lvl w:ilvl="5">
        <w:start w:val="1"/>
        <w:numFmt w:val="lowerRoman"/>
        <w:lvlText w:val="%6."/>
        <w:lvlJc w:val="right"/>
        <w:pPr>
          <w:ind w:left="5669" w:hanging="284"/>
        </w:pPr>
        <w:rPr>
          <w:rFonts w:hint="default"/>
        </w:rPr>
      </w:lvl>
    </w:lvlOverride>
    <w:lvlOverride w:ilvl="6">
      <w:lvl w:ilvl="6">
        <w:start w:val="1"/>
        <w:numFmt w:val="decimal"/>
        <w:lvlText w:val="%7."/>
        <w:lvlJc w:val="left"/>
        <w:pPr>
          <w:ind w:left="6746" w:hanging="284"/>
        </w:pPr>
        <w:rPr>
          <w:rFonts w:hint="default"/>
        </w:rPr>
      </w:lvl>
    </w:lvlOverride>
    <w:lvlOverride w:ilvl="7">
      <w:lvl w:ilvl="7">
        <w:start w:val="1"/>
        <w:numFmt w:val="lowerLetter"/>
        <w:lvlText w:val="%8."/>
        <w:lvlJc w:val="left"/>
        <w:pPr>
          <w:ind w:left="7823" w:hanging="284"/>
        </w:pPr>
        <w:rPr>
          <w:rFonts w:hint="default"/>
        </w:rPr>
      </w:lvl>
    </w:lvlOverride>
    <w:lvlOverride w:ilvl="8">
      <w:lvl w:ilvl="8">
        <w:start w:val="1"/>
        <w:numFmt w:val="lowerRoman"/>
        <w:lvlText w:val="%9."/>
        <w:lvlJc w:val="right"/>
        <w:pPr>
          <w:ind w:left="8900" w:hanging="284"/>
        </w:pPr>
        <w:rPr>
          <w:rFonts w:hint="default"/>
        </w:rPr>
      </w:lvl>
    </w:lvlOverride>
  </w:num>
  <w:num w:numId="21" w16cid:durableId="1878662502">
    <w:abstractNumId w:val="12"/>
  </w:num>
  <w:num w:numId="22" w16cid:durableId="1210923626">
    <w:abstractNumId w:val="12"/>
  </w:num>
  <w:num w:numId="23" w16cid:durableId="910039370">
    <w:abstractNumId w:val="6"/>
  </w:num>
  <w:num w:numId="24" w16cid:durableId="1290476847">
    <w:abstractNumId w:val="3"/>
  </w:num>
  <w:num w:numId="25" w16cid:durableId="1592859780">
    <w:abstractNumId w:val="16"/>
  </w:num>
  <w:num w:numId="26" w16cid:durableId="1520309874">
    <w:abstractNumId w:val="2"/>
  </w:num>
  <w:num w:numId="27" w16cid:durableId="282661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D90"/>
    <w:rsid w:val="00007575"/>
    <w:rsid w:val="000100A0"/>
    <w:rsid w:val="000259D3"/>
    <w:rsid w:val="00073C39"/>
    <w:rsid w:val="000C6688"/>
    <w:rsid w:val="00107B53"/>
    <w:rsid w:val="00181372"/>
    <w:rsid w:val="00193011"/>
    <w:rsid w:val="00195F5E"/>
    <w:rsid w:val="001B6D8E"/>
    <w:rsid w:val="001D48DB"/>
    <w:rsid w:val="002139A0"/>
    <w:rsid w:val="00227D0F"/>
    <w:rsid w:val="00284F46"/>
    <w:rsid w:val="002B1351"/>
    <w:rsid w:val="002B5A81"/>
    <w:rsid w:val="002C413F"/>
    <w:rsid w:val="002C54E2"/>
    <w:rsid w:val="003169CE"/>
    <w:rsid w:val="00355698"/>
    <w:rsid w:val="003636C9"/>
    <w:rsid w:val="00384AFA"/>
    <w:rsid w:val="00386A78"/>
    <w:rsid w:val="003B4509"/>
    <w:rsid w:val="003D411E"/>
    <w:rsid w:val="004260FC"/>
    <w:rsid w:val="00443F29"/>
    <w:rsid w:val="00460A70"/>
    <w:rsid w:val="00461177"/>
    <w:rsid w:val="00465B54"/>
    <w:rsid w:val="004774C5"/>
    <w:rsid w:val="00480022"/>
    <w:rsid w:val="00487B30"/>
    <w:rsid w:val="004924B7"/>
    <w:rsid w:val="004B64C3"/>
    <w:rsid w:val="0052147E"/>
    <w:rsid w:val="00546038"/>
    <w:rsid w:val="006437C4"/>
    <w:rsid w:val="00645683"/>
    <w:rsid w:val="006742B3"/>
    <w:rsid w:val="00691D90"/>
    <w:rsid w:val="006956F7"/>
    <w:rsid w:val="006C2A48"/>
    <w:rsid w:val="007027A1"/>
    <w:rsid w:val="00713D87"/>
    <w:rsid w:val="00741B62"/>
    <w:rsid w:val="007671B2"/>
    <w:rsid w:val="00776C95"/>
    <w:rsid w:val="00784CDF"/>
    <w:rsid w:val="007B788F"/>
    <w:rsid w:val="007E6007"/>
    <w:rsid w:val="007F20A7"/>
    <w:rsid w:val="00805507"/>
    <w:rsid w:val="00807D44"/>
    <w:rsid w:val="00817EC0"/>
    <w:rsid w:val="00911F4D"/>
    <w:rsid w:val="00952495"/>
    <w:rsid w:val="009C2A01"/>
    <w:rsid w:val="009D6610"/>
    <w:rsid w:val="00A402C8"/>
    <w:rsid w:val="00A403C4"/>
    <w:rsid w:val="00A829BC"/>
    <w:rsid w:val="00A84687"/>
    <w:rsid w:val="00A92105"/>
    <w:rsid w:val="00AA10E1"/>
    <w:rsid w:val="00AC23F4"/>
    <w:rsid w:val="00B0144E"/>
    <w:rsid w:val="00B43795"/>
    <w:rsid w:val="00B85660"/>
    <w:rsid w:val="00BD27DB"/>
    <w:rsid w:val="00BD74BB"/>
    <w:rsid w:val="00BF2041"/>
    <w:rsid w:val="00C4614A"/>
    <w:rsid w:val="00C61B24"/>
    <w:rsid w:val="00C7349B"/>
    <w:rsid w:val="00CC6454"/>
    <w:rsid w:val="00CD0C3E"/>
    <w:rsid w:val="00CF2CB2"/>
    <w:rsid w:val="00D010F4"/>
    <w:rsid w:val="00D014FD"/>
    <w:rsid w:val="00D1251D"/>
    <w:rsid w:val="00D1624E"/>
    <w:rsid w:val="00D31172"/>
    <w:rsid w:val="00D54BE2"/>
    <w:rsid w:val="00D6599F"/>
    <w:rsid w:val="00D975A7"/>
    <w:rsid w:val="00DB4DDE"/>
    <w:rsid w:val="00DE3BEB"/>
    <w:rsid w:val="00DF3EED"/>
    <w:rsid w:val="00E00985"/>
    <w:rsid w:val="00E44581"/>
    <w:rsid w:val="00E775F9"/>
    <w:rsid w:val="00EA3194"/>
    <w:rsid w:val="00EC1FC8"/>
    <w:rsid w:val="00ED13BB"/>
    <w:rsid w:val="00EE0E58"/>
    <w:rsid w:val="00F00DD7"/>
    <w:rsid w:val="00F22639"/>
    <w:rsid w:val="00F52C50"/>
    <w:rsid w:val="00F600AE"/>
    <w:rsid w:val="00F72E2F"/>
    <w:rsid w:val="00FD7EBE"/>
    <w:rsid w:val="00FF027B"/>
    <w:rsid w:val="00FF3E55"/>
    <w:rsid w:val="00FF67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70125"/>
  <w15:chartTrackingRefBased/>
  <w15:docId w15:val="{E4B19E71-DEE6-4B8A-A44B-72DA2142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6599F"/>
    <w:pPr>
      <w:spacing w:after="120"/>
      <w:jc w:val="both"/>
    </w:pPr>
    <w:rPr>
      <w:rFonts w:ascii="Segoe UI" w:hAnsi="Segoe UI"/>
      <w:lang w:val="en-GB"/>
    </w:rPr>
  </w:style>
  <w:style w:type="paragraph" w:styleId="Kop1">
    <w:name w:val="heading 1"/>
    <w:basedOn w:val="Standaard"/>
    <w:next w:val="Standaard"/>
    <w:link w:val="Kop1Char"/>
    <w:uiPriority w:val="9"/>
    <w:qFormat/>
    <w:rsid w:val="00D6599F"/>
    <w:pPr>
      <w:keepNext/>
      <w:keepLines/>
      <w:numPr>
        <w:numId w:val="22"/>
      </w:numPr>
      <w:outlineLvl w:val="0"/>
    </w:pPr>
    <w:rPr>
      <w:rFonts w:eastAsiaTheme="majorEastAsia" w:cstheme="majorBidi"/>
      <w:b/>
      <w:color w:val="FF8754"/>
      <w:szCs w:val="32"/>
    </w:rPr>
  </w:style>
  <w:style w:type="paragraph" w:styleId="Kop2">
    <w:name w:val="heading 2"/>
    <w:basedOn w:val="Lijstalinea"/>
    <w:next w:val="Standaard"/>
    <w:link w:val="Kop2Char"/>
    <w:uiPriority w:val="9"/>
    <w:unhideWhenUsed/>
    <w:qFormat/>
    <w:rsid w:val="00D6599F"/>
    <w:pPr>
      <w:numPr>
        <w:ilvl w:val="1"/>
        <w:numId w:val="22"/>
      </w:numPr>
      <w:outlineLvl w:val="1"/>
    </w:pPr>
    <w:rPr>
      <w:b/>
      <w:color w:val="0B0CAC"/>
    </w:rPr>
  </w:style>
  <w:style w:type="paragraph" w:styleId="Kop3">
    <w:name w:val="heading 3"/>
    <w:basedOn w:val="Lijstalinea"/>
    <w:next w:val="Standaard"/>
    <w:link w:val="Kop3Char"/>
    <w:uiPriority w:val="9"/>
    <w:unhideWhenUsed/>
    <w:qFormat/>
    <w:rsid w:val="00D6599F"/>
    <w:pPr>
      <w:numPr>
        <w:ilvl w:val="2"/>
        <w:numId w:val="22"/>
      </w:numPr>
      <w:outlineLvl w:val="2"/>
    </w:pPr>
    <w:rPr>
      <w:b/>
      <w:i/>
    </w:rPr>
  </w:style>
  <w:style w:type="paragraph" w:styleId="Kop4">
    <w:name w:val="heading 4"/>
    <w:basedOn w:val="Lijstalinea"/>
    <w:next w:val="Standaard"/>
    <w:link w:val="Kop4Char"/>
    <w:uiPriority w:val="9"/>
    <w:unhideWhenUsed/>
    <w:qFormat/>
    <w:rsid w:val="00D6599F"/>
    <w:pPr>
      <w:numPr>
        <w:ilvl w:val="3"/>
        <w:numId w:val="22"/>
      </w:numPr>
      <w:outlineLvl w:val="3"/>
    </w:pPr>
    <w:rPr>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5249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52495"/>
    <w:rPr>
      <w:lang w:val="en-GB"/>
    </w:rPr>
  </w:style>
  <w:style w:type="paragraph" w:styleId="Voettekst">
    <w:name w:val="footer"/>
    <w:basedOn w:val="Standaard"/>
    <w:link w:val="VoettekstChar"/>
    <w:uiPriority w:val="99"/>
    <w:unhideWhenUsed/>
    <w:rsid w:val="0095249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52495"/>
    <w:rPr>
      <w:lang w:val="en-GB"/>
    </w:rPr>
  </w:style>
  <w:style w:type="paragraph" w:styleId="Lijstalinea">
    <w:name w:val="List Paragraph"/>
    <w:basedOn w:val="Standaard"/>
    <w:link w:val="LijstalineaChar"/>
    <w:qFormat/>
    <w:rsid w:val="009C2A01"/>
    <w:pPr>
      <w:ind w:left="720"/>
      <w:contextualSpacing/>
    </w:pPr>
  </w:style>
  <w:style w:type="character" w:customStyle="1" w:styleId="Kop1Char">
    <w:name w:val="Kop 1 Char"/>
    <w:basedOn w:val="Standaardalinea-lettertype"/>
    <w:link w:val="Kop1"/>
    <w:uiPriority w:val="9"/>
    <w:rsid w:val="00D6599F"/>
    <w:rPr>
      <w:rFonts w:ascii="Segoe UI" w:eastAsiaTheme="majorEastAsia" w:hAnsi="Segoe UI" w:cstheme="majorBidi"/>
      <w:b/>
      <w:color w:val="FF8754"/>
      <w:szCs w:val="32"/>
      <w:lang w:val="en-GB"/>
    </w:rPr>
  </w:style>
  <w:style w:type="character" w:customStyle="1" w:styleId="Kop2Char">
    <w:name w:val="Kop 2 Char"/>
    <w:basedOn w:val="Standaardalinea-lettertype"/>
    <w:link w:val="Kop2"/>
    <w:uiPriority w:val="9"/>
    <w:rsid w:val="00D6599F"/>
    <w:rPr>
      <w:rFonts w:ascii="Segoe UI" w:hAnsi="Segoe UI"/>
      <w:b/>
      <w:color w:val="0B0CAC"/>
      <w:lang w:val="en-GB"/>
    </w:rPr>
  </w:style>
  <w:style w:type="paragraph" w:styleId="Lijstnummering">
    <w:name w:val="List Number"/>
    <w:basedOn w:val="Standaard"/>
    <w:uiPriority w:val="99"/>
    <w:rsid w:val="004924B7"/>
    <w:pPr>
      <w:numPr>
        <w:numId w:val="4"/>
      </w:numPr>
      <w:spacing w:before="120" w:line="360" w:lineRule="auto"/>
    </w:pPr>
    <w:rPr>
      <w:rFonts w:ascii="Times New Roman" w:eastAsia="Times New Roman" w:hAnsi="Times New Roman" w:cs="Times New Roman"/>
      <w:sz w:val="24"/>
      <w:szCs w:val="20"/>
    </w:rPr>
  </w:style>
  <w:style w:type="paragraph" w:customStyle="1" w:styleId="ListNumberLevel2">
    <w:name w:val="List Number (Level 2)"/>
    <w:basedOn w:val="Standaard"/>
    <w:rsid w:val="004924B7"/>
    <w:pPr>
      <w:numPr>
        <w:ilvl w:val="1"/>
        <w:numId w:val="4"/>
      </w:numPr>
      <w:spacing w:before="120" w:line="360" w:lineRule="auto"/>
    </w:pPr>
    <w:rPr>
      <w:rFonts w:ascii="Times New Roman" w:eastAsia="Times New Roman" w:hAnsi="Times New Roman" w:cs="Times New Roman"/>
      <w:sz w:val="24"/>
      <w:szCs w:val="20"/>
    </w:rPr>
  </w:style>
  <w:style w:type="paragraph" w:customStyle="1" w:styleId="ListNumberLevel3">
    <w:name w:val="List Number (Level 3)"/>
    <w:basedOn w:val="Standaard"/>
    <w:rsid w:val="004924B7"/>
    <w:pPr>
      <w:numPr>
        <w:ilvl w:val="2"/>
        <w:numId w:val="4"/>
      </w:numPr>
      <w:spacing w:before="120" w:line="360" w:lineRule="auto"/>
    </w:pPr>
    <w:rPr>
      <w:rFonts w:ascii="Times New Roman" w:eastAsia="Times New Roman" w:hAnsi="Times New Roman" w:cs="Times New Roman"/>
      <w:sz w:val="24"/>
      <w:szCs w:val="20"/>
    </w:rPr>
  </w:style>
  <w:style w:type="character" w:customStyle="1" w:styleId="Kop3Char">
    <w:name w:val="Kop 3 Char"/>
    <w:basedOn w:val="Standaardalinea-lettertype"/>
    <w:link w:val="Kop3"/>
    <w:uiPriority w:val="9"/>
    <w:rsid w:val="00D6599F"/>
    <w:rPr>
      <w:rFonts w:ascii="Segoe UI" w:hAnsi="Segoe UI"/>
      <w:b/>
      <w:i/>
      <w:lang w:val="en-GB"/>
    </w:rPr>
  </w:style>
  <w:style w:type="character" w:customStyle="1" w:styleId="Kop4Char">
    <w:name w:val="Kop 4 Char"/>
    <w:basedOn w:val="Standaardalinea-lettertype"/>
    <w:link w:val="Kop4"/>
    <w:uiPriority w:val="9"/>
    <w:rsid w:val="00D6599F"/>
    <w:rPr>
      <w:rFonts w:ascii="Segoe UI" w:hAnsi="Segoe UI"/>
      <w:i/>
      <w:lang w:val="en-GB"/>
    </w:rPr>
  </w:style>
  <w:style w:type="paragraph" w:styleId="Ballontekst">
    <w:name w:val="Balloon Text"/>
    <w:basedOn w:val="Standaard"/>
    <w:link w:val="BallontekstChar"/>
    <w:uiPriority w:val="99"/>
    <w:semiHidden/>
    <w:unhideWhenUsed/>
    <w:rsid w:val="00DE3BEB"/>
    <w:pPr>
      <w:spacing w:line="240" w:lineRule="auto"/>
    </w:pPr>
    <w:rPr>
      <w:rFonts w:cs="Segoe UI"/>
      <w:sz w:val="18"/>
      <w:szCs w:val="18"/>
    </w:rPr>
  </w:style>
  <w:style w:type="character" w:customStyle="1" w:styleId="BallontekstChar">
    <w:name w:val="Ballontekst Char"/>
    <w:basedOn w:val="Standaardalinea-lettertype"/>
    <w:link w:val="Ballontekst"/>
    <w:uiPriority w:val="99"/>
    <w:semiHidden/>
    <w:rsid w:val="00DE3BEB"/>
    <w:rPr>
      <w:rFonts w:ascii="Segoe UI" w:hAnsi="Segoe UI" w:cs="Segoe UI"/>
      <w:sz w:val="18"/>
      <w:szCs w:val="18"/>
      <w:lang w:val="en-GB"/>
    </w:rPr>
  </w:style>
  <w:style w:type="paragraph" w:styleId="Kopvaninhoudsopgave">
    <w:name w:val="TOC Heading"/>
    <w:basedOn w:val="Kop1"/>
    <w:next w:val="Standaard"/>
    <w:uiPriority w:val="39"/>
    <w:unhideWhenUsed/>
    <w:qFormat/>
    <w:rsid w:val="00386A78"/>
    <w:pPr>
      <w:numPr>
        <w:numId w:val="0"/>
      </w:numPr>
      <w:spacing w:before="240"/>
      <w:jc w:val="left"/>
      <w:outlineLvl w:val="9"/>
    </w:pPr>
    <w:rPr>
      <w:rFonts w:asciiTheme="majorHAnsi" w:hAnsiTheme="majorHAnsi"/>
      <w:b w:val="0"/>
      <w:color w:val="2E74B5" w:themeColor="accent1" w:themeShade="BF"/>
      <w:sz w:val="32"/>
      <w:lang w:val="en-US"/>
    </w:rPr>
  </w:style>
  <w:style w:type="paragraph" w:styleId="Inhopg1">
    <w:name w:val="toc 1"/>
    <w:basedOn w:val="Standaard"/>
    <w:next w:val="Standaard"/>
    <w:autoRedefine/>
    <w:uiPriority w:val="39"/>
    <w:unhideWhenUsed/>
    <w:rsid w:val="00487B30"/>
    <w:pPr>
      <w:spacing w:after="100"/>
    </w:pPr>
  </w:style>
  <w:style w:type="paragraph" w:styleId="Inhopg2">
    <w:name w:val="toc 2"/>
    <w:basedOn w:val="Standaard"/>
    <w:next w:val="Standaard"/>
    <w:autoRedefine/>
    <w:uiPriority w:val="39"/>
    <w:unhideWhenUsed/>
    <w:rsid w:val="00386A78"/>
    <w:pPr>
      <w:spacing w:after="100"/>
      <w:ind w:left="220"/>
    </w:pPr>
  </w:style>
  <w:style w:type="paragraph" w:styleId="Inhopg3">
    <w:name w:val="toc 3"/>
    <w:basedOn w:val="Standaard"/>
    <w:next w:val="Standaard"/>
    <w:autoRedefine/>
    <w:uiPriority w:val="39"/>
    <w:unhideWhenUsed/>
    <w:rsid w:val="00386A78"/>
    <w:pPr>
      <w:spacing w:after="100"/>
      <w:ind w:left="440"/>
    </w:pPr>
  </w:style>
  <w:style w:type="character" w:styleId="Hyperlink">
    <w:name w:val="Hyperlink"/>
    <w:basedOn w:val="Standaardalinea-lettertype"/>
    <w:uiPriority w:val="99"/>
    <w:unhideWhenUsed/>
    <w:rsid w:val="00386A78"/>
    <w:rPr>
      <w:color w:val="0563C1" w:themeColor="hyperlink"/>
      <w:u w:val="single"/>
    </w:rPr>
  </w:style>
  <w:style w:type="numbering" w:customStyle="1" w:styleId="Style1">
    <w:name w:val="Style1"/>
    <w:uiPriority w:val="99"/>
    <w:rsid w:val="00386A78"/>
    <w:pPr>
      <w:numPr>
        <w:numId w:val="8"/>
      </w:numPr>
    </w:pPr>
  </w:style>
  <w:style w:type="numbering" w:customStyle="1" w:styleId="Style2">
    <w:name w:val="Style2"/>
    <w:uiPriority w:val="99"/>
    <w:rsid w:val="00CF2CB2"/>
    <w:pPr>
      <w:numPr>
        <w:numId w:val="15"/>
      </w:numPr>
    </w:pPr>
  </w:style>
  <w:style w:type="numbering" w:customStyle="1" w:styleId="Style3">
    <w:name w:val="Style3"/>
    <w:uiPriority w:val="99"/>
    <w:rsid w:val="00D31172"/>
    <w:pPr>
      <w:numPr>
        <w:numId w:val="18"/>
      </w:numPr>
    </w:pPr>
  </w:style>
  <w:style w:type="paragraph" w:customStyle="1" w:styleId="Appendices">
    <w:name w:val="Appendices"/>
    <w:basedOn w:val="Lijstalinea"/>
    <w:link w:val="AppendicesChar"/>
    <w:qFormat/>
    <w:rsid w:val="00487B30"/>
    <w:pPr>
      <w:numPr>
        <w:numId w:val="23"/>
      </w:numPr>
    </w:pPr>
    <w:rPr>
      <w:b/>
      <w:color w:val="0B0CAC"/>
      <w:lang w:val="en-US"/>
    </w:rPr>
  </w:style>
  <w:style w:type="character" w:customStyle="1" w:styleId="LijstalineaChar">
    <w:name w:val="Lijstalinea Char"/>
    <w:basedOn w:val="Standaardalinea-lettertype"/>
    <w:link w:val="Lijstalinea"/>
    <w:rsid w:val="00487B30"/>
    <w:rPr>
      <w:rFonts w:ascii="Segoe UI" w:hAnsi="Segoe UI"/>
      <w:lang w:val="en-GB"/>
    </w:rPr>
  </w:style>
  <w:style w:type="character" w:customStyle="1" w:styleId="AppendicesChar">
    <w:name w:val="Appendices Char"/>
    <w:basedOn w:val="LijstalineaChar"/>
    <w:link w:val="Appendices"/>
    <w:rsid w:val="00487B30"/>
    <w:rPr>
      <w:rFonts w:ascii="Segoe UI" w:hAnsi="Segoe UI"/>
      <w:b/>
      <w:color w:val="0B0CAC"/>
      <w:lang w:val="en-US"/>
    </w:rPr>
  </w:style>
  <w:style w:type="table" w:styleId="Tabelraster">
    <w:name w:val="Table Grid"/>
    <w:basedOn w:val="Standaardtabel"/>
    <w:uiPriority w:val="39"/>
    <w:rsid w:val="004774C5"/>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qFormat/>
    <w:rsid w:val="0052147E"/>
    <w:rPr>
      <w:b/>
      <w:bCs/>
    </w:rPr>
  </w:style>
  <w:style w:type="character" w:styleId="Verwijzingopmerking">
    <w:name w:val="annotation reference"/>
    <w:basedOn w:val="Standaardalinea-lettertype"/>
    <w:uiPriority w:val="99"/>
    <w:semiHidden/>
    <w:unhideWhenUsed/>
    <w:rsid w:val="000259D3"/>
    <w:rPr>
      <w:sz w:val="16"/>
      <w:szCs w:val="16"/>
    </w:rPr>
  </w:style>
  <w:style w:type="paragraph" w:styleId="Tekstopmerking">
    <w:name w:val="annotation text"/>
    <w:basedOn w:val="Standaard"/>
    <w:link w:val="TekstopmerkingChar"/>
    <w:uiPriority w:val="99"/>
    <w:unhideWhenUsed/>
    <w:rsid w:val="000259D3"/>
    <w:pPr>
      <w:spacing w:line="240" w:lineRule="auto"/>
    </w:pPr>
    <w:rPr>
      <w:sz w:val="20"/>
      <w:szCs w:val="20"/>
    </w:rPr>
  </w:style>
  <w:style w:type="character" w:customStyle="1" w:styleId="TekstopmerkingChar">
    <w:name w:val="Tekst opmerking Char"/>
    <w:basedOn w:val="Standaardalinea-lettertype"/>
    <w:link w:val="Tekstopmerking"/>
    <w:uiPriority w:val="99"/>
    <w:rsid w:val="000259D3"/>
    <w:rPr>
      <w:rFonts w:ascii="Segoe UI" w:hAnsi="Segoe UI"/>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0259D3"/>
    <w:rPr>
      <w:b/>
      <w:bCs/>
    </w:rPr>
  </w:style>
  <w:style w:type="character" w:customStyle="1" w:styleId="OnderwerpvanopmerkingChar">
    <w:name w:val="Onderwerp van opmerking Char"/>
    <w:basedOn w:val="TekstopmerkingChar"/>
    <w:link w:val="Onderwerpvanopmerking"/>
    <w:uiPriority w:val="99"/>
    <w:semiHidden/>
    <w:rsid w:val="000259D3"/>
    <w:rPr>
      <w:rFonts w:ascii="Segoe UI" w:hAnsi="Segoe U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dpr.eu/article-4-definitions/"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yperlink" Target="https://gdpr.eu/article-6-how-to-process-personal-data-legall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c.europa.eu/justice/data-protection/international-transfers/adequacy/index_en.htm"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dpr.eu/article-6-how-to-process-personal-data-legal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image" Target="media/image3.png"/><Relationship Id="rId19" Type="http://schemas.openxmlformats.org/officeDocument/2006/relationships/hyperlink" Target="https://gdpr.eu/article-6-how-to-process-personal-data-legall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customXml" Target="../customXml/item4.xml"/></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G0L0122N</Project_x0020_Ref.>
    <Code xmlns="d2b4f59a-05ce-4744-9d1c-9dd30147ee09">3H220637</Code>
    <FundingCallID xmlns="d2b4f59a-05ce-4744-9d1c-9dd30147ee09">39455</FundingCallID>
    <_dlc_DocId xmlns="d2b4f59a-05ce-4744-9d1c-9dd30147ee09">P4FNSWA4HVKW-73199252-11584</_dlc_DocId>
    <_dlc_DocIdUrl xmlns="d2b4f59a-05ce-4744-9d1c-9dd30147ee09">
      <Url>https://www.groupware.kuleuven.be/sites/dmpmt/_layouts/15/DocIdRedir.aspx?ID=P4FNSWA4HVKW-73199252-11584</Url>
      <Description>P4FNSWA4HVKW-73199252-11584</Description>
    </_dlc_DocIdUrl>
    <TypeDoc xmlns="de64d03d-2dbc-4782-9fbf-1d8df1c50cf7">Initial</TypeDoc>
    <FormID xmlns="d2b4f59a-05ce-4744-9d1c-9dd30147ee09">2321</FormID>
  </documentManagement>
</p:properties>
</file>

<file path=customXml/itemProps1.xml><?xml version="1.0" encoding="utf-8"?>
<ds:datastoreItem xmlns:ds="http://schemas.openxmlformats.org/officeDocument/2006/customXml" ds:itemID="{AD4B2A2A-9633-49B8-8EF7-E1553B90F17C}"/>
</file>

<file path=customXml/itemProps2.xml><?xml version="1.0" encoding="utf-8"?>
<ds:datastoreItem xmlns:ds="http://schemas.openxmlformats.org/officeDocument/2006/customXml" ds:itemID="{EB328198-02CD-4235-92DE-D5A4FE478157}"/>
</file>

<file path=customXml/itemProps3.xml><?xml version="1.0" encoding="utf-8"?>
<ds:datastoreItem xmlns:ds="http://schemas.openxmlformats.org/officeDocument/2006/customXml" ds:itemID="{6765E519-527F-4285-9FDC-7C29240D742E}"/>
</file>

<file path=customXml/itemProps4.xml><?xml version="1.0" encoding="utf-8"?>
<ds:datastoreItem xmlns:ds="http://schemas.openxmlformats.org/officeDocument/2006/customXml" ds:itemID="{9CE38BD1-7066-42F4-A7DF-446F2455EC54}"/>
</file>

<file path=customXml/itemProps5.xml><?xml version="1.0" encoding="utf-8"?>
<ds:datastoreItem xmlns:ds="http://schemas.openxmlformats.org/officeDocument/2006/customXml" ds:itemID="{800C45DF-3CE0-463F-BCFE-98D05501DB0E}"/>
</file>

<file path=docProps/app.xml><?xml version="1.0" encoding="utf-8"?>
<Properties xmlns="http://schemas.openxmlformats.org/officeDocument/2006/extended-properties" xmlns:vt="http://schemas.openxmlformats.org/officeDocument/2006/docPropsVTypes">
  <Template>Normal.dotm</Template>
  <TotalTime>2</TotalTime>
  <Pages>12</Pages>
  <Words>3594</Words>
  <Characters>19769</Characters>
  <Application>Microsoft Office Word</Application>
  <DocSecurity>0</DocSecurity>
  <Lines>164</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 Leuven</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Vissenberg</dc:creator>
  <cp:keywords/>
  <dc:description/>
  <cp:lastModifiedBy>Leen d'Haenens</cp:lastModifiedBy>
  <cp:revision>2</cp:revision>
  <dcterms:created xsi:type="dcterms:W3CDTF">2023-03-17T15:27:00Z</dcterms:created>
  <dcterms:modified xsi:type="dcterms:W3CDTF">2023-03-17T15:27:00Z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a1ce81dc-d8bb-4aba-a0d6-035b3fe8c836</vt:lpwstr>
  </property>
</Properties>
</file>