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5C9CD"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1B7B8D93"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6DF2FA8B" w14:textId="77777777" w:rsidR="003C48A9" w:rsidRDefault="003C48A9" w:rsidP="00AB3302">
      <w:pPr>
        <w:rPr>
          <w:bCs/>
        </w:rPr>
      </w:pPr>
    </w:p>
    <w:p w14:paraId="1D82A4E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7FCF5E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E7188E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49E3A1E" w14:textId="77777777" w:rsidR="00AB3302" w:rsidRDefault="00AB3302" w:rsidP="00F17D69">
      <w:pPr>
        <w:spacing w:after="120"/>
        <w:rPr>
          <w:bCs/>
        </w:rPr>
      </w:pPr>
    </w:p>
    <w:p w14:paraId="25288B42" w14:textId="77777777" w:rsidR="00E20180" w:rsidRDefault="00E20180" w:rsidP="00AE0BF5"/>
    <w:p w14:paraId="1F732E35" w14:textId="77777777" w:rsidR="00AB3302" w:rsidRDefault="00AB3302" w:rsidP="00AE0BF5">
      <w:pPr>
        <w:rPr>
          <w:rFonts w:cstheme="minorHAnsi"/>
        </w:rPr>
      </w:pPr>
    </w:p>
    <w:p w14:paraId="20C068D2" w14:textId="77777777" w:rsidR="00AB3302" w:rsidRDefault="00AB3302" w:rsidP="00AE0BF5">
      <w:pPr>
        <w:rPr>
          <w:rFonts w:cstheme="minorHAnsi"/>
        </w:rPr>
      </w:pPr>
    </w:p>
    <w:p w14:paraId="1081F14C"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5CDDC7BC" w14:textId="77777777" w:rsidTr="00306CBC">
        <w:trPr>
          <w:cantSplit/>
        </w:trPr>
        <w:tc>
          <w:tcPr>
            <w:tcW w:w="15593" w:type="dxa"/>
            <w:gridSpan w:val="2"/>
            <w:shd w:val="clear" w:color="auto" w:fill="5B9BD5" w:themeFill="accent5"/>
          </w:tcPr>
          <w:p w14:paraId="64129C24"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8FCFF60" w14:textId="77777777" w:rsidR="00202C9D" w:rsidRPr="00265950" w:rsidRDefault="00202C9D" w:rsidP="00306CBC">
            <w:pPr>
              <w:pStyle w:val="Lijstalinea"/>
              <w:ind w:left="1080"/>
              <w:rPr>
                <w:b/>
                <w:lang w:val="nl-BE"/>
              </w:rPr>
            </w:pPr>
          </w:p>
        </w:tc>
      </w:tr>
      <w:tr w:rsidR="00202C9D" w14:paraId="55BA514A" w14:textId="77777777" w:rsidTr="00306CBC">
        <w:trPr>
          <w:cantSplit/>
          <w:trHeight w:val="269"/>
        </w:trPr>
        <w:tc>
          <w:tcPr>
            <w:tcW w:w="4962" w:type="dxa"/>
          </w:tcPr>
          <w:p w14:paraId="43446A89"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2B7F18C" w14:textId="59CADA67" w:rsidR="00202C9D" w:rsidRPr="003605DF" w:rsidRDefault="001A0F8A" w:rsidP="00306CBC">
            <w:pPr>
              <w:rPr>
                <w:b/>
                <w:bCs/>
                <w:lang w:val="nl-BE"/>
              </w:rPr>
            </w:pPr>
            <w:r>
              <w:rPr>
                <w:b/>
                <w:bCs/>
                <w:lang w:val="nl-BE"/>
              </w:rPr>
              <w:t xml:space="preserve">Karel Allegaert, </w:t>
            </w:r>
            <w:r w:rsidR="00927F42">
              <w:rPr>
                <w:b/>
                <w:bCs/>
                <w:lang w:val="nl-BE"/>
              </w:rPr>
              <w:t>0000-0001-9921-5105</w:t>
            </w:r>
          </w:p>
        </w:tc>
      </w:tr>
      <w:tr w:rsidR="00202C9D" w14:paraId="37655FB1" w14:textId="77777777" w:rsidTr="00306CBC">
        <w:trPr>
          <w:cantSplit/>
          <w:trHeight w:val="633"/>
        </w:trPr>
        <w:tc>
          <w:tcPr>
            <w:tcW w:w="4962" w:type="dxa"/>
          </w:tcPr>
          <w:p w14:paraId="67CD5E05"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61FBB6D2" w14:textId="25AA098C" w:rsidR="00202C9D" w:rsidRDefault="001A0F8A" w:rsidP="00306CBC">
            <w:pPr>
              <w:rPr>
                <w:b/>
                <w:bCs/>
              </w:rPr>
            </w:pPr>
            <w:r>
              <w:rPr>
                <w:b/>
                <w:bCs/>
              </w:rPr>
              <w:t xml:space="preserve">Anne Smits, </w:t>
            </w:r>
            <w:r w:rsidR="00927F42">
              <w:rPr>
                <w:b/>
                <w:bCs/>
              </w:rPr>
              <w:t>0000-0002-0710-6698</w:t>
            </w:r>
          </w:p>
          <w:p w14:paraId="4C9CD35C" w14:textId="63F67FA4" w:rsidR="001A0F8A" w:rsidRPr="006C0CA3" w:rsidRDefault="001A0F8A" w:rsidP="00306CBC">
            <w:pPr>
              <w:rPr>
                <w:b/>
                <w:bCs/>
              </w:rPr>
            </w:pPr>
            <w:r>
              <w:rPr>
                <w:b/>
                <w:bCs/>
              </w:rPr>
              <w:t xml:space="preserve">Pieter Annaert, </w:t>
            </w:r>
            <w:r w:rsidR="00927F42">
              <w:rPr>
                <w:b/>
                <w:bCs/>
              </w:rPr>
              <w:t>0000-0003-3525-7351</w:t>
            </w:r>
          </w:p>
        </w:tc>
      </w:tr>
      <w:tr w:rsidR="00202C9D" w14:paraId="15A6A0E7" w14:textId="77777777" w:rsidTr="00306CBC">
        <w:trPr>
          <w:cantSplit/>
          <w:trHeight w:val="269"/>
        </w:trPr>
        <w:tc>
          <w:tcPr>
            <w:tcW w:w="4962" w:type="dxa"/>
          </w:tcPr>
          <w:p w14:paraId="4714D906"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1A757DA5" w14:textId="7790827F" w:rsidR="001A0F8A" w:rsidRPr="001A0F8A" w:rsidRDefault="00202C9D" w:rsidP="001A0F8A">
            <w:pPr>
              <w:pStyle w:val="Kop1"/>
              <w:shd w:val="clear" w:color="auto" w:fill="FFFFFF"/>
              <w:rPr>
                <w:rFonts w:asciiTheme="minorHAnsi" w:eastAsia="Times New Roman" w:hAnsiTheme="minorHAnsi" w:cstheme="minorHAnsi"/>
                <w:b/>
                <w:bCs/>
                <w:color w:val="004070"/>
                <w:kern w:val="36"/>
                <w:sz w:val="24"/>
                <w:szCs w:val="24"/>
                <w:lang w:val="en-US" w:eastAsia="nl-BE"/>
              </w:rPr>
            </w:pPr>
            <w:r w:rsidRPr="001A0F8A">
              <w:rPr>
                <w:lang w:val="en-US"/>
              </w:rPr>
              <w:t xml:space="preserve"> </w:t>
            </w:r>
            <w:r w:rsidR="001A0F8A" w:rsidRPr="001A0F8A">
              <w:rPr>
                <w:rFonts w:asciiTheme="minorHAnsi" w:eastAsia="Times New Roman" w:hAnsiTheme="minorHAnsi" w:cstheme="minorHAnsi"/>
                <w:b/>
                <w:bCs/>
                <w:color w:val="auto"/>
                <w:kern w:val="36"/>
                <w:sz w:val="24"/>
                <w:szCs w:val="24"/>
                <w:lang w:val="en-US" w:eastAsia="nl-BE"/>
              </w:rPr>
              <w:t xml:space="preserve">Repurposing Paracetamol to </w:t>
            </w:r>
            <w:proofErr w:type="spellStart"/>
            <w:r w:rsidR="001A0F8A" w:rsidRPr="001A0F8A">
              <w:rPr>
                <w:rFonts w:asciiTheme="minorHAnsi" w:eastAsia="Times New Roman" w:hAnsiTheme="minorHAnsi" w:cstheme="minorHAnsi"/>
                <w:b/>
                <w:bCs/>
                <w:color w:val="auto"/>
                <w:kern w:val="36"/>
                <w:sz w:val="24"/>
                <w:szCs w:val="24"/>
                <w:lang w:val="en-US" w:eastAsia="nl-BE"/>
              </w:rPr>
              <w:t>ImpRove</w:t>
            </w:r>
            <w:proofErr w:type="spellEnd"/>
            <w:r w:rsidR="001A0F8A" w:rsidRPr="001A0F8A">
              <w:rPr>
                <w:rFonts w:asciiTheme="minorHAnsi" w:eastAsia="Times New Roman" w:hAnsiTheme="minorHAnsi" w:cstheme="minorHAnsi"/>
                <w:b/>
                <w:bCs/>
                <w:color w:val="auto"/>
                <w:kern w:val="36"/>
                <w:sz w:val="24"/>
                <w:szCs w:val="24"/>
                <w:lang w:val="en-US" w:eastAsia="nl-BE"/>
              </w:rPr>
              <w:t xml:space="preserve"> </w:t>
            </w:r>
            <w:proofErr w:type="spellStart"/>
            <w:r w:rsidR="001A0F8A" w:rsidRPr="001A0F8A">
              <w:rPr>
                <w:rFonts w:asciiTheme="minorHAnsi" w:eastAsia="Times New Roman" w:hAnsiTheme="minorHAnsi" w:cstheme="minorHAnsi"/>
                <w:b/>
                <w:bCs/>
                <w:color w:val="auto"/>
                <w:kern w:val="36"/>
                <w:sz w:val="24"/>
                <w:szCs w:val="24"/>
                <w:lang w:val="en-US" w:eastAsia="nl-BE"/>
              </w:rPr>
              <w:t>NEOnatal</w:t>
            </w:r>
            <w:proofErr w:type="spellEnd"/>
            <w:r w:rsidR="001A0F8A" w:rsidRPr="001A0F8A">
              <w:rPr>
                <w:rFonts w:asciiTheme="minorHAnsi" w:eastAsia="Times New Roman" w:hAnsiTheme="minorHAnsi" w:cstheme="minorHAnsi"/>
                <w:b/>
                <w:bCs/>
                <w:color w:val="auto"/>
                <w:kern w:val="36"/>
                <w:sz w:val="24"/>
                <w:szCs w:val="24"/>
                <w:lang w:val="en-US" w:eastAsia="nl-BE"/>
              </w:rPr>
              <w:t xml:space="preserve"> asphyxia (REPAIR-NEO study)</w:t>
            </w:r>
            <w:r w:rsidR="001A0F8A" w:rsidRPr="001A0F8A">
              <w:rPr>
                <w:rFonts w:asciiTheme="minorHAnsi" w:eastAsia="Times New Roman" w:hAnsiTheme="minorHAnsi" w:cstheme="minorHAnsi"/>
                <w:b/>
                <w:bCs/>
                <w:color w:val="auto"/>
                <w:kern w:val="36"/>
                <w:sz w:val="24"/>
                <w:szCs w:val="24"/>
                <w:lang w:val="en-US" w:eastAsia="nl-BE"/>
              </w:rPr>
              <w:t xml:space="preserve">, </w:t>
            </w:r>
            <w:r w:rsidR="001A0F8A" w:rsidRPr="001A0F8A">
              <w:rPr>
                <w:rFonts w:asciiTheme="minorHAnsi" w:hAnsiTheme="minorHAnsi" w:cstheme="minorHAnsi"/>
                <w:b/>
                <w:bCs/>
                <w:color w:val="333333"/>
                <w:sz w:val="24"/>
                <w:szCs w:val="24"/>
                <w:shd w:val="clear" w:color="auto" w:fill="FFFFFF"/>
              </w:rPr>
              <w:t>CELSA/24/022</w:t>
            </w:r>
          </w:p>
          <w:p w14:paraId="05D69F36" w14:textId="2861D78B" w:rsidR="00202C9D" w:rsidRPr="001A0F8A" w:rsidRDefault="00202C9D" w:rsidP="00306CBC">
            <w:pPr>
              <w:rPr>
                <w:lang w:val="en-US"/>
              </w:rPr>
            </w:pPr>
          </w:p>
        </w:tc>
      </w:tr>
      <w:tr w:rsidR="00202C9D" w14:paraId="5B0B64F6" w14:textId="77777777" w:rsidTr="00306CBC">
        <w:trPr>
          <w:cantSplit/>
          <w:trHeight w:val="269"/>
        </w:trPr>
        <w:tc>
          <w:tcPr>
            <w:tcW w:w="4962" w:type="dxa"/>
          </w:tcPr>
          <w:p w14:paraId="34777FEE"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773A846" w14:textId="6BA9FDA2" w:rsidR="00202C9D" w:rsidRDefault="001A0F8A" w:rsidP="00306CBC">
            <w:pPr>
              <w:rPr>
                <w:lang w:val="nl-BE"/>
              </w:rPr>
            </w:pPr>
            <w:proofErr w:type="spellStart"/>
            <w:r>
              <w:rPr>
                <w:lang w:val="nl-BE"/>
              </w:rPr>
              <w:t>Not</w:t>
            </w:r>
            <w:proofErr w:type="spellEnd"/>
            <w:r>
              <w:rPr>
                <w:lang w:val="nl-BE"/>
              </w:rPr>
              <w:t xml:space="preserve"> </w:t>
            </w:r>
            <w:proofErr w:type="spellStart"/>
            <w:r>
              <w:rPr>
                <w:lang w:val="nl-BE"/>
              </w:rPr>
              <w:t>applicable</w:t>
            </w:r>
            <w:proofErr w:type="spellEnd"/>
          </w:p>
        </w:tc>
      </w:tr>
      <w:tr w:rsidR="00202C9D" w:rsidRPr="003716A8" w14:paraId="2FA581EF" w14:textId="77777777" w:rsidTr="00306CBC">
        <w:trPr>
          <w:cantSplit/>
          <w:trHeight w:val="269"/>
        </w:trPr>
        <w:tc>
          <w:tcPr>
            <w:tcW w:w="4962" w:type="dxa"/>
          </w:tcPr>
          <w:p w14:paraId="5F2D21E8" w14:textId="77777777" w:rsidR="00202C9D" w:rsidRPr="00B84C69" w:rsidRDefault="00202C9D" w:rsidP="00306CBC">
            <w:r w:rsidRPr="00C512C7">
              <w:t>Affiliation(s)</w:t>
            </w:r>
          </w:p>
        </w:tc>
        <w:tc>
          <w:tcPr>
            <w:tcW w:w="10631" w:type="dxa"/>
          </w:tcPr>
          <w:p w14:paraId="617ABABD" w14:textId="05F4ED26" w:rsidR="00202C9D" w:rsidRPr="004B2307" w:rsidRDefault="00202C9D" w:rsidP="00306CBC">
            <w:pPr>
              <w:rPr>
                <w:lang w:val="en-US"/>
              </w:rPr>
            </w:pPr>
            <w:r w:rsidRPr="004B2307">
              <w:rPr>
                <w:lang w:val="en-US"/>
              </w:rPr>
              <w:t xml:space="preserve"> KU Leuven </w:t>
            </w:r>
            <w:r w:rsidR="001A0F8A" w:rsidRPr="004B2307">
              <w:rPr>
                <w:lang w:val="en-US"/>
              </w:rPr>
              <w:t>(internal fund</w:t>
            </w:r>
            <w:r w:rsidR="004B2307" w:rsidRPr="004B2307">
              <w:rPr>
                <w:lang w:val="en-US"/>
              </w:rPr>
              <w:t>, CELSA</w:t>
            </w:r>
            <w:r w:rsidR="001A0F8A" w:rsidRPr="004B2307">
              <w:rPr>
                <w:lang w:val="en-US"/>
              </w:rPr>
              <w:t>)</w:t>
            </w:r>
          </w:p>
          <w:p w14:paraId="019797C1" w14:textId="350FA3A2" w:rsidR="00202C9D" w:rsidRPr="003716A8" w:rsidRDefault="00202C9D" w:rsidP="00C87DF9"/>
        </w:tc>
      </w:tr>
      <w:tr w:rsidR="00202C9D" w:rsidRPr="003716A8" w14:paraId="27649B51" w14:textId="77777777" w:rsidTr="001A0F8A">
        <w:trPr>
          <w:cantSplit/>
          <w:trHeight w:val="6794"/>
        </w:trPr>
        <w:tc>
          <w:tcPr>
            <w:tcW w:w="4962" w:type="dxa"/>
          </w:tcPr>
          <w:p w14:paraId="7B7677DA" w14:textId="77777777" w:rsidR="00202C9D" w:rsidRPr="00C512C7" w:rsidRDefault="00202C9D" w:rsidP="00306CBC">
            <w:r w:rsidRPr="003716A8">
              <w:lastRenderedPageBreak/>
              <w:t>Please provide a short project description</w:t>
            </w:r>
          </w:p>
        </w:tc>
        <w:tc>
          <w:tcPr>
            <w:tcW w:w="10631" w:type="dxa"/>
          </w:tcPr>
          <w:p w14:paraId="1A01C92E" w14:textId="77777777" w:rsidR="001A0F8A" w:rsidRDefault="001A0F8A" w:rsidP="001A0F8A">
            <w:pPr>
              <w:jc w:val="both"/>
              <w:rPr>
                <w:rFonts w:cstheme="minorHAnsi"/>
                <w:color w:val="333333"/>
                <w:shd w:val="clear" w:color="auto" w:fill="FFFFFF"/>
              </w:rPr>
            </w:pPr>
            <w:r w:rsidRPr="001A0F8A">
              <w:rPr>
                <w:rFonts w:cstheme="minorHAnsi"/>
                <w:color w:val="333333"/>
                <w:shd w:val="clear" w:color="auto" w:fill="FFFFFF"/>
              </w:rPr>
              <w:t xml:space="preserve">Paracetamol is a commonly prescribed drug in newborns to treat pain, fever, or induce closure of the patent ductus arteriosus. Preclinical studies also suggest possible neuroprotective effects in perinatal rodents. This holds the promise of potential repurposing for other indications in perinatal medicine, like moderate to severe hypoxic-ischemic encephalopathy (HIE). </w:t>
            </w:r>
          </w:p>
          <w:p w14:paraId="3B311286" w14:textId="77777777" w:rsidR="001A0F8A" w:rsidRDefault="001A0F8A" w:rsidP="001A0F8A">
            <w:pPr>
              <w:jc w:val="both"/>
              <w:rPr>
                <w:rFonts w:cstheme="minorHAnsi"/>
                <w:color w:val="333333"/>
                <w:shd w:val="clear" w:color="auto" w:fill="FFFFFF"/>
              </w:rPr>
            </w:pPr>
          </w:p>
          <w:p w14:paraId="0DC1C9C9" w14:textId="77777777" w:rsidR="001A0F8A" w:rsidRDefault="001A0F8A" w:rsidP="001A0F8A">
            <w:pPr>
              <w:jc w:val="both"/>
              <w:rPr>
                <w:rFonts w:cstheme="minorHAnsi"/>
                <w:color w:val="333333"/>
                <w:shd w:val="clear" w:color="auto" w:fill="FFFFFF"/>
              </w:rPr>
            </w:pPr>
            <w:r w:rsidRPr="001A0F8A">
              <w:rPr>
                <w:rFonts w:cstheme="minorHAnsi"/>
                <w:color w:val="333333"/>
                <w:shd w:val="clear" w:color="auto" w:fill="FFFFFF"/>
              </w:rPr>
              <w:t xml:space="preserve">Therapeutic hypothermia (TH) is currently the only therapeutic approach with a proven neuroprotective effect (number needed to treat 7). However, mortality or major morbidity is still too present (in 45% of TH cases, instead of 55%). We therefore intend to explore the potential add-on value of paracetamol in TH cases, and develop a preclinical workflow to do so. </w:t>
            </w:r>
          </w:p>
          <w:p w14:paraId="2AB67130" w14:textId="77777777" w:rsidR="001A0F8A" w:rsidRDefault="001A0F8A" w:rsidP="001A0F8A">
            <w:pPr>
              <w:jc w:val="both"/>
              <w:rPr>
                <w:rFonts w:cstheme="minorHAnsi"/>
                <w:color w:val="333333"/>
                <w:shd w:val="clear" w:color="auto" w:fill="FFFFFF"/>
              </w:rPr>
            </w:pPr>
          </w:p>
          <w:p w14:paraId="74906EC1" w14:textId="77777777" w:rsidR="00202C9D" w:rsidRDefault="001A0F8A" w:rsidP="001A0F8A">
            <w:pPr>
              <w:jc w:val="both"/>
              <w:rPr>
                <w:rFonts w:cstheme="minorHAnsi"/>
                <w:color w:val="333333"/>
                <w:shd w:val="clear" w:color="auto" w:fill="FFFFFF"/>
              </w:rPr>
            </w:pPr>
            <w:r w:rsidRPr="001A0F8A">
              <w:rPr>
                <w:rFonts w:cstheme="minorHAnsi"/>
                <w:color w:val="333333"/>
                <w:shd w:val="clear" w:color="auto" w:fill="FFFFFF"/>
              </w:rPr>
              <w:t>For these purposes, a modified in vivo model of Rice-Vannucci rat pup neonatal HIE followed by hypothermia and paracetamol treatment will be developed, with in vivo non-invasive MRI/MRS techniques, neurodevelopmental and cognitive-</w:t>
            </w:r>
            <w:proofErr w:type="spellStart"/>
            <w:r w:rsidRPr="001A0F8A">
              <w:rPr>
                <w:rFonts w:cstheme="minorHAnsi"/>
                <w:color w:val="333333"/>
                <w:shd w:val="clear" w:color="auto" w:fill="FFFFFF"/>
              </w:rPr>
              <w:t>behavioral</w:t>
            </w:r>
            <w:proofErr w:type="spellEnd"/>
            <w:r w:rsidRPr="001A0F8A">
              <w:rPr>
                <w:rFonts w:cstheme="minorHAnsi"/>
                <w:color w:val="333333"/>
                <w:shd w:val="clear" w:color="auto" w:fill="FFFFFF"/>
              </w:rPr>
              <w:t xml:space="preserve"> testing, and ex vivo histological imaging as exposure/effect outcome variables (Charles University) (</w:t>
            </w:r>
            <w:proofErr w:type="spellStart"/>
            <w:r w:rsidRPr="001A0F8A">
              <w:rPr>
                <w:rFonts w:cstheme="minorHAnsi"/>
                <w:color w:val="333333"/>
                <w:shd w:val="clear" w:color="auto" w:fill="FFFFFF"/>
              </w:rPr>
              <w:t>Obj</w:t>
            </w:r>
            <w:proofErr w:type="spellEnd"/>
            <w:r w:rsidRPr="001A0F8A">
              <w:rPr>
                <w:rFonts w:cstheme="minorHAnsi"/>
                <w:color w:val="333333"/>
                <w:shd w:val="clear" w:color="auto" w:fill="FFFFFF"/>
              </w:rPr>
              <w:t xml:space="preserve"> 1). To further enable translation to the human newborn, this will be supported by in vitro and in vivo data on intravenous paracetamol (</w:t>
            </w:r>
            <w:proofErr w:type="spellStart"/>
            <w:r w:rsidRPr="001A0F8A">
              <w:rPr>
                <w:rFonts w:cstheme="minorHAnsi"/>
                <w:color w:val="333333"/>
                <w:shd w:val="clear" w:color="auto" w:fill="FFFFFF"/>
              </w:rPr>
              <w:t>Obj</w:t>
            </w:r>
            <w:proofErr w:type="spellEnd"/>
            <w:r w:rsidRPr="001A0F8A">
              <w:rPr>
                <w:rFonts w:cstheme="minorHAnsi"/>
                <w:color w:val="333333"/>
                <w:shd w:val="clear" w:color="auto" w:fill="FFFFFF"/>
              </w:rPr>
              <w:t xml:space="preserve"> 2). The data of </w:t>
            </w:r>
            <w:proofErr w:type="spellStart"/>
            <w:r w:rsidRPr="001A0F8A">
              <w:rPr>
                <w:rFonts w:cstheme="minorHAnsi"/>
                <w:color w:val="333333"/>
                <w:shd w:val="clear" w:color="auto" w:fill="FFFFFF"/>
              </w:rPr>
              <w:t>Obj</w:t>
            </w:r>
            <w:proofErr w:type="spellEnd"/>
            <w:r w:rsidRPr="001A0F8A">
              <w:rPr>
                <w:rFonts w:cstheme="minorHAnsi"/>
                <w:color w:val="333333"/>
                <w:shd w:val="clear" w:color="auto" w:fill="FFFFFF"/>
              </w:rPr>
              <w:t xml:space="preserve"> 2 will subsequently be integrated in a physiologically-based pharmacokinetic model, specifically developed for TH-asphyxia neonates (</w:t>
            </w:r>
            <w:proofErr w:type="spellStart"/>
            <w:r w:rsidRPr="001A0F8A">
              <w:rPr>
                <w:rFonts w:cstheme="minorHAnsi"/>
                <w:color w:val="333333"/>
                <w:shd w:val="clear" w:color="auto" w:fill="FFFFFF"/>
              </w:rPr>
              <w:t>Obj</w:t>
            </w:r>
            <w:proofErr w:type="spellEnd"/>
            <w:r w:rsidRPr="001A0F8A">
              <w:rPr>
                <w:rFonts w:cstheme="minorHAnsi"/>
                <w:color w:val="333333"/>
                <w:shd w:val="clear" w:color="auto" w:fill="FFFFFF"/>
              </w:rPr>
              <w:t xml:space="preserve"> 3, I-PREDICT model, KU Leuven). This project may have compound specific impact in the event of positive signals, and evolve to a repurposing drug development plan and trial. Alternatively, we have created a interuniversity preclinical workflow that can be further developed and explored. Irrespective of the results, the collaboration can subsequently be converted to a broader international collaboration between both universities and beyond.</w:t>
            </w:r>
          </w:p>
          <w:p w14:paraId="6B540B08" w14:textId="77777777" w:rsidR="001A0F8A" w:rsidRDefault="001A0F8A" w:rsidP="001A0F8A">
            <w:pPr>
              <w:jc w:val="both"/>
              <w:rPr>
                <w:rFonts w:cstheme="minorHAnsi"/>
                <w:color w:val="333333"/>
                <w:shd w:val="clear" w:color="auto" w:fill="FFFFFF"/>
              </w:rPr>
            </w:pPr>
          </w:p>
          <w:p w14:paraId="4008A9BD" w14:textId="479915A5" w:rsidR="001A0F8A" w:rsidRPr="001A0F8A" w:rsidRDefault="001A0F8A" w:rsidP="001A0F8A">
            <w:pPr>
              <w:jc w:val="both"/>
              <w:rPr>
                <w:rFonts w:cstheme="minorHAnsi"/>
              </w:rPr>
            </w:pPr>
            <w:r>
              <w:rPr>
                <w:rFonts w:cstheme="minorHAnsi"/>
                <w:color w:val="333333"/>
                <w:shd w:val="clear" w:color="auto" w:fill="FFFFFF"/>
              </w:rPr>
              <w:t xml:space="preserve">When related to data management, KU Leuven is responsible for </w:t>
            </w:r>
            <w:proofErr w:type="spellStart"/>
            <w:r>
              <w:rPr>
                <w:rFonts w:cstheme="minorHAnsi"/>
                <w:color w:val="333333"/>
                <w:shd w:val="clear" w:color="auto" w:fill="FFFFFF"/>
              </w:rPr>
              <w:t>Obj</w:t>
            </w:r>
            <w:proofErr w:type="spellEnd"/>
            <w:r>
              <w:rPr>
                <w:rFonts w:cstheme="minorHAnsi"/>
                <w:color w:val="333333"/>
                <w:shd w:val="clear" w:color="auto" w:fill="FFFFFF"/>
              </w:rPr>
              <w:t xml:space="preserve"> 2 and </w:t>
            </w:r>
            <w:proofErr w:type="spellStart"/>
            <w:r>
              <w:rPr>
                <w:rFonts w:cstheme="minorHAnsi"/>
                <w:color w:val="333333"/>
                <w:shd w:val="clear" w:color="auto" w:fill="FFFFFF"/>
              </w:rPr>
              <w:t>Obj</w:t>
            </w:r>
            <w:proofErr w:type="spellEnd"/>
            <w:r>
              <w:rPr>
                <w:rFonts w:cstheme="minorHAnsi"/>
                <w:color w:val="333333"/>
                <w:shd w:val="clear" w:color="auto" w:fill="FFFFFF"/>
              </w:rPr>
              <w:t xml:space="preserve"> 3.</w:t>
            </w:r>
          </w:p>
        </w:tc>
      </w:tr>
    </w:tbl>
    <w:p w14:paraId="59A73C3B" w14:textId="77777777" w:rsidR="00AB3302" w:rsidRDefault="00AB3302" w:rsidP="00AE0BF5">
      <w:pPr>
        <w:rPr>
          <w:rFonts w:cstheme="minorHAnsi"/>
        </w:rPr>
      </w:pPr>
    </w:p>
    <w:p w14:paraId="7FBE7A0C" w14:textId="77777777" w:rsidR="00AB3302" w:rsidRDefault="00AB3302" w:rsidP="00AE0BF5">
      <w:pPr>
        <w:rPr>
          <w:rFonts w:cstheme="minorHAnsi"/>
        </w:rPr>
      </w:pPr>
    </w:p>
    <w:p w14:paraId="495D1DAA" w14:textId="77777777" w:rsidR="00FF09CC" w:rsidRDefault="00FF09CC" w:rsidP="00AE0BF5">
      <w:pPr>
        <w:rPr>
          <w:rFonts w:cstheme="minorHAnsi"/>
        </w:rPr>
      </w:pPr>
    </w:p>
    <w:p w14:paraId="1447CD9D" w14:textId="77777777" w:rsidR="00FF09CC" w:rsidRPr="00AE0BF5" w:rsidRDefault="00FF09CC" w:rsidP="00AE0BF5">
      <w:pPr>
        <w:rPr>
          <w:rFonts w:cstheme="minorHAnsi"/>
        </w:rPr>
      </w:pPr>
    </w:p>
    <w:p w14:paraId="21A7C51F" w14:textId="77777777" w:rsidR="5BB2912E" w:rsidRDefault="5BB2912E"/>
    <w:p w14:paraId="3C41FBDF"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22FD455D" w14:textId="77777777" w:rsidTr="00BA789F">
        <w:trPr>
          <w:cantSplit/>
          <w:trHeight w:val="269"/>
        </w:trPr>
        <w:tc>
          <w:tcPr>
            <w:tcW w:w="15593" w:type="dxa"/>
            <w:gridSpan w:val="2"/>
            <w:shd w:val="clear" w:color="auto" w:fill="5B9BD5" w:themeFill="accent5"/>
          </w:tcPr>
          <w:p w14:paraId="4A686A09"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22B8B4D0" w14:textId="77777777" w:rsidR="00BA789F" w:rsidRPr="00184881" w:rsidRDefault="00BA789F" w:rsidP="00184881"/>
        </w:tc>
      </w:tr>
      <w:tr w:rsidR="00184881" w:rsidRPr="00F42A6F" w14:paraId="65B027B6" w14:textId="77777777" w:rsidTr="00DF0787">
        <w:trPr>
          <w:cantSplit/>
          <w:trHeight w:val="269"/>
        </w:trPr>
        <w:tc>
          <w:tcPr>
            <w:tcW w:w="15593" w:type="dxa"/>
            <w:gridSpan w:val="2"/>
          </w:tcPr>
          <w:p w14:paraId="695AC44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1"/>
              <w:gridCol w:w="1940"/>
              <w:gridCol w:w="2312"/>
              <w:gridCol w:w="1348"/>
              <w:gridCol w:w="1974"/>
              <w:gridCol w:w="1968"/>
              <w:gridCol w:w="2107"/>
              <w:gridCol w:w="2137"/>
            </w:tblGrid>
            <w:tr w:rsidR="007B6EED" w14:paraId="1804800F" w14:textId="77777777" w:rsidTr="001A0F8A">
              <w:tc>
                <w:tcPr>
                  <w:tcW w:w="7181" w:type="dxa"/>
                  <w:gridSpan w:val="4"/>
                  <w:tcBorders>
                    <w:top w:val="nil"/>
                    <w:left w:val="nil"/>
                  </w:tcBorders>
                </w:tcPr>
                <w:p w14:paraId="5A296456" w14:textId="77777777" w:rsidR="007B6EED" w:rsidRPr="00184DDE" w:rsidRDefault="007B6EED" w:rsidP="00184881">
                  <w:pPr>
                    <w:rPr>
                      <w:sz w:val="20"/>
                    </w:rPr>
                  </w:pPr>
                </w:p>
              </w:tc>
              <w:tc>
                <w:tcPr>
                  <w:tcW w:w="1974" w:type="dxa"/>
                </w:tcPr>
                <w:p w14:paraId="00FB1116"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68" w:type="dxa"/>
                </w:tcPr>
                <w:p w14:paraId="3ACB244D"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07" w:type="dxa"/>
                </w:tcPr>
                <w:p w14:paraId="1E3C775E"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37" w:type="dxa"/>
                </w:tcPr>
                <w:p w14:paraId="10BC047A"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6F3ADAB2" w14:textId="77777777" w:rsidTr="001A0F8A">
              <w:tc>
                <w:tcPr>
                  <w:tcW w:w="1581" w:type="dxa"/>
                </w:tcPr>
                <w:p w14:paraId="7FB17AB7" w14:textId="77777777" w:rsidR="00202C9D" w:rsidRDefault="00202C9D" w:rsidP="00202C9D">
                  <w:r>
                    <w:t xml:space="preserve">Dataset </w:t>
                  </w:r>
                  <w:r w:rsidR="009E2081">
                    <w:t>N</w:t>
                  </w:r>
                  <w:r>
                    <w:t>ame</w:t>
                  </w:r>
                </w:p>
              </w:tc>
              <w:tc>
                <w:tcPr>
                  <w:tcW w:w="1940" w:type="dxa"/>
                </w:tcPr>
                <w:p w14:paraId="56BDB252" w14:textId="77777777" w:rsidR="00202C9D" w:rsidRDefault="00202C9D" w:rsidP="00202C9D">
                  <w:r>
                    <w:t>Description</w:t>
                  </w:r>
                </w:p>
              </w:tc>
              <w:tc>
                <w:tcPr>
                  <w:tcW w:w="2312" w:type="dxa"/>
                </w:tcPr>
                <w:p w14:paraId="466EC6BC" w14:textId="77777777" w:rsidR="00202C9D" w:rsidRPr="00FF0A6F" w:rsidRDefault="009E2081" w:rsidP="00202C9D">
                  <w:r w:rsidRPr="00FF0A6F">
                    <w:t>New or Reused</w:t>
                  </w:r>
                  <w:r w:rsidR="00202C9D" w:rsidRPr="00FF0A6F">
                    <w:t xml:space="preserve"> </w:t>
                  </w:r>
                </w:p>
              </w:tc>
              <w:tc>
                <w:tcPr>
                  <w:tcW w:w="1348" w:type="dxa"/>
                </w:tcPr>
                <w:p w14:paraId="22CAF70F" w14:textId="77777777" w:rsidR="00202C9D" w:rsidRDefault="009E2081" w:rsidP="00202C9D">
                  <w:r>
                    <w:t>Digital or Physical</w:t>
                  </w:r>
                  <w:r w:rsidR="00202C9D">
                    <w:t xml:space="preserve"> </w:t>
                  </w:r>
                </w:p>
              </w:tc>
              <w:tc>
                <w:tcPr>
                  <w:tcW w:w="1974" w:type="dxa"/>
                </w:tcPr>
                <w:p w14:paraId="5F74CF57" w14:textId="77777777" w:rsidR="00202C9D" w:rsidRDefault="00202C9D" w:rsidP="00202C9D">
                  <w:r>
                    <w:t>Digital Data Type</w:t>
                  </w:r>
                </w:p>
                <w:p w14:paraId="1F433518" w14:textId="77777777" w:rsidR="00202C9D" w:rsidRDefault="00202C9D" w:rsidP="00807DDC"/>
              </w:tc>
              <w:tc>
                <w:tcPr>
                  <w:tcW w:w="1968" w:type="dxa"/>
                </w:tcPr>
                <w:p w14:paraId="70589030" w14:textId="77777777" w:rsidR="00202C9D" w:rsidRDefault="00202C9D" w:rsidP="00202C9D">
                  <w:r>
                    <w:t xml:space="preserve">Digital Data Format </w:t>
                  </w:r>
                </w:p>
                <w:p w14:paraId="10A083AB" w14:textId="77777777" w:rsidR="00202C9D" w:rsidRDefault="00202C9D" w:rsidP="00184DDE"/>
              </w:tc>
              <w:tc>
                <w:tcPr>
                  <w:tcW w:w="2107" w:type="dxa"/>
                </w:tcPr>
                <w:p w14:paraId="78E7DEE8" w14:textId="77777777" w:rsidR="00202C9D" w:rsidRDefault="00202C9D" w:rsidP="00202C9D">
                  <w:r>
                    <w:t>Digital Data Volume (MB, GB, TB)</w:t>
                  </w:r>
                </w:p>
              </w:tc>
              <w:tc>
                <w:tcPr>
                  <w:tcW w:w="2137" w:type="dxa"/>
                </w:tcPr>
                <w:p w14:paraId="725F556D" w14:textId="77777777" w:rsidR="00202C9D" w:rsidRDefault="00202C9D" w:rsidP="00202C9D">
                  <w:r>
                    <w:t>Physical Volume</w:t>
                  </w:r>
                </w:p>
                <w:p w14:paraId="4E5D2D35" w14:textId="77777777" w:rsidR="00202C9D" w:rsidRDefault="00202C9D" w:rsidP="00202C9D"/>
                <w:p w14:paraId="679C38C5" w14:textId="77777777" w:rsidR="00202C9D" w:rsidRDefault="00202C9D" w:rsidP="00184DDE"/>
              </w:tc>
            </w:tr>
            <w:tr w:rsidR="00202C9D" w14:paraId="4B4CD409" w14:textId="77777777" w:rsidTr="001A0F8A">
              <w:tc>
                <w:tcPr>
                  <w:tcW w:w="1581" w:type="dxa"/>
                </w:tcPr>
                <w:p w14:paraId="6B313C24" w14:textId="77777777" w:rsidR="00202C9D" w:rsidRPr="001A0F8A" w:rsidRDefault="001A0F8A" w:rsidP="00202C9D">
                  <w:pPr>
                    <w:rPr>
                      <w:b/>
                      <w:bCs/>
                      <w:i/>
                      <w:iCs/>
                    </w:rPr>
                  </w:pPr>
                  <w:r w:rsidRPr="001A0F8A">
                    <w:rPr>
                      <w:b/>
                      <w:bCs/>
                      <w:i/>
                      <w:iCs/>
                    </w:rPr>
                    <w:t>Objective 2</w:t>
                  </w:r>
                </w:p>
                <w:p w14:paraId="3FE4C58A" w14:textId="72745C70" w:rsidR="001A0F8A" w:rsidRDefault="001A0F8A" w:rsidP="00202C9D">
                  <w:r w:rsidRPr="001A0F8A">
                    <w:rPr>
                      <w:b/>
                      <w:bCs/>
                      <w:i/>
                      <w:iCs/>
                    </w:rPr>
                    <w:t>In vitro</w:t>
                  </w:r>
                </w:p>
              </w:tc>
              <w:tc>
                <w:tcPr>
                  <w:tcW w:w="1940" w:type="dxa"/>
                </w:tcPr>
                <w:p w14:paraId="44F5CFBB" w14:textId="77777777" w:rsidR="00202C9D" w:rsidRDefault="001A0F8A" w:rsidP="00202C9D">
                  <w:r>
                    <w:t xml:space="preserve">In vitro hepatocyte studies, </w:t>
                  </w:r>
                </w:p>
                <w:p w14:paraId="467B281B" w14:textId="11D30F10" w:rsidR="001A0F8A" w:rsidRDefault="001A0F8A" w:rsidP="00202C9D">
                  <w:r>
                    <w:t>Paracetamol metabolism</w:t>
                  </w:r>
                </w:p>
              </w:tc>
              <w:tc>
                <w:tcPr>
                  <w:tcW w:w="2312" w:type="dxa"/>
                </w:tcPr>
                <w:p w14:paraId="7DBE8000" w14:textId="70F56420" w:rsidR="00202C9D" w:rsidRPr="00250516" w:rsidRDefault="004B2307"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1A0F8A">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0418B4C" w14:textId="4D2EAD99" w:rsidR="00202C9D" w:rsidRPr="000E6129" w:rsidRDefault="004B2307" w:rsidP="00202C9D">
                  <w:sdt>
                    <w:sdtPr>
                      <w:rPr>
                        <w:lang w:val="en-US"/>
                      </w:rPr>
                      <w:id w:val="-1773621054"/>
                      <w14:checkbox>
                        <w14:checked w14:val="1"/>
                        <w14:checkedState w14:val="2612" w14:font="MS Gothic"/>
                        <w14:uncheckedState w14:val="2610" w14:font="MS Gothic"/>
                      </w14:checkbox>
                    </w:sdtPr>
                    <w:sdtEndPr/>
                    <w:sdtContent>
                      <w:r w:rsidR="00BF2048">
                        <w:rPr>
                          <w:rFonts w:ascii="MS Gothic" w:eastAsia="MS Gothic" w:hAnsi="MS Gothic" w:hint="eastAsia"/>
                          <w:lang w:val="en-US"/>
                        </w:rPr>
                        <w:t>☒</w:t>
                      </w:r>
                    </w:sdtContent>
                  </w:sdt>
                  <w:r w:rsidR="00202C9D" w:rsidRPr="00250516">
                    <w:rPr>
                      <w:lang w:val="en-US"/>
                    </w:rPr>
                    <w:t xml:space="preserve"> Reuse existing data</w:t>
                  </w:r>
                </w:p>
              </w:tc>
              <w:tc>
                <w:tcPr>
                  <w:tcW w:w="1348" w:type="dxa"/>
                </w:tcPr>
                <w:p w14:paraId="3D89897F" w14:textId="0BCEFF25" w:rsidR="00202C9D" w:rsidRPr="00250516" w:rsidRDefault="004B2307"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1A0F8A">
                        <w:rPr>
                          <w:rFonts w:ascii="MS Gothic" w:eastAsia="MS Gothic" w:hAnsi="MS Gothic" w:hint="eastAsia"/>
                          <w:lang w:val="en-US"/>
                        </w:rPr>
                        <w:t>☒</w:t>
                      </w:r>
                    </w:sdtContent>
                  </w:sdt>
                  <w:r w:rsidR="00202C9D">
                    <w:rPr>
                      <w:lang w:val="en-US"/>
                    </w:rPr>
                    <w:t xml:space="preserve"> Digital</w:t>
                  </w:r>
                </w:p>
                <w:p w14:paraId="606CB164" w14:textId="77777777" w:rsidR="00202C9D" w:rsidRDefault="004B2307"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74" w:type="dxa"/>
                </w:tcPr>
                <w:p w14:paraId="44DE2484" w14:textId="77777777" w:rsidR="00202C9D" w:rsidRPr="00250516" w:rsidRDefault="004B2307"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192BB7F8" w14:textId="77777777" w:rsidR="00202C9D" w:rsidRDefault="004B2307"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3D3D5AAB" w14:textId="77777777" w:rsidR="00202C9D" w:rsidRDefault="004B2307"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5CC2716" w14:textId="30C2F128" w:rsidR="00202C9D" w:rsidRDefault="004B2307" w:rsidP="00202C9D">
                  <w:pPr>
                    <w:rPr>
                      <w:lang w:val="en-US"/>
                    </w:rPr>
                  </w:pPr>
                  <w:sdt>
                    <w:sdtPr>
                      <w:rPr>
                        <w:lang w:val="en-US"/>
                      </w:rPr>
                      <w:id w:val="-727300673"/>
                      <w14:checkbox>
                        <w14:checked w14:val="1"/>
                        <w14:checkedState w14:val="2612" w14:font="MS Gothic"/>
                        <w14:uncheckedState w14:val="2610" w14:font="MS Gothic"/>
                      </w14:checkbox>
                    </w:sdtPr>
                    <w:sdtEndPr/>
                    <w:sdtContent>
                      <w:r w:rsidR="001A0F8A">
                        <w:rPr>
                          <w:rFonts w:ascii="MS Gothic" w:eastAsia="MS Gothic" w:hAnsi="MS Gothic" w:hint="eastAsia"/>
                          <w:lang w:val="en-US"/>
                        </w:rPr>
                        <w:t>☒</w:t>
                      </w:r>
                    </w:sdtContent>
                  </w:sdt>
                  <w:r w:rsidR="00202C9D">
                    <w:rPr>
                      <w:lang w:val="en-US"/>
                    </w:rPr>
                    <w:t xml:space="preserve"> </w:t>
                  </w:r>
                  <w:r w:rsidR="00FF0A6F">
                    <w:rPr>
                      <w:lang w:val="en-US"/>
                    </w:rPr>
                    <w:t>Numerical</w:t>
                  </w:r>
                </w:p>
                <w:p w14:paraId="34047672" w14:textId="77777777" w:rsidR="00202C9D" w:rsidRDefault="004B2307"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2A40CC35" w14:textId="77777777" w:rsidR="00202C9D" w:rsidRDefault="004B2307"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2E6CA19" w14:textId="77777777" w:rsidR="00FF0A6F" w:rsidRDefault="004B2307"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3AE3E771" w14:textId="77777777" w:rsidR="00202C9D" w:rsidRDefault="004B2307"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68" w:type="dxa"/>
                </w:tcPr>
                <w:p w14:paraId="5432A308" w14:textId="657C6FB9" w:rsidR="00202C9D" w:rsidRDefault="001A0F8A" w:rsidP="00202C9D">
                  <w:pPr>
                    <w:rPr>
                      <w:lang w:val="en-US"/>
                    </w:rPr>
                  </w:pPr>
                  <w:r>
                    <w:rPr>
                      <w:lang w:val="en-US"/>
                    </w:rPr>
                    <w:t>excel</w:t>
                  </w:r>
                </w:p>
              </w:tc>
              <w:tc>
                <w:tcPr>
                  <w:tcW w:w="2107" w:type="dxa"/>
                </w:tcPr>
                <w:p w14:paraId="35A54099" w14:textId="4047C776" w:rsidR="00202C9D" w:rsidRDefault="004B2307"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1A0F8A">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FAC0D7E" w14:textId="77777777" w:rsidR="00202C9D" w:rsidRDefault="004B2307"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268E616F" w14:textId="77777777" w:rsidR="00202C9D" w:rsidRDefault="004B2307"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3F3C9DD1" w14:textId="77777777" w:rsidR="00202C9D" w:rsidRPr="00250516" w:rsidRDefault="004B2307"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137F2123" w14:textId="77777777" w:rsidR="00202C9D" w:rsidRDefault="004B2307"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F26F6C3" w14:textId="77777777" w:rsidR="00202C9D" w:rsidRDefault="004B2307"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4D54F69" w14:textId="77777777" w:rsidR="00202C9D" w:rsidRDefault="00202C9D" w:rsidP="00202C9D"/>
              </w:tc>
              <w:tc>
                <w:tcPr>
                  <w:tcW w:w="2137" w:type="dxa"/>
                </w:tcPr>
                <w:p w14:paraId="66544E4D" w14:textId="77777777" w:rsidR="00202C9D" w:rsidRDefault="00202C9D" w:rsidP="00202C9D"/>
              </w:tc>
            </w:tr>
            <w:tr w:rsidR="001A0F8A" w14:paraId="32CF75CD" w14:textId="77777777" w:rsidTr="001A0F8A">
              <w:tc>
                <w:tcPr>
                  <w:tcW w:w="1581" w:type="dxa"/>
                </w:tcPr>
                <w:p w14:paraId="097FAEBA" w14:textId="77777777" w:rsidR="001A0F8A" w:rsidRPr="001A0F8A" w:rsidRDefault="001A0F8A" w:rsidP="001A0F8A">
                  <w:pPr>
                    <w:rPr>
                      <w:rFonts w:cstheme="minorHAnsi"/>
                      <w:b/>
                      <w:bCs/>
                      <w:i/>
                      <w:iCs/>
                    </w:rPr>
                  </w:pPr>
                  <w:r w:rsidRPr="001A0F8A">
                    <w:rPr>
                      <w:rFonts w:cstheme="minorHAnsi"/>
                      <w:b/>
                      <w:bCs/>
                      <w:i/>
                      <w:iCs/>
                    </w:rPr>
                    <w:t>Objective 2</w:t>
                  </w:r>
                </w:p>
                <w:p w14:paraId="5D6F44F8" w14:textId="623C4F01" w:rsidR="001A0F8A" w:rsidRPr="001A0F8A" w:rsidRDefault="001A0F8A" w:rsidP="001A0F8A">
                  <w:pPr>
                    <w:rPr>
                      <w:rFonts w:cstheme="minorHAnsi"/>
                    </w:rPr>
                  </w:pPr>
                  <w:r w:rsidRPr="001A0F8A">
                    <w:rPr>
                      <w:rFonts w:cstheme="minorHAnsi"/>
                      <w:b/>
                      <w:bCs/>
                      <w:i/>
                      <w:iCs/>
                    </w:rPr>
                    <w:t>In vivo</w:t>
                  </w:r>
                </w:p>
              </w:tc>
              <w:tc>
                <w:tcPr>
                  <w:tcW w:w="1940" w:type="dxa"/>
                </w:tcPr>
                <w:p w14:paraId="10B5C6EC" w14:textId="25CF713E" w:rsidR="001A0F8A" w:rsidRPr="001A0F8A" w:rsidRDefault="001A0F8A" w:rsidP="001A0F8A">
                  <w:pPr>
                    <w:rPr>
                      <w:rFonts w:cstheme="minorHAnsi"/>
                    </w:rPr>
                  </w:pPr>
                  <w:r w:rsidRPr="001A0F8A">
                    <w:rPr>
                      <w:rFonts w:cstheme="minorHAnsi"/>
                    </w:rPr>
                    <w:t>Pharmacokinetics of iv paracetamol in neonates (in vivo)</w:t>
                  </w:r>
                </w:p>
              </w:tc>
              <w:tc>
                <w:tcPr>
                  <w:tcW w:w="2312" w:type="dxa"/>
                </w:tcPr>
                <w:p w14:paraId="168D3D8B" w14:textId="43DB727C" w:rsidR="001A0F8A" w:rsidRPr="001A0F8A" w:rsidRDefault="001A0F8A" w:rsidP="001A0F8A">
                  <w:pPr>
                    <w:rPr>
                      <w:rFonts w:cstheme="minorHAnsi"/>
                      <w:lang w:val="en-US"/>
                    </w:rPr>
                  </w:pPr>
                  <w:sdt>
                    <w:sdtPr>
                      <w:rPr>
                        <w:rFonts w:cstheme="minorHAnsi"/>
                        <w:lang w:val="en-US"/>
                      </w:rPr>
                      <w:id w:val="1215470445"/>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Generate new data</w:t>
                  </w:r>
                </w:p>
                <w:p w14:paraId="289D03A2" w14:textId="78C049FF" w:rsidR="001A0F8A" w:rsidRPr="001A0F8A" w:rsidRDefault="001A0F8A" w:rsidP="001A0F8A">
                  <w:pPr>
                    <w:rPr>
                      <w:rFonts w:eastAsia="MS Gothic" w:cstheme="minorHAnsi"/>
                      <w:lang w:val="en-US"/>
                    </w:rPr>
                  </w:pPr>
                  <w:sdt>
                    <w:sdtPr>
                      <w:rPr>
                        <w:rFonts w:cstheme="minorHAnsi"/>
                        <w:lang w:val="en-US"/>
                      </w:rPr>
                      <w:id w:val="148338930"/>
                      <w14:checkbox>
                        <w14:checked w14:val="1"/>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Reuse existing data</w:t>
                  </w:r>
                </w:p>
              </w:tc>
              <w:tc>
                <w:tcPr>
                  <w:tcW w:w="1348" w:type="dxa"/>
                </w:tcPr>
                <w:p w14:paraId="581552E2" w14:textId="77777777" w:rsidR="001A0F8A" w:rsidRPr="001A0F8A" w:rsidRDefault="001A0F8A" w:rsidP="001A0F8A">
                  <w:pPr>
                    <w:rPr>
                      <w:rFonts w:cstheme="minorHAnsi"/>
                      <w:lang w:val="en-US"/>
                    </w:rPr>
                  </w:pPr>
                  <w:sdt>
                    <w:sdtPr>
                      <w:rPr>
                        <w:rFonts w:cstheme="minorHAnsi"/>
                        <w:lang w:val="en-US"/>
                      </w:rPr>
                      <w:id w:val="1687557629"/>
                      <w14:checkbox>
                        <w14:checked w14:val="1"/>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Digital</w:t>
                  </w:r>
                </w:p>
                <w:p w14:paraId="2AA124A9" w14:textId="45198610" w:rsidR="001A0F8A" w:rsidRPr="001A0F8A" w:rsidRDefault="001A0F8A" w:rsidP="001A0F8A">
                  <w:pPr>
                    <w:rPr>
                      <w:rFonts w:eastAsia="MS Gothic" w:cstheme="minorHAnsi"/>
                      <w:lang w:val="en-US"/>
                    </w:rPr>
                  </w:pPr>
                  <w:sdt>
                    <w:sdtPr>
                      <w:rPr>
                        <w:rFonts w:cstheme="minorHAnsi"/>
                        <w:lang w:val="en-US"/>
                      </w:rPr>
                      <w:id w:val="-435525562"/>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Physical</w:t>
                  </w:r>
                </w:p>
              </w:tc>
              <w:tc>
                <w:tcPr>
                  <w:tcW w:w="1974" w:type="dxa"/>
                </w:tcPr>
                <w:p w14:paraId="14CB3634" w14:textId="77777777" w:rsidR="001A0F8A" w:rsidRPr="001A0F8A" w:rsidRDefault="001A0F8A" w:rsidP="001A0F8A">
                  <w:pPr>
                    <w:rPr>
                      <w:rFonts w:cstheme="minorHAnsi"/>
                      <w:lang w:val="en-US"/>
                    </w:rPr>
                  </w:pPr>
                  <w:sdt>
                    <w:sdtPr>
                      <w:rPr>
                        <w:rFonts w:cstheme="minorHAnsi"/>
                        <w:lang w:val="en-US"/>
                      </w:rPr>
                      <w:id w:val="-501972633"/>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Audiovisual</w:t>
                  </w:r>
                </w:p>
                <w:p w14:paraId="52EB1758" w14:textId="77777777" w:rsidR="001A0F8A" w:rsidRPr="001A0F8A" w:rsidRDefault="001A0F8A" w:rsidP="001A0F8A">
                  <w:pPr>
                    <w:rPr>
                      <w:rFonts w:cstheme="minorHAnsi"/>
                      <w:lang w:val="en-US"/>
                    </w:rPr>
                  </w:pPr>
                  <w:sdt>
                    <w:sdtPr>
                      <w:rPr>
                        <w:rFonts w:cstheme="minorHAnsi"/>
                        <w:lang w:val="en-US"/>
                      </w:rPr>
                      <w:id w:val="-1757972928"/>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Images</w:t>
                  </w:r>
                </w:p>
                <w:p w14:paraId="1FEB7C7D" w14:textId="77777777" w:rsidR="001A0F8A" w:rsidRPr="001A0F8A" w:rsidRDefault="001A0F8A" w:rsidP="001A0F8A">
                  <w:pPr>
                    <w:rPr>
                      <w:rFonts w:cstheme="minorHAnsi"/>
                      <w:lang w:val="en-US"/>
                    </w:rPr>
                  </w:pPr>
                  <w:sdt>
                    <w:sdtPr>
                      <w:rPr>
                        <w:rFonts w:cstheme="minorHAnsi"/>
                        <w:lang w:val="en-US"/>
                      </w:rPr>
                      <w:id w:val="-686299135"/>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Sound</w:t>
                  </w:r>
                </w:p>
                <w:p w14:paraId="28138202" w14:textId="77777777" w:rsidR="001A0F8A" w:rsidRPr="001A0F8A" w:rsidRDefault="001A0F8A" w:rsidP="001A0F8A">
                  <w:pPr>
                    <w:rPr>
                      <w:rFonts w:cstheme="minorHAnsi"/>
                      <w:lang w:val="en-US"/>
                    </w:rPr>
                  </w:pPr>
                  <w:sdt>
                    <w:sdtPr>
                      <w:rPr>
                        <w:rFonts w:cstheme="minorHAnsi"/>
                        <w:lang w:val="en-US"/>
                      </w:rPr>
                      <w:id w:val="-820192675"/>
                      <w14:checkbox>
                        <w14:checked w14:val="1"/>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Numerical</w:t>
                  </w:r>
                </w:p>
                <w:p w14:paraId="0F6F3BDB" w14:textId="77777777" w:rsidR="001A0F8A" w:rsidRPr="001A0F8A" w:rsidRDefault="001A0F8A" w:rsidP="001A0F8A">
                  <w:pPr>
                    <w:rPr>
                      <w:rFonts w:cstheme="minorHAnsi"/>
                      <w:lang w:val="en-US"/>
                    </w:rPr>
                  </w:pPr>
                  <w:sdt>
                    <w:sdtPr>
                      <w:rPr>
                        <w:rFonts w:cstheme="minorHAnsi"/>
                        <w:lang w:val="en-US"/>
                      </w:rPr>
                      <w:id w:val="-1728446062"/>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Textual</w:t>
                  </w:r>
                </w:p>
                <w:p w14:paraId="3957EBB8" w14:textId="77777777" w:rsidR="001A0F8A" w:rsidRPr="001A0F8A" w:rsidRDefault="001A0F8A" w:rsidP="001A0F8A">
                  <w:pPr>
                    <w:rPr>
                      <w:rFonts w:cstheme="minorHAnsi"/>
                      <w:lang w:val="en-US"/>
                    </w:rPr>
                  </w:pPr>
                  <w:sdt>
                    <w:sdtPr>
                      <w:rPr>
                        <w:rFonts w:cstheme="minorHAnsi"/>
                        <w:lang w:val="en-US"/>
                      </w:rPr>
                      <w:id w:val="-1749259660"/>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Model</w:t>
                  </w:r>
                </w:p>
                <w:p w14:paraId="7CFABD4B" w14:textId="77777777" w:rsidR="001A0F8A" w:rsidRPr="001A0F8A" w:rsidRDefault="001A0F8A" w:rsidP="001A0F8A">
                  <w:pPr>
                    <w:rPr>
                      <w:rFonts w:cstheme="minorHAnsi"/>
                      <w:lang w:val="en-US"/>
                    </w:rPr>
                  </w:pPr>
                  <w:sdt>
                    <w:sdtPr>
                      <w:rPr>
                        <w:rFonts w:cstheme="minorHAnsi"/>
                        <w:lang w:val="en-US"/>
                      </w:rPr>
                      <w:id w:val="1199207818"/>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Software</w:t>
                  </w:r>
                </w:p>
                <w:p w14:paraId="030833D3" w14:textId="3A3CE314" w:rsidR="001A0F8A" w:rsidRPr="001A0F8A" w:rsidRDefault="001A0F8A" w:rsidP="001A0F8A">
                  <w:pPr>
                    <w:rPr>
                      <w:rFonts w:eastAsia="MS Gothic" w:cstheme="minorHAnsi"/>
                      <w:lang w:val="en-US"/>
                    </w:rPr>
                  </w:pPr>
                  <w:sdt>
                    <w:sdtPr>
                      <w:rPr>
                        <w:rFonts w:cstheme="minorHAnsi"/>
                        <w:lang w:val="en-US"/>
                      </w:rPr>
                      <w:id w:val="-2136392370"/>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Other:</w:t>
                  </w:r>
                </w:p>
              </w:tc>
              <w:tc>
                <w:tcPr>
                  <w:tcW w:w="1968" w:type="dxa"/>
                </w:tcPr>
                <w:p w14:paraId="6CB8E39E" w14:textId="0F58A023" w:rsidR="001A0F8A" w:rsidRPr="001A0F8A" w:rsidRDefault="001A0F8A" w:rsidP="001A0F8A">
                  <w:pPr>
                    <w:rPr>
                      <w:rFonts w:eastAsia="MS Gothic" w:cstheme="minorHAnsi"/>
                      <w:lang w:val="en-US"/>
                    </w:rPr>
                  </w:pPr>
                  <w:r w:rsidRPr="001A0F8A">
                    <w:rPr>
                      <w:rFonts w:eastAsia="MS Gothic" w:cstheme="minorHAnsi"/>
                      <w:lang w:val="en-US"/>
                    </w:rPr>
                    <w:t xml:space="preserve">Excel, </w:t>
                  </w:r>
                  <w:proofErr w:type="spellStart"/>
                  <w:r w:rsidRPr="001A0F8A">
                    <w:rPr>
                      <w:rFonts w:eastAsia="MS Gothic" w:cstheme="minorHAnsi"/>
                      <w:lang w:val="en-US"/>
                    </w:rPr>
                    <w:t>RedCap</w:t>
                  </w:r>
                  <w:proofErr w:type="spellEnd"/>
                </w:p>
              </w:tc>
              <w:tc>
                <w:tcPr>
                  <w:tcW w:w="2107" w:type="dxa"/>
                </w:tcPr>
                <w:p w14:paraId="09EBCD2A" w14:textId="77777777" w:rsidR="001A0F8A" w:rsidRPr="001A0F8A" w:rsidRDefault="001A0F8A" w:rsidP="001A0F8A">
                  <w:pPr>
                    <w:rPr>
                      <w:rFonts w:cstheme="minorHAnsi"/>
                      <w:lang w:val="en-US"/>
                    </w:rPr>
                  </w:pPr>
                  <w:sdt>
                    <w:sdtPr>
                      <w:rPr>
                        <w:rFonts w:cstheme="minorHAnsi"/>
                        <w:lang w:val="en-US"/>
                      </w:rPr>
                      <w:id w:val="-421487562"/>
                      <w14:checkbox>
                        <w14:checked w14:val="1"/>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&lt; 1 GB</w:t>
                  </w:r>
                </w:p>
                <w:p w14:paraId="362A7423" w14:textId="77777777" w:rsidR="001A0F8A" w:rsidRPr="001A0F8A" w:rsidRDefault="001A0F8A" w:rsidP="001A0F8A">
                  <w:pPr>
                    <w:rPr>
                      <w:rFonts w:cstheme="minorHAnsi"/>
                      <w:lang w:val="en-US"/>
                    </w:rPr>
                  </w:pPr>
                  <w:sdt>
                    <w:sdtPr>
                      <w:rPr>
                        <w:rFonts w:cstheme="minorHAnsi"/>
                        <w:lang w:val="en-US"/>
                      </w:rPr>
                      <w:id w:val="445506374"/>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&lt; 100 GB</w:t>
                  </w:r>
                </w:p>
                <w:p w14:paraId="15B63F2E" w14:textId="77777777" w:rsidR="001A0F8A" w:rsidRPr="001A0F8A" w:rsidRDefault="001A0F8A" w:rsidP="001A0F8A">
                  <w:pPr>
                    <w:rPr>
                      <w:rFonts w:cstheme="minorHAnsi"/>
                      <w:lang w:val="en-US"/>
                    </w:rPr>
                  </w:pPr>
                  <w:sdt>
                    <w:sdtPr>
                      <w:rPr>
                        <w:rFonts w:cstheme="minorHAnsi"/>
                        <w:lang w:val="en-US"/>
                      </w:rPr>
                      <w:id w:val="1400630336"/>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&lt; 1 TB</w:t>
                  </w:r>
                </w:p>
                <w:p w14:paraId="0BA280BC" w14:textId="77777777" w:rsidR="001A0F8A" w:rsidRPr="001A0F8A" w:rsidRDefault="001A0F8A" w:rsidP="001A0F8A">
                  <w:pPr>
                    <w:rPr>
                      <w:rFonts w:cstheme="minorHAnsi"/>
                      <w:lang w:val="en-US"/>
                    </w:rPr>
                  </w:pPr>
                  <w:sdt>
                    <w:sdtPr>
                      <w:rPr>
                        <w:rFonts w:cstheme="minorHAnsi"/>
                        <w:lang w:val="en-US"/>
                      </w:rPr>
                      <w:id w:val="-924417894"/>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&lt; 5 TB</w:t>
                  </w:r>
                </w:p>
                <w:p w14:paraId="74316889" w14:textId="77777777" w:rsidR="001A0F8A" w:rsidRPr="001A0F8A" w:rsidRDefault="001A0F8A" w:rsidP="001A0F8A">
                  <w:pPr>
                    <w:rPr>
                      <w:rFonts w:cstheme="minorHAnsi"/>
                      <w:lang w:val="en-US"/>
                    </w:rPr>
                  </w:pPr>
                  <w:sdt>
                    <w:sdtPr>
                      <w:rPr>
                        <w:rFonts w:cstheme="minorHAnsi"/>
                        <w:lang w:val="en-US"/>
                      </w:rPr>
                      <w:id w:val="-550147369"/>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&gt; 5 TB</w:t>
                  </w:r>
                </w:p>
                <w:p w14:paraId="26845179" w14:textId="77777777" w:rsidR="001A0F8A" w:rsidRPr="001A0F8A" w:rsidRDefault="001A0F8A" w:rsidP="001A0F8A">
                  <w:pPr>
                    <w:rPr>
                      <w:rFonts w:cstheme="minorHAnsi"/>
                      <w:lang w:val="en-US"/>
                    </w:rPr>
                  </w:pPr>
                  <w:sdt>
                    <w:sdtPr>
                      <w:rPr>
                        <w:rFonts w:cstheme="minorHAnsi"/>
                        <w:lang w:val="en-US"/>
                      </w:rPr>
                      <w:id w:val="287166309"/>
                      <w14:checkbox>
                        <w14:checked w14:val="0"/>
                        <w14:checkedState w14:val="2612" w14:font="MS Gothic"/>
                        <w14:uncheckedState w14:val="2610" w14:font="MS Gothic"/>
                      </w14:checkbox>
                    </w:sdtPr>
                    <w:sdtContent>
                      <w:r w:rsidRPr="001A0F8A">
                        <w:rPr>
                          <w:rFonts w:ascii="Segoe UI Symbol" w:eastAsia="MS Gothic" w:hAnsi="Segoe UI Symbol" w:cs="Segoe UI Symbol"/>
                          <w:lang w:val="en-US"/>
                        </w:rPr>
                        <w:t>☐</w:t>
                      </w:r>
                    </w:sdtContent>
                  </w:sdt>
                  <w:r w:rsidRPr="001A0F8A">
                    <w:rPr>
                      <w:rFonts w:cstheme="minorHAnsi"/>
                      <w:lang w:val="en-US"/>
                    </w:rPr>
                    <w:t xml:space="preserve"> NA</w:t>
                  </w:r>
                </w:p>
                <w:p w14:paraId="0C01068F" w14:textId="77777777" w:rsidR="001A0F8A" w:rsidRPr="001A0F8A" w:rsidRDefault="001A0F8A" w:rsidP="001A0F8A">
                  <w:pPr>
                    <w:rPr>
                      <w:rFonts w:eastAsia="MS Gothic" w:cstheme="minorHAnsi"/>
                      <w:lang w:val="en-US"/>
                    </w:rPr>
                  </w:pPr>
                </w:p>
              </w:tc>
              <w:tc>
                <w:tcPr>
                  <w:tcW w:w="2137" w:type="dxa"/>
                </w:tcPr>
                <w:p w14:paraId="1E65648F" w14:textId="77777777" w:rsidR="001A0F8A" w:rsidRDefault="001A0F8A" w:rsidP="001A0F8A"/>
              </w:tc>
            </w:tr>
            <w:tr w:rsidR="001A0F8A" w14:paraId="40E04125" w14:textId="77777777" w:rsidTr="001A0F8A">
              <w:tc>
                <w:tcPr>
                  <w:tcW w:w="1581" w:type="dxa"/>
                </w:tcPr>
                <w:p w14:paraId="2800D7C1" w14:textId="77777777" w:rsidR="001A0F8A" w:rsidRPr="00BF2048" w:rsidRDefault="001A0F8A" w:rsidP="001A0F8A">
                  <w:pPr>
                    <w:rPr>
                      <w:rFonts w:cstheme="minorHAnsi"/>
                      <w:b/>
                      <w:bCs/>
                      <w:i/>
                      <w:iCs/>
                    </w:rPr>
                  </w:pPr>
                  <w:r w:rsidRPr="00BF2048">
                    <w:rPr>
                      <w:rFonts w:cstheme="minorHAnsi"/>
                      <w:b/>
                      <w:bCs/>
                      <w:i/>
                      <w:iCs/>
                    </w:rPr>
                    <w:t>Objective 3</w:t>
                  </w:r>
                </w:p>
                <w:p w14:paraId="5BE7079F" w14:textId="018C6A66" w:rsidR="001A0F8A" w:rsidRPr="00BF2048" w:rsidRDefault="001A0F8A" w:rsidP="001A0F8A">
                  <w:pPr>
                    <w:rPr>
                      <w:rFonts w:cstheme="minorHAnsi"/>
                    </w:rPr>
                  </w:pPr>
                  <w:r w:rsidRPr="00BF2048">
                    <w:rPr>
                      <w:rFonts w:cstheme="minorHAnsi"/>
                      <w:b/>
                      <w:bCs/>
                      <w:i/>
                      <w:iCs/>
                    </w:rPr>
                    <w:t>PBPK</w:t>
                  </w:r>
                </w:p>
              </w:tc>
              <w:tc>
                <w:tcPr>
                  <w:tcW w:w="1940" w:type="dxa"/>
                </w:tcPr>
                <w:p w14:paraId="491C49E9" w14:textId="4C79CCC4" w:rsidR="001A0F8A" w:rsidRPr="00A524B3" w:rsidRDefault="001A0F8A" w:rsidP="001A0F8A">
                  <w:pPr>
                    <w:rPr>
                      <w:rFonts w:cstheme="minorHAnsi"/>
                    </w:rPr>
                  </w:pPr>
                  <w:r w:rsidRPr="00A524B3">
                    <w:rPr>
                      <w:rFonts w:cstheme="minorHAnsi"/>
                    </w:rPr>
                    <w:t xml:space="preserve">Application of the </w:t>
                  </w:r>
                  <w:proofErr w:type="spellStart"/>
                  <w:r w:rsidRPr="00A524B3">
                    <w:rPr>
                      <w:rFonts w:cstheme="minorHAnsi"/>
                    </w:rPr>
                    <w:t>iPREDICT</w:t>
                  </w:r>
                  <w:proofErr w:type="spellEnd"/>
                  <w:r w:rsidRPr="00A524B3">
                    <w:rPr>
                      <w:rFonts w:cstheme="minorHAnsi"/>
                    </w:rPr>
                    <w:t xml:space="preserve"> PBPK tool</w:t>
                  </w:r>
                  <w:r w:rsidR="00A524B3" w:rsidRPr="00A524B3">
                    <w:rPr>
                      <w:rFonts w:cstheme="minorHAnsi"/>
                    </w:rPr>
                    <w:t xml:space="preserve">. </w:t>
                  </w:r>
                  <w:r w:rsidR="00A524B3" w:rsidRPr="00A524B3">
                    <w:t xml:space="preserve">Quantitative simulations (data-driven </w:t>
                  </w:r>
                  <w:r w:rsidR="00A524B3" w:rsidRPr="00A524B3">
                    <w:lastRenderedPageBreak/>
                    <w:t>predictions) and logs generated following iterative steps taken, and assumptions made, during PBPK model development</w:t>
                  </w:r>
                </w:p>
              </w:tc>
              <w:tc>
                <w:tcPr>
                  <w:tcW w:w="2312" w:type="dxa"/>
                </w:tcPr>
                <w:p w14:paraId="1C93A91C" w14:textId="46144E7C" w:rsidR="001A0F8A" w:rsidRPr="00A524B3" w:rsidRDefault="001A0F8A" w:rsidP="001A0F8A">
                  <w:pPr>
                    <w:rPr>
                      <w:rFonts w:cstheme="minorHAnsi"/>
                      <w:lang w:val="en-US"/>
                    </w:rPr>
                  </w:pPr>
                  <w:sdt>
                    <w:sdtPr>
                      <w:rPr>
                        <w:rFonts w:cstheme="minorHAnsi"/>
                        <w:lang w:val="en-US"/>
                      </w:rPr>
                      <w:id w:val="31389299"/>
                      <w14:checkbox>
                        <w14:checked w14:val="1"/>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Generate new data</w:t>
                  </w:r>
                </w:p>
                <w:p w14:paraId="5D4C3FBE" w14:textId="1E761BFD" w:rsidR="001A0F8A" w:rsidRPr="00A524B3" w:rsidRDefault="001A0F8A" w:rsidP="001A0F8A">
                  <w:pPr>
                    <w:rPr>
                      <w:rFonts w:eastAsia="MS Gothic" w:cstheme="minorHAnsi"/>
                      <w:lang w:val="en-US"/>
                    </w:rPr>
                  </w:pPr>
                  <w:sdt>
                    <w:sdtPr>
                      <w:rPr>
                        <w:rFonts w:cstheme="minorHAnsi"/>
                        <w:lang w:val="en-US"/>
                      </w:rPr>
                      <w:id w:val="242219641"/>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Reuse existing data</w:t>
                  </w:r>
                </w:p>
              </w:tc>
              <w:tc>
                <w:tcPr>
                  <w:tcW w:w="1348" w:type="dxa"/>
                </w:tcPr>
                <w:p w14:paraId="77EE6597" w14:textId="77777777" w:rsidR="001A0F8A" w:rsidRPr="00A524B3" w:rsidRDefault="001A0F8A" w:rsidP="001A0F8A">
                  <w:pPr>
                    <w:rPr>
                      <w:rFonts w:cstheme="minorHAnsi"/>
                      <w:lang w:val="en-US"/>
                    </w:rPr>
                  </w:pPr>
                  <w:sdt>
                    <w:sdtPr>
                      <w:rPr>
                        <w:rFonts w:cstheme="minorHAnsi"/>
                        <w:lang w:val="en-US"/>
                      </w:rPr>
                      <w:id w:val="-1971582088"/>
                      <w14:checkbox>
                        <w14:checked w14:val="1"/>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Digital</w:t>
                  </w:r>
                </w:p>
                <w:p w14:paraId="51363C88" w14:textId="0FBC5090" w:rsidR="001A0F8A" w:rsidRPr="00A524B3" w:rsidRDefault="001A0F8A" w:rsidP="001A0F8A">
                  <w:pPr>
                    <w:rPr>
                      <w:rFonts w:eastAsia="MS Gothic" w:cstheme="minorHAnsi"/>
                      <w:lang w:val="en-US"/>
                    </w:rPr>
                  </w:pPr>
                  <w:sdt>
                    <w:sdtPr>
                      <w:rPr>
                        <w:rFonts w:cstheme="minorHAnsi"/>
                        <w:lang w:val="en-US"/>
                      </w:rPr>
                      <w:id w:val="1355999427"/>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Physical</w:t>
                  </w:r>
                </w:p>
              </w:tc>
              <w:tc>
                <w:tcPr>
                  <w:tcW w:w="1974" w:type="dxa"/>
                </w:tcPr>
                <w:p w14:paraId="6A91EC69" w14:textId="77777777" w:rsidR="001A0F8A" w:rsidRPr="00A524B3" w:rsidRDefault="001A0F8A" w:rsidP="001A0F8A">
                  <w:pPr>
                    <w:rPr>
                      <w:rFonts w:cstheme="minorHAnsi"/>
                      <w:lang w:val="en-US"/>
                    </w:rPr>
                  </w:pPr>
                  <w:sdt>
                    <w:sdtPr>
                      <w:rPr>
                        <w:rFonts w:cstheme="minorHAnsi"/>
                        <w:lang w:val="en-US"/>
                      </w:rPr>
                      <w:id w:val="-2126759884"/>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Audiovisual</w:t>
                  </w:r>
                </w:p>
                <w:p w14:paraId="7B2765E9" w14:textId="77777777" w:rsidR="001A0F8A" w:rsidRPr="00A524B3" w:rsidRDefault="001A0F8A" w:rsidP="001A0F8A">
                  <w:pPr>
                    <w:rPr>
                      <w:rFonts w:cstheme="minorHAnsi"/>
                      <w:lang w:val="en-US"/>
                    </w:rPr>
                  </w:pPr>
                  <w:sdt>
                    <w:sdtPr>
                      <w:rPr>
                        <w:rFonts w:cstheme="minorHAnsi"/>
                        <w:lang w:val="en-US"/>
                      </w:rPr>
                      <w:id w:val="2083874656"/>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Images</w:t>
                  </w:r>
                </w:p>
                <w:p w14:paraId="317D9FD2" w14:textId="77777777" w:rsidR="001A0F8A" w:rsidRPr="00A524B3" w:rsidRDefault="001A0F8A" w:rsidP="001A0F8A">
                  <w:pPr>
                    <w:rPr>
                      <w:rFonts w:cstheme="minorHAnsi"/>
                      <w:lang w:val="en-US"/>
                    </w:rPr>
                  </w:pPr>
                  <w:sdt>
                    <w:sdtPr>
                      <w:rPr>
                        <w:rFonts w:cstheme="minorHAnsi"/>
                        <w:lang w:val="en-US"/>
                      </w:rPr>
                      <w:id w:val="734435394"/>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Sound</w:t>
                  </w:r>
                </w:p>
                <w:p w14:paraId="3B68FEA6" w14:textId="77777777" w:rsidR="001A0F8A" w:rsidRPr="00A524B3" w:rsidRDefault="001A0F8A" w:rsidP="001A0F8A">
                  <w:pPr>
                    <w:rPr>
                      <w:rFonts w:cstheme="minorHAnsi"/>
                      <w:lang w:val="en-US"/>
                    </w:rPr>
                  </w:pPr>
                  <w:sdt>
                    <w:sdtPr>
                      <w:rPr>
                        <w:rFonts w:cstheme="minorHAnsi"/>
                        <w:lang w:val="en-US"/>
                      </w:rPr>
                      <w:id w:val="-2119669489"/>
                      <w14:checkbox>
                        <w14:checked w14:val="1"/>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Numerical</w:t>
                  </w:r>
                </w:p>
                <w:p w14:paraId="45FE0B75" w14:textId="77777777" w:rsidR="001A0F8A" w:rsidRPr="00A524B3" w:rsidRDefault="001A0F8A" w:rsidP="001A0F8A">
                  <w:pPr>
                    <w:rPr>
                      <w:rFonts w:cstheme="minorHAnsi"/>
                      <w:lang w:val="en-US"/>
                    </w:rPr>
                  </w:pPr>
                  <w:sdt>
                    <w:sdtPr>
                      <w:rPr>
                        <w:rFonts w:cstheme="minorHAnsi"/>
                        <w:lang w:val="en-US"/>
                      </w:rPr>
                      <w:id w:val="-1211963794"/>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Textual</w:t>
                  </w:r>
                </w:p>
                <w:p w14:paraId="3E0A6996" w14:textId="77777777" w:rsidR="001A0F8A" w:rsidRPr="00A524B3" w:rsidRDefault="001A0F8A" w:rsidP="001A0F8A">
                  <w:pPr>
                    <w:rPr>
                      <w:rFonts w:cstheme="minorHAnsi"/>
                      <w:lang w:val="en-US"/>
                    </w:rPr>
                  </w:pPr>
                  <w:sdt>
                    <w:sdtPr>
                      <w:rPr>
                        <w:rFonts w:cstheme="minorHAnsi"/>
                        <w:lang w:val="en-US"/>
                      </w:rPr>
                      <w:id w:val="-2003491003"/>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Model</w:t>
                  </w:r>
                </w:p>
                <w:p w14:paraId="3081706A" w14:textId="77777777" w:rsidR="001A0F8A" w:rsidRPr="00A524B3" w:rsidRDefault="001A0F8A" w:rsidP="001A0F8A">
                  <w:pPr>
                    <w:rPr>
                      <w:rFonts w:cstheme="minorHAnsi"/>
                      <w:lang w:val="en-US"/>
                    </w:rPr>
                  </w:pPr>
                  <w:sdt>
                    <w:sdtPr>
                      <w:rPr>
                        <w:rFonts w:cstheme="minorHAnsi"/>
                        <w:lang w:val="en-US"/>
                      </w:rPr>
                      <w:id w:val="-730918470"/>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Software</w:t>
                  </w:r>
                </w:p>
                <w:p w14:paraId="28BD0573" w14:textId="70C272F0" w:rsidR="001A0F8A" w:rsidRPr="00A524B3" w:rsidRDefault="001A0F8A" w:rsidP="001A0F8A">
                  <w:pPr>
                    <w:rPr>
                      <w:rFonts w:eastAsia="MS Gothic" w:cstheme="minorHAnsi"/>
                      <w:lang w:val="en-US"/>
                    </w:rPr>
                  </w:pPr>
                  <w:sdt>
                    <w:sdtPr>
                      <w:rPr>
                        <w:rFonts w:cstheme="minorHAnsi"/>
                        <w:lang w:val="en-US"/>
                      </w:rPr>
                      <w:id w:val="1617644617"/>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Other:</w:t>
                  </w:r>
                </w:p>
              </w:tc>
              <w:tc>
                <w:tcPr>
                  <w:tcW w:w="1968" w:type="dxa"/>
                </w:tcPr>
                <w:p w14:paraId="5C96E1B4" w14:textId="33A5B04C" w:rsidR="00A524B3" w:rsidRPr="00A524B3" w:rsidRDefault="00A524B3" w:rsidP="001A0F8A">
                  <w:pPr>
                    <w:rPr>
                      <w:rFonts w:eastAsia="MS Gothic" w:cstheme="minorHAnsi"/>
                      <w:lang w:val="en-US"/>
                    </w:rPr>
                  </w:pPr>
                  <w:r w:rsidRPr="00A524B3">
                    <w:rPr>
                      <w:rFonts w:cstheme="minorHAnsi"/>
                    </w:rPr>
                    <w:lastRenderedPageBreak/>
                    <w:t xml:space="preserve">xlsx, .csv, .txt, .doc, .pdf, .R, simulation software specific formats (e.g. </w:t>
                  </w:r>
                  <w:proofErr w:type="spellStart"/>
                  <w:r w:rsidRPr="00A524B3">
                    <w:rPr>
                      <w:rFonts w:cstheme="minorHAnsi"/>
                    </w:rPr>
                    <w:t>Simcyp</w:t>
                  </w:r>
                  <w:proofErr w:type="spellEnd"/>
                  <w:r w:rsidRPr="00A524B3">
                    <w:rPr>
                      <w:rFonts w:cstheme="minorHAnsi"/>
                    </w:rPr>
                    <w:t xml:space="preserve"> </w:t>
                  </w:r>
                  <w:r w:rsidRPr="00A524B3">
                    <w:rPr>
                      <w:rFonts w:cstheme="minorHAnsi"/>
                    </w:rPr>
                    <w:lastRenderedPageBreak/>
                    <w:t>workspace, compound, population files)</w:t>
                  </w:r>
                </w:p>
                <w:p w14:paraId="580E321F" w14:textId="77777777" w:rsidR="00A524B3" w:rsidRPr="00A524B3" w:rsidRDefault="00A524B3" w:rsidP="001A0F8A">
                  <w:pPr>
                    <w:rPr>
                      <w:rFonts w:eastAsia="MS Gothic" w:cstheme="minorHAnsi"/>
                      <w:lang w:val="en-US"/>
                    </w:rPr>
                  </w:pPr>
                </w:p>
                <w:p w14:paraId="7686D0A9" w14:textId="783B390C" w:rsidR="001A0F8A" w:rsidRPr="00A524B3" w:rsidRDefault="001A0F8A" w:rsidP="001A0F8A">
                  <w:pPr>
                    <w:rPr>
                      <w:rFonts w:eastAsia="MS Gothic" w:cstheme="minorHAnsi"/>
                      <w:lang w:val="en-US"/>
                    </w:rPr>
                  </w:pPr>
                </w:p>
              </w:tc>
              <w:tc>
                <w:tcPr>
                  <w:tcW w:w="2107" w:type="dxa"/>
                </w:tcPr>
                <w:p w14:paraId="27674554" w14:textId="0F3D2872" w:rsidR="00BF2048" w:rsidRPr="00A524B3" w:rsidRDefault="00BF2048" w:rsidP="00BF2048">
                  <w:pPr>
                    <w:rPr>
                      <w:rFonts w:cstheme="minorHAnsi"/>
                      <w:lang w:val="en-US"/>
                    </w:rPr>
                  </w:pPr>
                  <w:sdt>
                    <w:sdtPr>
                      <w:rPr>
                        <w:rFonts w:cstheme="minorHAnsi"/>
                        <w:lang w:val="en-US"/>
                      </w:rPr>
                      <w:id w:val="473958915"/>
                      <w14:checkbox>
                        <w14:checked w14:val="0"/>
                        <w14:checkedState w14:val="2612" w14:font="MS Gothic"/>
                        <w14:uncheckedState w14:val="2610" w14:font="MS Gothic"/>
                      </w14:checkbox>
                    </w:sdtPr>
                    <w:sdtContent>
                      <w:r w:rsidR="00A524B3">
                        <w:rPr>
                          <w:rFonts w:ascii="MS Gothic" w:eastAsia="MS Gothic" w:hAnsi="MS Gothic" w:cstheme="minorHAnsi" w:hint="eastAsia"/>
                          <w:lang w:val="en-US"/>
                        </w:rPr>
                        <w:t>☐</w:t>
                      </w:r>
                    </w:sdtContent>
                  </w:sdt>
                  <w:r w:rsidRPr="00A524B3">
                    <w:rPr>
                      <w:rFonts w:cstheme="minorHAnsi"/>
                      <w:lang w:val="en-US"/>
                    </w:rPr>
                    <w:t xml:space="preserve"> &lt; 1 GB</w:t>
                  </w:r>
                </w:p>
                <w:p w14:paraId="3FDB6495" w14:textId="34D055D2" w:rsidR="00BF2048" w:rsidRPr="00A524B3" w:rsidRDefault="00BF2048" w:rsidP="00BF2048">
                  <w:pPr>
                    <w:rPr>
                      <w:rFonts w:cstheme="minorHAnsi"/>
                      <w:lang w:val="en-US"/>
                    </w:rPr>
                  </w:pPr>
                  <w:sdt>
                    <w:sdtPr>
                      <w:rPr>
                        <w:rFonts w:cstheme="minorHAnsi"/>
                        <w:lang w:val="en-US"/>
                      </w:rPr>
                      <w:id w:val="1287240874"/>
                      <w14:checkbox>
                        <w14:checked w14:val="1"/>
                        <w14:checkedState w14:val="2612" w14:font="MS Gothic"/>
                        <w14:uncheckedState w14:val="2610" w14:font="MS Gothic"/>
                      </w14:checkbox>
                    </w:sdtPr>
                    <w:sdtContent>
                      <w:r w:rsidR="00A524B3">
                        <w:rPr>
                          <w:rFonts w:ascii="MS Gothic" w:eastAsia="MS Gothic" w:hAnsi="MS Gothic" w:cstheme="minorHAnsi" w:hint="eastAsia"/>
                          <w:lang w:val="en-US"/>
                        </w:rPr>
                        <w:t>☒</w:t>
                      </w:r>
                    </w:sdtContent>
                  </w:sdt>
                  <w:r w:rsidRPr="00A524B3">
                    <w:rPr>
                      <w:rFonts w:cstheme="minorHAnsi"/>
                      <w:lang w:val="en-US"/>
                    </w:rPr>
                    <w:t xml:space="preserve"> &lt; 100 GB</w:t>
                  </w:r>
                </w:p>
                <w:p w14:paraId="5EAE8364" w14:textId="77777777" w:rsidR="00BF2048" w:rsidRPr="00A524B3" w:rsidRDefault="00BF2048" w:rsidP="00BF2048">
                  <w:pPr>
                    <w:rPr>
                      <w:rFonts w:cstheme="minorHAnsi"/>
                      <w:lang w:val="en-US"/>
                    </w:rPr>
                  </w:pPr>
                  <w:sdt>
                    <w:sdtPr>
                      <w:rPr>
                        <w:rFonts w:cstheme="minorHAnsi"/>
                        <w:lang w:val="en-US"/>
                      </w:rPr>
                      <w:id w:val="680313625"/>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&lt; 1 TB</w:t>
                  </w:r>
                </w:p>
                <w:p w14:paraId="67F3764E" w14:textId="77777777" w:rsidR="00BF2048" w:rsidRPr="00A524B3" w:rsidRDefault="00BF2048" w:rsidP="00BF2048">
                  <w:pPr>
                    <w:rPr>
                      <w:rFonts w:cstheme="minorHAnsi"/>
                      <w:lang w:val="en-US"/>
                    </w:rPr>
                  </w:pPr>
                  <w:sdt>
                    <w:sdtPr>
                      <w:rPr>
                        <w:rFonts w:cstheme="minorHAnsi"/>
                        <w:lang w:val="en-US"/>
                      </w:rPr>
                      <w:id w:val="181715336"/>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&lt; 5 TB</w:t>
                  </w:r>
                </w:p>
                <w:p w14:paraId="020E8C85" w14:textId="77777777" w:rsidR="00BF2048" w:rsidRPr="00A524B3" w:rsidRDefault="00BF2048" w:rsidP="00BF2048">
                  <w:pPr>
                    <w:rPr>
                      <w:rFonts w:cstheme="minorHAnsi"/>
                      <w:lang w:val="en-US"/>
                    </w:rPr>
                  </w:pPr>
                  <w:sdt>
                    <w:sdtPr>
                      <w:rPr>
                        <w:rFonts w:cstheme="minorHAnsi"/>
                        <w:lang w:val="en-US"/>
                      </w:rPr>
                      <w:id w:val="-268778035"/>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&gt; 5 TB</w:t>
                  </w:r>
                </w:p>
                <w:p w14:paraId="0331794D" w14:textId="77777777" w:rsidR="00BF2048" w:rsidRPr="00A524B3" w:rsidRDefault="00BF2048" w:rsidP="00BF2048">
                  <w:pPr>
                    <w:rPr>
                      <w:rFonts w:cstheme="minorHAnsi"/>
                      <w:lang w:val="en-US"/>
                    </w:rPr>
                  </w:pPr>
                  <w:sdt>
                    <w:sdtPr>
                      <w:rPr>
                        <w:rFonts w:cstheme="minorHAnsi"/>
                        <w:lang w:val="en-US"/>
                      </w:rPr>
                      <w:id w:val="-1653215247"/>
                      <w14:checkbox>
                        <w14:checked w14:val="0"/>
                        <w14:checkedState w14:val="2612" w14:font="MS Gothic"/>
                        <w14:uncheckedState w14:val="2610" w14:font="MS Gothic"/>
                      </w14:checkbox>
                    </w:sdtPr>
                    <w:sdtContent>
                      <w:r w:rsidRPr="00A524B3">
                        <w:rPr>
                          <w:rFonts w:ascii="Segoe UI Symbol" w:eastAsia="MS Gothic" w:hAnsi="Segoe UI Symbol" w:cs="Segoe UI Symbol"/>
                          <w:lang w:val="en-US"/>
                        </w:rPr>
                        <w:t>☐</w:t>
                      </w:r>
                    </w:sdtContent>
                  </w:sdt>
                  <w:r w:rsidRPr="00A524B3">
                    <w:rPr>
                      <w:rFonts w:cstheme="minorHAnsi"/>
                      <w:lang w:val="en-US"/>
                    </w:rPr>
                    <w:t xml:space="preserve"> NA</w:t>
                  </w:r>
                </w:p>
                <w:p w14:paraId="2CFFD2F7" w14:textId="77777777" w:rsidR="001A0F8A" w:rsidRPr="00A524B3" w:rsidRDefault="001A0F8A" w:rsidP="001A0F8A">
                  <w:pPr>
                    <w:rPr>
                      <w:rFonts w:eastAsia="MS Gothic" w:cstheme="minorHAnsi"/>
                      <w:lang w:val="en-US"/>
                    </w:rPr>
                  </w:pPr>
                </w:p>
              </w:tc>
              <w:tc>
                <w:tcPr>
                  <w:tcW w:w="2137" w:type="dxa"/>
                </w:tcPr>
                <w:p w14:paraId="6D4D1309" w14:textId="77777777" w:rsidR="001A0F8A" w:rsidRDefault="001A0F8A" w:rsidP="001A0F8A"/>
              </w:tc>
            </w:tr>
          </w:tbl>
          <w:p w14:paraId="2BEE07DB" w14:textId="77777777" w:rsidR="00BA789F" w:rsidRDefault="00BA789F" w:rsidP="00BA789F">
            <w:pPr>
              <w:spacing w:before="80"/>
              <w:rPr>
                <w:lang w:val="en-US"/>
              </w:rPr>
            </w:pPr>
          </w:p>
        </w:tc>
      </w:tr>
      <w:tr w:rsidR="00BA789F" w:rsidRPr="00F42A6F" w14:paraId="5A79FFC5" w14:textId="77777777" w:rsidTr="00306CBC">
        <w:trPr>
          <w:cantSplit/>
          <w:trHeight w:val="269"/>
        </w:trPr>
        <w:tc>
          <w:tcPr>
            <w:tcW w:w="15593" w:type="dxa"/>
            <w:gridSpan w:val="2"/>
          </w:tcPr>
          <w:p w14:paraId="31F05213"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6B897E63"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4C293DA"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07AEDDA7" w14:textId="77777777" w:rsidR="00BA789F" w:rsidRPr="00BA789F" w:rsidRDefault="00BA789F" w:rsidP="00345E00"/>
        </w:tc>
      </w:tr>
      <w:tr w:rsidR="00AE4A22" w:rsidRPr="00F42A6F" w14:paraId="5A0EE74C" w14:textId="77777777" w:rsidTr="00436EB9">
        <w:trPr>
          <w:cantSplit/>
          <w:trHeight w:val="269"/>
        </w:trPr>
        <w:tc>
          <w:tcPr>
            <w:tcW w:w="4962" w:type="dxa"/>
          </w:tcPr>
          <w:p w14:paraId="155619F0"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32DB8D9" w14:textId="77777777" w:rsidR="00AE4A22" w:rsidRDefault="00AE4A22" w:rsidP="00CA2D12"/>
        </w:tc>
        <w:tc>
          <w:tcPr>
            <w:tcW w:w="10631" w:type="dxa"/>
          </w:tcPr>
          <w:p w14:paraId="56F2A636" w14:textId="78C52883" w:rsidR="00BF2048" w:rsidRDefault="00BF2048" w:rsidP="00345E00">
            <w:pPr>
              <w:rPr>
                <w:b/>
                <w:bCs/>
                <w:lang w:val="en-US"/>
              </w:rPr>
            </w:pPr>
            <w:r>
              <w:rPr>
                <w:b/>
                <w:bCs/>
                <w:lang w:val="en-US"/>
              </w:rPr>
              <w:t>Obj 2</w:t>
            </w:r>
            <w:r w:rsidR="00DD3D1D">
              <w:rPr>
                <w:b/>
                <w:bCs/>
                <w:lang w:val="en-US"/>
              </w:rPr>
              <w:t xml:space="preserve">, </w:t>
            </w:r>
            <w:r w:rsidR="00DD3D1D" w:rsidRPr="00DD3D1D">
              <w:rPr>
                <w:b/>
                <w:bCs/>
                <w:i/>
                <w:iCs/>
                <w:lang w:val="en-US"/>
              </w:rPr>
              <w:t>in vitro</w:t>
            </w:r>
          </w:p>
          <w:p w14:paraId="49D8C769" w14:textId="20148BAA" w:rsidR="00BF2048" w:rsidRPr="00BF2048" w:rsidRDefault="00BF2048" w:rsidP="00345E00">
            <w:pPr>
              <w:rPr>
                <w:lang w:val="en-US"/>
              </w:rPr>
            </w:pPr>
            <w:r w:rsidRPr="00BF2048">
              <w:rPr>
                <w:lang w:val="en-US"/>
              </w:rPr>
              <w:t>The reuse of data relates to already existing in vitro drug metabolism data (E4), that also undergo glucuronidation (similar to paracetamol). These in vitro data are owned by a 3</w:t>
            </w:r>
            <w:r w:rsidRPr="00BF2048">
              <w:rPr>
                <w:vertAlign w:val="superscript"/>
                <w:lang w:val="en-US"/>
              </w:rPr>
              <w:t>rd</w:t>
            </w:r>
            <w:r w:rsidRPr="00BF2048">
              <w:rPr>
                <w:lang w:val="en-US"/>
              </w:rPr>
              <w:t xml:space="preserve"> party (Mithra), and a DTA has been secured</w:t>
            </w:r>
            <w:r w:rsidR="00927F42">
              <w:rPr>
                <w:lang w:val="en-US"/>
              </w:rPr>
              <w:t xml:space="preserve"> (2023-06-09 </w:t>
            </w:r>
            <w:proofErr w:type="spellStart"/>
            <w:r w:rsidR="00927F42">
              <w:rPr>
                <w:lang w:val="en-US"/>
              </w:rPr>
              <w:t>Neuralis</w:t>
            </w:r>
            <w:proofErr w:type="spellEnd"/>
            <w:r w:rsidR="00927F42">
              <w:rPr>
                <w:lang w:val="en-US"/>
              </w:rPr>
              <w:t xml:space="preserve"> KUL-DTA)</w:t>
            </w:r>
            <w:r>
              <w:rPr>
                <w:lang w:val="en-US"/>
              </w:rPr>
              <w:t>. T</w:t>
            </w:r>
            <w:r w:rsidRPr="00BF2048">
              <w:rPr>
                <w:lang w:val="en-US"/>
              </w:rPr>
              <w:t>he data file and study report is received and stored within KU Leuven.</w:t>
            </w:r>
          </w:p>
          <w:p w14:paraId="7A6EAEC0" w14:textId="7A3A213B" w:rsidR="00BF2048" w:rsidRPr="00BF2048" w:rsidRDefault="00BF2048" w:rsidP="00345E00">
            <w:pPr>
              <w:rPr>
                <w:b/>
                <w:bCs/>
                <w:lang w:val="en-US"/>
              </w:rPr>
            </w:pPr>
            <w:r w:rsidRPr="00BF2048">
              <w:rPr>
                <w:b/>
                <w:bCs/>
                <w:lang w:val="en-US"/>
              </w:rPr>
              <w:t>O</w:t>
            </w:r>
            <w:r>
              <w:rPr>
                <w:b/>
                <w:bCs/>
                <w:lang w:val="en-US"/>
              </w:rPr>
              <w:t xml:space="preserve">bj </w:t>
            </w:r>
            <w:r w:rsidR="00DD3D1D">
              <w:rPr>
                <w:b/>
                <w:bCs/>
                <w:lang w:val="en-US"/>
              </w:rPr>
              <w:t xml:space="preserve">2, </w:t>
            </w:r>
            <w:r w:rsidR="00DD3D1D" w:rsidRPr="00DD3D1D">
              <w:rPr>
                <w:b/>
                <w:bCs/>
                <w:i/>
                <w:iCs/>
                <w:lang w:val="en-US"/>
              </w:rPr>
              <w:t>in vivo</w:t>
            </w:r>
          </w:p>
          <w:p w14:paraId="2C191A33" w14:textId="5873D910" w:rsidR="00AE4A22" w:rsidRDefault="00BF2048" w:rsidP="00345E00">
            <w:pPr>
              <w:rPr>
                <w:lang w:val="en-US"/>
              </w:rPr>
            </w:pPr>
            <w:r>
              <w:rPr>
                <w:lang w:val="en-US"/>
              </w:rPr>
              <w:t>The reuse of data relates to already existing PK dataset on paracetamol in neonates, generated by and therefore accessible to the UZ/KU research group</w:t>
            </w:r>
            <w:r w:rsidR="00A524B3">
              <w:rPr>
                <w:lang w:val="en-US"/>
              </w:rPr>
              <w:t xml:space="preserve"> (PMID 21317433)</w:t>
            </w:r>
            <w:r>
              <w:rPr>
                <w:lang w:val="en-US"/>
              </w:rPr>
              <w:t>, while another relevant dataset with data in neonates undergoing TH has been identified</w:t>
            </w:r>
            <w:r w:rsidR="00927F42">
              <w:rPr>
                <w:lang w:val="en-US"/>
              </w:rPr>
              <w:t xml:space="preserve"> (PARASHUTE trial, Sundell Haslund-Krog, PMID 37353311)</w:t>
            </w:r>
            <w:r>
              <w:rPr>
                <w:lang w:val="en-US"/>
              </w:rPr>
              <w:t>. For this dataset, a DTA has been secured</w:t>
            </w:r>
            <w:r w:rsidR="00927F42">
              <w:rPr>
                <w:lang w:val="en-US"/>
              </w:rPr>
              <w:t xml:space="preserve"> (related to S64850, version 5, signed October 2023)</w:t>
            </w:r>
            <w:r>
              <w:rPr>
                <w:lang w:val="en-US"/>
              </w:rPr>
              <w:t xml:space="preserve">, and data access is secured by </w:t>
            </w:r>
            <w:proofErr w:type="spellStart"/>
            <w:r>
              <w:rPr>
                <w:lang w:val="en-US"/>
              </w:rPr>
              <w:t>RedCap</w:t>
            </w:r>
            <w:proofErr w:type="spellEnd"/>
            <w:r>
              <w:rPr>
                <w:lang w:val="en-US"/>
              </w:rPr>
              <w:t xml:space="preserve">. </w:t>
            </w:r>
          </w:p>
        </w:tc>
      </w:tr>
      <w:tr w:rsidR="003D036F" w:rsidRPr="00F42A6F" w14:paraId="1BC7DD0D" w14:textId="77777777" w:rsidTr="00436EB9">
        <w:trPr>
          <w:cantSplit/>
          <w:trHeight w:val="269"/>
        </w:trPr>
        <w:tc>
          <w:tcPr>
            <w:tcW w:w="4962" w:type="dxa"/>
          </w:tcPr>
          <w:p w14:paraId="08CC4779"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FDE9FE9" w14:textId="365FC62A" w:rsidR="00FB5895" w:rsidRPr="00250516" w:rsidRDefault="004B2307" w:rsidP="00AC649C">
            <w:pPr>
              <w:rPr>
                <w:lang w:val="en-US"/>
              </w:rPr>
            </w:pPr>
            <w:sdt>
              <w:sdtPr>
                <w:rPr>
                  <w:lang w:val="en-US"/>
                </w:rPr>
                <w:id w:val="1171060205"/>
                <w14:checkbox>
                  <w14:checked w14:val="1"/>
                  <w14:checkedState w14:val="2612" w14:font="MS Gothic"/>
                  <w14:uncheckedState w14:val="2610" w14:font="MS Gothic"/>
                </w14:checkbox>
              </w:sdtPr>
              <w:sdtEndPr/>
              <w:sdtContent>
                <w:r w:rsidR="00927F42">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EC a</w:t>
            </w:r>
            <w:r w:rsidR="003C0359" w:rsidRPr="003C0359">
              <w:rPr>
                <w:lang w:val="en-US"/>
              </w:rPr>
              <w:t>pproval</w:t>
            </w:r>
            <w:r w:rsidR="00632536">
              <w:rPr>
                <w:lang w:val="en-US"/>
              </w:rPr>
              <w:t xml:space="preserve"> number:</w:t>
            </w:r>
            <w:r w:rsidR="003C0359" w:rsidRPr="003C0359">
              <w:rPr>
                <w:lang w:val="en-US"/>
              </w:rPr>
              <w:t xml:space="preserve">  </w:t>
            </w:r>
            <w:r w:rsidR="00AC649C">
              <w:rPr>
                <w:lang w:val="en-US"/>
              </w:rPr>
              <w:t>S51597, S64850</w:t>
            </w:r>
          </w:p>
          <w:p w14:paraId="3AA974E7" w14:textId="77777777" w:rsidR="00FB5895" w:rsidRDefault="004B2307" w:rsidP="00AC649C">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1F691CB" w14:textId="77777777" w:rsidR="00FB5895" w:rsidRDefault="004B2307" w:rsidP="00AC649C">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B43E459" w14:textId="77777777" w:rsidR="00FB5895" w:rsidRDefault="004B2307" w:rsidP="00AC649C">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D90072F" w14:textId="3194BC3D" w:rsidR="00AC649C" w:rsidRPr="00AC649C" w:rsidRDefault="00AC649C" w:rsidP="00AC649C">
            <w:pPr>
              <w:contextualSpacing/>
              <w:rPr>
                <w:b/>
                <w:bCs/>
                <w:lang w:val="en-US"/>
              </w:rPr>
            </w:pPr>
            <w:r w:rsidRPr="00AC649C">
              <w:rPr>
                <w:b/>
                <w:bCs/>
                <w:lang w:val="en-US"/>
              </w:rPr>
              <w:t xml:space="preserve">Related to Obj </w:t>
            </w:r>
            <w:r w:rsidR="00DD3D1D">
              <w:rPr>
                <w:b/>
                <w:bCs/>
                <w:lang w:val="en-US"/>
              </w:rPr>
              <w:t>2</w:t>
            </w:r>
            <w:r w:rsidRPr="00AC649C">
              <w:rPr>
                <w:b/>
                <w:bCs/>
                <w:lang w:val="en-US"/>
              </w:rPr>
              <w:t xml:space="preserve">, </w:t>
            </w:r>
            <w:r w:rsidRPr="00A733BD">
              <w:rPr>
                <w:b/>
                <w:bCs/>
                <w:i/>
                <w:iCs/>
                <w:lang w:val="en-US"/>
              </w:rPr>
              <w:t>in vitro</w:t>
            </w:r>
          </w:p>
          <w:p w14:paraId="7B64941B" w14:textId="635B524C" w:rsidR="00AC649C" w:rsidRPr="00AC649C" w:rsidRDefault="00AC649C" w:rsidP="00AC649C">
            <w:pPr>
              <w:contextualSpacing/>
            </w:pPr>
            <w:r>
              <w:t>Personal data mentioned on the Product characterisation sheet of “human neonatal &amp; adult hepatocytes”: gender, age, race, cause of death, BMI, smoke, alcohol, substance abuse, medical history, infectious diseases. Informed written (parental) consent forms are provided and obtaining them is in agreement with the General Data Protection Regulation (EU) (2016/679) (“GDPR”).</w:t>
            </w:r>
          </w:p>
          <w:p w14:paraId="52634070" w14:textId="094A2C3E" w:rsidR="00AC649C" w:rsidRPr="00AC649C" w:rsidRDefault="00AC649C" w:rsidP="00AC649C">
            <w:pPr>
              <w:contextualSpacing/>
              <w:rPr>
                <w:b/>
                <w:bCs/>
                <w:lang w:val="en-US"/>
              </w:rPr>
            </w:pPr>
            <w:r w:rsidRPr="00AC649C">
              <w:rPr>
                <w:b/>
                <w:bCs/>
                <w:lang w:val="en-US"/>
              </w:rPr>
              <w:t xml:space="preserve">Related to Obj 2, </w:t>
            </w:r>
            <w:r w:rsidRPr="00A733BD">
              <w:rPr>
                <w:b/>
                <w:bCs/>
                <w:i/>
                <w:iCs/>
                <w:lang w:val="en-US"/>
              </w:rPr>
              <w:t>in vivo</w:t>
            </w:r>
          </w:p>
          <w:p w14:paraId="19208256" w14:textId="05FCE82A" w:rsidR="00AC649C" w:rsidRDefault="00A524B3" w:rsidP="00AC649C">
            <w:pPr>
              <w:contextualSpacing/>
              <w:rPr>
                <w:lang w:val="en-US"/>
              </w:rPr>
            </w:pPr>
            <w:r>
              <w:rPr>
                <w:lang w:val="en-US"/>
              </w:rPr>
              <w:t xml:space="preserve">there will be no new clinical studies, but re-use of already existing data </w:t>
            </w:r>
            <w:r w:rsidR="009C0A34">
              <w:rPr>
                <w:lang w:val="en-US"/>
              </w:rPr>
              <w:t xml:space="preserve">set </w:t>
            </w:r>
            <w:r>
              <w:rPr>
                <w:lang w:val="en-US"/>
              </w:rPr>
              <w:t xml:space="preserve">within an new framework (PBPK, exploration of target attainment exposure) related to clinical trials (S64850, </w:t>
            </w:r>
            <w:r w:rsidR="00AC649C">
              <w:rPr>
                <w:lang w:val="en-US"/>
              </w:rPr>
              <w:t>S51597</w:t>
            </w:r>
            <w:r>
              <w:rPr>
                <w:lang w:val="en-US"/>
              </w:rPr>
              <w:t>) or DTA transfer agreements (related to S64850)</w:t>
            </w:r>
            <w:r w:rsidR="00AC649C">
              <w:rPr>
                <w:lang w:val="en-US"/>
              </w:rPr>
              <w:t>. Ethical issues therefore relate to data handling.</w:t>
            </w:r>
          </w:p>
          <w:p w14:paraId="1B04A202" w14:textId="08AF325A" w:rsidR="00EE33E8" w:rsidRPr="00AC649C" w:rsidRDefault="00AC649C" w:rsidP="00AC649C">
            <w:pPr>
              <w:contextualSpacing/>
            </w:pPr>
            <w:r w:rsidRPr="00AC649C">
              <w:rPr>
                <w:u w:val="single"/>
              </w:rPr>
              <w:t>Short description of the kind of personal data that will be used</w:t>
            </w:r>
            <w:r>
              <w:t>: name, birth date, birth weight, current weight, gestational age, postnatal age, postmenstrual age, diagnosis on admission, co-medication of included neonates. Data will be pseudonymised</w:t>
            </w:r>
            <w:r>
              <w:t xml:space="preserve"> and DTA procedures are present. </w:t>
            </w:r>
          </w:p>
        </w:tc>
      </w:tr>
      <w:tr w:rsidR="003D036F" w:rsidRPr="00F42A6F" w14:paraId="5FFECABF" w14:textId="77777777" w:rsidTr="00436EB9">
        <w:trPr>
          <w:cantSplit/>
          <w:trHeight w:val="269"/>
        </w:trPr>
        <w:tc>
          <w:tcPr>
            <w:tcW w:w="4962" w:type="dxa"/>
          </w:tcPr>
          <w:p w14:paraId="5D7809A6"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116FB8C" w14:textId="0750A0CB" w:rsidR="00E62A40" w:rsidRPr="00250516" w:rsidRDefault="004B2307" w:rsidP="00E62A40">
            <w:pPr>
              <w:rPr>
                <w:lang w:val="en-US"/>
              </w:rPr>
            </w:pPr>
            <w:sdt>
              <w:sdtPr>
                <w:rPr>
                  <w:lang w:val="en-US"/>
                </w:rPr>
                <w:id w:val="266666203"/>
                <w14:checkbox>
                  <w14:checked w14:val="1"/>
                  <w14:checkedState w14:val="2612" w14:font="MS Gothic"/>
                  <w14:uncheckedState w14:val="2610" w14:font="MS Gothic"/>
                </w14:checkbox>
              </w:sdtPr>
              <w:sdtEndPr/>
              <w:sdtContent>
                <w:r w:rsidR="00927F42">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r w:rsidR="00A733BD">
              <w:rPr>
                <w:lang w:val="en-US"/>
              </w:rPr>
              <w:t xml:space="preserve"> </w:t>
            </w:r>
            <w:r w:rsidR="00A733BD">
              <w:rPr>
                <w:lang w:val="en-US"/>
              </w:rPr>
              <w:t>S51597, S64850</w:t>
            </w:r>
          </w:p>
          <w:p w14:paraId="49BD0652" w14:textId="77777777" w:rsidR="00E62A40" w:rsidRDefault="004B2307"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73A8572C" w14:textId="77777777" w:rsidR="00E62A40" w:rsidRDefault="00382948" w:rsidP="00E62A40">
            <w:pPr>
              <w:rPr>
                <w:lang w:val="en-US"/>
              </w:rPr>
            </w:pPr>
            <w:r>
              <w:rPr>
                <w:lang w:val="en-US"/>
              </w:rPr>
              <w:t>Additional information:</w:t>
            </w:r>
          </w:p>
          <w:p w14:paraId="1C251598" w14:textId="6961F210" w:rsidR="00382948" w:rsidRDefault="00AC649C" w:rsidP="00E62A40">
            <w:r>
              <w:t>Data will be pseudonymised and DTA procedures are present.</w:t>
            </w:r>
          </w:p>
          <w:p w14:paraId="12CFD190" w14:textId="33ED6F38" w:rsidR="00A733BD" w:rsidRPr="00AC649C" w:rsidRDefault="00A733BD" w:rsidP="00A733BD">
            <w:pPr>
              <w:contextualSpacing/>
              <w:rPr>
                <w:b/>
                <w:bCs/>
                <w:lang w:val="en-US"/>
              </w:rPr>
            </w:pPr>
            <w:r w:rsidRPr="00AC649C">
              <w:rPr>
                <w:b/>
                <w:bCs/>
                <w:lang w:val="en-US"/>
              </w:rPr>
              <w:t xml:space="preserve">Related to Obj </w:t>
            </w:r>
            <w:r w:rsidR="00DD3D1D">
              <w:rPr>
                <w:b/>
                <w:bCs/>
                <w:lang w:val="en-US"/>
              </w:rPr>
              <w:t>2</w:t>
            </w:r>
            <w:r w:rsidRPr="00AC649C">
              <w:rPr>
                <w:b/>
                <w:bCs/>
                <w:lang w:val="en-US"/>
              </w:rPr>
              <w:t xml:space="preserve">, </w:t>
            </w:r>
            <w:r w:rsidRPr="00A733BD">
              <w:rPr>
                <w:b/>
                <w:bCs/>
                <w:i/>
                <w:iCs/>
                <w:lang w:val="en-US"/>
              </w:rPr>
              <w:t>in vitro</w:t>
            </w:r>
          </w:p>
          <w:p w14:paraId="49A74C04" w14:textId="77777777" w:rsidR="00A733BD" w:rsidRPr="00AC649C" w:rsidRDefault="00A733BD" w:rsidP="00A733BD">
            <w:pPr>
              <w:contextualSpacing/>
            </w:pPr>
            <w:r>
              <w:t>Personal data mentioned on the Product characterisation sheet of “human neonatal &amp; adult hepatocytes”: gender, age, race, cause of death, BMI, smoke, alcohol, substance abuse, medical history, infectious diseases. Informed written (parental) consent forms are provided and obtaining them is in agreement with the General Data Protection Regulation (EU) (2016/679) (“GDPR”).</w:t>
            </w:r>
          </w:p>
          <w:p w14:paraId="321C12F7" w14:textId="77777777" w:rsidR="00A733BD" w:rsidRPr="00AC649C" w:rsidRDefault="00A733BD" w:rsidP="00A733BD">
            <w:pPr>
              <w:contextualSpacing/>
              <w:rPr>
                <w:b/>
                <w:bCs/>
                <w:lang w:val="en-US"/>
              </w:rPr>
            </w:pPr>
            <w:r w:rsidRPr="00AC649C">
              <w:rPr>
                <w:b/>
                <w:bCs/>
                <w:lang w:val="en-US"/>
              </w:rPr>
              <w:t xml:space="preserve">Related to Obj 2, </w:t>
            </w:r>
            <w:r w:rsidRPr="00A733BD">
              <w:rPr>
                <w:b/>
                <w:bCs/>
                <w:i/>
                <w:iCs/>
                <w:lang w:val="en-US"/>
              </w:rPr>
              <w:t>in vivo</w:t>
            </w:r>
          </w:p>
          <w:p w14:paraId="7A105B94" w14:textId="77777777" w:rsidR="00A733BD" w:rsidRDefault="00A733BD" w:rsidP="00A733BD">
            <w:pPr>
              <w:contextualSpacing/>
              <w:rPr>
                <w:lang w:val="en-US"/>
              </w:rPr>
            </w:pPr>
            <w:r>
              <w:rPr>
                <w:lang w:val="en-US"/>
              </w:rPr>
              <w:t>there will be no new clinical studies, but re-use of already existing data set within an new framework (PBPK, exploration of target attainment exposure) related to clinical trials (S64850, S51597) or DTA transfer agreements (related to S64850). Ethical issues therefore relate to data handling.</w:t>
            </w:r>
          </w:p>
          <w:p w14:paraId="045164AF" w14:textId="60963267" w:rsidR="00A733BD" w:rsidRDefault="00A733BD" w:rsidP="00A733BD">
            <w:pPr>
              <w:rPr>
                <w:lang w:val="en-US"/>
              </w:rPr>
            </w:pPr>
            <w:r w:rsidRPr="00AC649C">
              <w:rPr>
                <w:u w:val="single"/>
              </w:rPr>
              <w:t>Short description of the kind of personal data that will be used</w:t>
            </w:r>
            <w:r>
              <w:t>: name, birth date, birth weight, current weight, gestational age, postnatal age, postmenstrual age, diagnosis on admission, co-medication of included neonates. Data will be pseudonymised and DTA procedures are present.</w:t>
            </w:r>
          </w:p>
          <w:p w14:paraId="55BA1D31" w14:textId="77777777" w:rsidR="003D036F" w:rsidRDefault="003D036F" w:rsidP="00345E00">
            <w:pPr>
              <w:rPr>
                <w:lang w:val="en-US"/>
              </w:rPr>
            </w:pPr>
          </w:p>
        </w:tc>
      </w:tr>
      <w:tr w:rsidR="003D036F" w:rsidRPr="00F42A6F" w14:paraId="08F9FA7A" w14:textId="77777777" w:rsidTr="00436EB9">
        <w:trPr>
          <w:cantSplit/>
          <w:trHeight w:val="269"/>
        </w:trPr>
        <w:tc>
          <w:tcPr>
            <w:tcW w:w="4962" w:type="dxa"/>
          </w:tcPr>
          <w:p w14:paraId="4CB4FB7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61F1A22" w14:textId="675EFE9E" w:rsidR="00DF3028" w:rsidRPr="00250516" w:rsidRDefault="004B2307" w:rsidP="00DF3028">
            <w:pPr>
              <w:rPr>
                <w:lang w:val="en-US"/>
              </w:rPr>
            </w:pPr>
            <w:sdt>
              <w:sdtPr>
                <w:rPr>
                  <w:lang w:val="en-US"/>
                </w:rPr>
                <w:id w:val="-955715386"/>
                <w14:checkbox>
                  <w14:checked w14:val="0"/>
                  <w14:checkedState w14:val="2612" w14:font="MS Gothic"/>
                  <w14:uncheckedState w14:val="2610" w14:font="MS Gothic"/>
                </w14:checkbox>
              </w:sdtPr>
              <w:sdtEndPr/>
              <w:sdtContent>
                <w:r w:rsidR="00A733BD">
                  <w:rPr>
                    <w:rFonts w:ascii="MS Gothic" w:eastAsia="MS Gothic" w:hAnsi="MS Gothic" w:hint="eastAsia"/>
                    <w:lang w:val="en-US"/>
                  </w:rPr>
                  <w:t>☐</w:t>
                </w:r>
              </w:sdtContent>
            </w:sdt>
            <w:r w:rsidR="00DF3028">
              <w:rPr>
                <w:lang w:val="en-US"/>
              </w:rPr>
              <w:t xml:space="preserve"> Yes</w:t>
            </w:r>
          </w:p>
          <w:p w14:paraId="023A5C67" w14:textId="2580CC6F" w:rsidR="00DF3028" w:rsidRDefault="004B2307"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A733BD">
                  <w:rPr>
                    <w:rFonts w:ascii="MS Gothic" w:eastAsia="MS Gothic" w:hAnsi="MS Gothic" w:hint="eastAsia"/>
                    <w:lang w:val="en-US"/>
                  </w:rPr>
                  <w:t>☒</w:t>
                </w:r>
              </w:sdtContent>
            </w:sdt>
            <w:r w:rsidR="00DF3028">
              <w:rPr>
                <w:lang w:val="en-US"/>
              </w:rPr>
              <w:t xml:space="preserve"> No</w:t>
            </w:r>
          </w:p>
          <w:p w14:paraId="13F78AE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A995FB9" w14:textId="77777777" w:rsidR="003D036F" w:rsidRDefault="003D036F" w:rsidP="00345E00">
            <w:pPr>
              <w:rPr>
                <w:lang w:val="en-US"/>
              </w:rPr>
            </w:pPr>
          </w:p>
        </w:tc>
      </w:tr>
      <w:tr w:rsidR="003D036F" w:rsidRPr="00F42A6F" w14:paraId="57DD06DB" w14:textId="77777777" w:rsidTr="00436EB9">
        <w:trPr>
          <w:cantSplit/>
          <w:trHeight w:val="269"/>
        </w:trPr>
        <w:tc>
          <w:tcPr>
            <w:tcW w:w="4962" w:type="dxa"/>
          </w:tcPr>
          <w:p w14:paraId="790ACB9F"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E328088" w14:textId="63B57804" w:rsidR="007C3FA4" w:rsidRPr="00250516" w:rsidRDefault="004B2307"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927F42">
                  <w:rPr>
                    <w:rFonts w:ascii="MS Gothic" w:eastAsia="MS Gothic" w:hAnsi="MS Gothic" w:hint="eastAsia"/>
                    <w:lang w:val="en-US"/>
                  </w:rPr>
                  <w:t>☒</w:t>
                </w:r>
              </w:sdtContent>
            </w:sdt>
            <w:r w:rsidR="007C3FA4">
              <w:rPr>
                <w:lang w:val="en-US"/>
              </w:rPr>
              <w:t xml:space="preserve"> Yes</w:t>
            </w:r>
          </w:p>
          <w:p w14:paraId="6279BF4A" w14:textId="77777777" w:rsidR="007C3FA4" w:rsidRDefault="004B2307"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73AC6A92" w14:textId="77777777" w:rsidR="007C3FA4" w:rsidRDefault="007C3FA4" w:rsidP="007C3FA4">
            <w:pPr>
              <w:rPr>
                <w:lang w:val="en-US"/>
              </w:rPr>
            </w:pPr>
            <w:r>
              <w:rPr>
                <w:lang w:val="en-US"/>
              </w:rPr>
              <w:t xml:space="preserve">If yes, please explain: </w:t>
            </w:r>
          </w:p>
          <w:p w14:paraId="38816A6F" w14:textId="0DDE3368" w:rsidR="003D036F" w:rsidRDefault="00A733BD" w:rsidP="00345E00">
            <w:pPr>
              <w:rPr>
                <w:lang w:val="en-US"/>
              </w:rPr>
            </w:pPr>
            <w:r>
              <w:rPr>
                <w:lang w:val="en-US"/>
              </w:rPr>
              <w:t>The DTA agreements (to UZ Leuven and KU Leuven respectively) rightfully restrict the exploitation of the data to the research topic identified and described. Along the same line, there are agreements on timelines and procedures once data have been used to generate new (scientific) output and results.</w:t>
            </w:r>
          </w:p>
        </w:tc>
      </w:tr>
      <w:tr w:rsidR="003D036F" w:rsidRPr="00F42A6F" w14:paraId="18230C44" w14:textId="77777777" w:rsidTr="00436EB9">
        <w:trPr>
          <w:cantSplit/>
          <w:trHeight w:val="269"/>
        </w:trPr>
        <w:tc>
          <w:tcPr>
            <w:tcW w:w="4962" w:type="dxa"/>
          </w:tcPr>
          <w:p w14:paraId="555CD3ED"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53B192A" w14:textId="35689651" w:rsidR="00950DB8" w:rsidRPr="00250516" w:rsidRDefault="004B2307"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A733BD">
                  <w:rPr>
                    <w:rFonts w:ascii="MS Gothic" w:eastAsia="MS Gothic" w:hAnsi="MS Gothic" w:hint="eastAsia"/>
                    <w:lang w:val="en-US"/>
                  </w:rPr>
                  <w:t>☒</w:t>
                </w:r>
              </w:sdtContent>
            </w:sdt>
            <w:r w:rsidR="00950DB8">
              <w:rPr>
                <w:lang w:val="en-US"/>
              </w:rPr>
              <w:t xml:space="preserve"> Yes</w:t>
            </w:r>
          </w:p>
          <w:p w14:paraId="274159F1" w14:textId="0D2AF898" w:rsidR="00950DB8" w:rsidRDefault="004B2307"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A733BD">
                  <w:rPr>
                    <w:rFonts w:ascii="MS Gothic" w:eastAsia="MS Gothic" w:hAnsi="MS Gothic" w:hint="eastAsia"/>
                    <w:lang w:val="en-US"/>
                  </w:rPr>
                  <w:t>☐</w:t>
                </w:r>
              </w:sdtContent>
            </w:sdt>
            <w:r w:rsidR="00950DB8">
              <w:rPr>
                <w:lang w:val="en-US"/>
              </w:rPr>
              <w:t xml:space="preserve"> No</w:t>
            </w:r>
          </w:p>
          <w:p w14:paraId="11244BCB" w14:textId="77777777" w:rsidR="00950DB8" w:rsidRDefault="00950DB8" w:rsidP="00950DB8">
            <w:pPr>
              <w:rPr>
                <w:lang w:val="en-US"/>
              </w:rPr>
            </w:pPr>
            <w:r>
              <w:rPr>
                <w:lang w:val="en-US"/>
              </w:rPr>
              <w:t xml:space="preserve">If yes, please explain: </w:t>
            </w:r>
          </w:p>
          <w:p w14:paraId="387C6B09" w14:textId="48524DE6" w:rsidR="00A733BD" w:rsidRDefault="00A733BD" w:rsidP="00345E00">
            <w:pPr>
              <w:rPr>
                <w:lang w:val="en-US"/>
              </w:rPr>
            </w:pPr>
            <w:r>
              <w:rPr>
                <w:lang w:val="en-US"/>
              </w:rPr>
              <w:t xml:space="preserve">The DTA agreements (to UZ Leuven and KU Leuven respectively) rightfully restrict </w:t>
            </w:r>
            <w:r>
              <w:rPr>
                <w:lang w:val="en-US"/>
              </w:rPr>
              <w:t xml:space="preserve">and describe </w:t>
            </w:r>
            <w:r>
              <w:rPr>
                <w:lang w:val="en-US"/>
              </w:rPr>
              <w:t>the exploitation of the data to the research topic identified and described. Along the same line, there are agreements on timelines and procedures once data have been used to generate new (scientific) output and results.</w:t>
            </w:r>
            <w:r>
              <w:rPr>
                <w:lang w:val="en-US"/>
              </w:rPr>
              <w:t xml:space="preserve"> Legal issues have been handled by KU Leuven, KU LRD and UZ Leuven legal services and advice, and have resulted in the standing DTA for both the in vivo and the in vitro data. </w:t>
            </w:r>
          </w:p>
        </w:tc>
      </w:tr>
    </w:tbl>
    <w:p w14:paraId="139A57EF" w14:textId="77777777" w:rsidR="00171BFB" w:rsidRDefault="00171BFB"/>
    <w:p w14:paraId="232C2D63" w14:textId="77777777" w:rsidR="00171BFB" w:rsidRDefault="00171BFB"/>
    <w:p w14:paraId="70D60654"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3E32E0CE" w14:textId="77777777" w:rsidTr="005E32FD">
        <w:trPr>
          <w:cantSplit/>
          <w:trHeight w:val="269"/>
        </w:trPr>
        <w:tc>
          <w:tcPr>
            <w:tcW w:w="15593" w:type="dxa"/>
            <w:gridSpan w:val="2"/>
            <w:shd w:val="clear" w:color="auto" w:fill="5B9BD5" w:themeFill="accent5"/>
          </w:tcPr>
          <w:p w14:paraId="5DBDBCC6" w14:textId="77777777" w:rsidR="00877A71" w:rsidRPr="00184DDE" w:rsidRDefault="00171BFB" w:rsidP="00BA789F">
            <w:pPr>
              <w:pStyle w:val="Lijstalinea"/>
              <w:numPr>
                <w:ilvl w:val="0"/>
                <w:numId w:val="22"/>
              </w:numPr>
              <w:jc w:val="center"/>
              <w:rPr>
                <w:b/>
              </w:rPr>
            </w:pPr>
            <w:r>
              <w:rPr>
                <w:b/>
                <w:bCs/>
              </w:rPr>
              <w:t>Documentation and Metadata</w:t>
            </w:r>
          </w:p>
          <w:p w14:paraId="52FFE64C" w14:textId="77777777" w:rsidR="00184DDE" w:rsidRPr="00AB71F6" w:rsidRDefault="00184DDE" w:rsidP="00184DDE">
            <w:pPr>
              <w:pStyle w:val="Lijstalinea"/>
              <w:ind w:left="1080"/>
              <w:rPr>
                <w:b/>
              </w:rPr>
            </w:pPr>
          </w:p>
        </w:tc>
      </w:tr>
      <w:tr w:rsidR="002300DE" w14:paraId="4F388C42" w14:textId="77777777" w:rsidTr="00436EB9">
        <w:trPr>
          <w:cantSplit/>
          <w:trHeight w:val="269"/>
        </w:trPr>
        <w:tc>
          <w:tcPr>
            <w:tcW w:w="4962" w:type="dxa"/>
            <w:shd w:val="clear" w:color="auto" w:fill="FFFFFF" w:themeFill="background1"/>
          </w:tcPr>
          <w:p w14:paraId="40E70797"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A1B1401" w14:textId="77777777" w:rsidR="00EF7190" w:rsidRDefault="00EF7190" w:rsidP="0035345E">
            <w:pPr>
              <w:jc w:val="both"/>
            </w:pPr>
          </w:p>
          <w:p w14:paraId="7BDB56A2"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89770D3" w14:textId="77777777" w:rsidR="00CA2D12" w:rsidRPr="00CA2D12" w:rsidRDefault="00CA2D12" w:rsidP="00EF7190">
            <w:pPr>
              <w:jc w:val="both"/>
              <w:rPr>
                <w:i/>
              </w:rPr>
            </w:pPr>
          </w:p>
        </w:tc>
        <w:tc>
          <w:tcPr>
            <w:tcW w:w="10631" w:type="dxa"/>
            <w:shd w:val="clear" w:color="auto" w:fill="FFFFFF" w:themeFill="background1"/>
          </w:tcPr>
          <w:p w14:paraId="4A13D522" w14:textId="799DF268" w:rsidR="00A733BD" w:rsidRDefault="00A733BD" w:rsidP="00A733BD">
            <w:pPr>
              <w:contextualSpacing/>
              <w:jc w:val="both"/>
            </w:pPr>
            <w:proofErr w:type="spellStart"/>
            <w:r w:rsidRPr="00A733BD">
              <w:rPr>
                <w:b/>
                <w:bCs/>
              </w:rPr>
              <w:t>Obj</w:t>
            </w:r>
            <w:proofErr w:type="spellEnd"/>
            <w:r w:rsidRPr="00A733BD">
              <w:rPr>
                <w:b/>
                <w:bCs/>
              </w:rPr>
              <w:t xml:space="preserve"> </w:t>
            </w:r>
            <w:r w:rsidR="00DD3D1D">
              <w:rPr>
                <w:b/>
                <w:bCs/>
              </w:rPr>
              <w:t>2</w:t>
            </w:r>
            <w:r w:rsidRPr="00A733BD">
              <w:rPr>
                <w:b/>
                <w:bCs/>
              </w:rPr>
              <w:t xml:space="preserve">, </w:t>
            </w:r>
            <w:r w:rsidRPr="00A733BD">
              <w:rPr>
                <w:b/>
                <w:bCs/>
                <w:i/>
                <w:iCs/>
              </w:rPr>
              <w:t>i</w:t>
            </w:r>
            <w:r w:rsidRPr="00A733BD">
              <w:rPr>
                <w:b/>
                <w:bCs/>
                <w:i/>
                <w:iCs/>
              </w:rPr>
              <w:t>n vitro</w:t>
            </w:r>
            <w:r>
              <w:t xml:space="preserve"> </w:t>
            </w:r>
          </w:p>
          <w:p w14:paraId="45C3DA15" w14:textId="77777777" w:rsidR="00A733BD" w:rsidRDefault="00A733BD" w:rsidP="00A733BD">
            <w:pPr>
              <w:contextualSpacing/>
              <w:jc w:val="both"/>
            </w:pPr>
            <w:r>
              <w:t>Documentation will consist of notes in the laboratory notebook (with an electronic backup stored on Box sharing system), that refer to specific experiments and datasets. These notes will describe and document the experimental set-up, biological samples used (certificates of in vitro systems), protocols used, and the names of the respective databases. Initials of the person who conducted the experiments will be noted.? In vivo human documentation: Research methods and practices (including sampling material, volumes, timing, bioanalytical methods used etc) will be documented in the study protocols as word files (EC templates), and additional study SOPs (Standard Operating Procedures) where needed. A blank copy of the informed consent form will also be stored.</w:t>
            </w:r>
          </w:p>
          <w:p w14:paraId="452FA5C7" w14:textId="496B9505" w:rsidR="00A733BD" w:rsidRDefault="00A733BD" w:rsidP="00A733BD">
            <w:pPr>
              <w:contextualSpacing/>
              <w:jc w:val="both"/>
            </w:pPr>
            <w:r>
              <w:t xml:space="preserve">Final versions of algorithms and scripts will be implemented in manuscripts / research papers, and may be provided in open source platforms e.g. </w:t>
            </w:r>
            <w:proofErr w:type="spellStart"/>
            <w:r>
              <w:t>Github</w:t>
            </w:r>
            <w:proofErr w:type="spellEnd"/>
            <w:r>
              <w:t xml:space="preserve"> (</w:t>
            </w:r>
            <w:hyperlink r:id="rId11" w:history="1">
              <w:r w:rsidRPr="0083424F">
                <w:rPr>
                  <w:rStyle w:val="Hyperlink"/>
                </w:rPr>
                <w:t>http://github.com/Open-Systems-Pharmacology</w:t>
              </w:r>
            </w:hyperlink>
            <w:r>
              <w:t>).</w:t>
            </w:r>
          </w:p>
          <w:p w14:paraId="0ECC002E" w14:textId="3D035DBB" w:rsidR="00A733BD" w:rsidRDefault="00A733BD" w:rsidP="00A733BD">
            <w:pPr>
              <w:contextualSpacing/>
              <w:jc w:val="both"/>
            </w:pPr>
            <w:r>
              <w:t>All databases will contain definitions of variables and units in a legend section.</w:t>
            </w:r>
          </w:p>
          <w:p w14:paraId="3E9031DD" w14:textId="5A70CC15" w:rsidR="00A733BD" w:rsidRDefault="00A733BD" w:rsidP="00A733BD">
            <w:pPr>
              <w:contextualSpacing/>
              <w:jc w:val="both"/>
              <w:rPr>
                <w:b/>
                <w:bCs/>
                <w:i/>
                <w:iCs/>
              </w:rPr>
            </w:pPr>
            <w:proofErr w:type="spellStart"/>
            <w:r w:rsidRPr="00A733BD">
              <w:rPr>
                <w:b/>
                <w:bCs/>
              </w:rPr>
              <w:t>Obj</w:t>
            </w:r>
            <w:proofErr w:type="spellEnd"/>
            <w:r w:rsidRPr="00A733BD">
              <w:rPr>
                <w:b/>
                <w:bCs/>
              </w:rPr>
              <w:t xml:space="preserve"> </w:t>
            </w:r>
            <w:r w:rsidR="00DD3D1D">
              <w:rPr>
                <w:b/>
                <w:bCs/>
              </w:rPr>
              <w:t>2</w:t>
            </w:r>
            <w:r w:rsidRPr="00A733BD">
              <w:rPr>
                <w:b/>
                <w:bCs/>
              </w:rPr>
              <w:t xml:space="preserve">, </w:t>
            </w:r>
            <w:r w:rsidRPr="00A733BD">
              <w:rPr>
                <w:b/>
                <w:bCs/>
                <w:i/>
                <w:iCs/>
              </w:rPr>
              <w:t>in vivo</w:t>
            </w:r>
          </w:p>
          <w:p w14:paraId="4DCC3291" w14:textId="77777777" w:rsidR="00CA2D12" w:rsidRDefault="00E54965" w:rsidP="00E54965">
            <w:pPr>
              <w:contextualSpacing/>
              <w:rPr>
                <w:lang w:val="en-US"/>
              </w:rPr>
            </w:pPr>
            <w:r>
              <w:rPr>
                <w:lang w:val="en-US"/>
              </w:rPr>
              <w:t>T</w:t>
            </w:r>
            <w:r>
              <w:rPr>
                <w:lang w:val="en-US"/>
              </w:rPr>
              <w:t xml:space="preserve">here will be no new clinical studies, but re-use of already existing data set within an new framework (PBPK, exploration of target attainment exposure) related to clinical trials (S64850, S51597) or DTA transfer agreements (related to S64850). </w:t>
            </w:r>
            <w:r>
              <w:rPr>
                <w:lang w:val="en-US"/>
              </w:rPr>
              <w:t xml:space="preserve">As this relates to re-use, these data are already understandable and usable, including e.g. legends, and this will remain similar (taking the DTA agreement into account, as UZ Leuven or KU Leuven are not always the owner of the data). </w:t>
            </w:r>
          </w:p>
          <w:p w14:paraId="54CA9DCE" w14:textId="77777777" w:rsidR="00DD3D1D" w:rsidRDefault="00DD3D1D" w:rsidP="00E54965">
            <w:pPr>
              <w:contextualSpacing/>
              <w:rPr>
                <w:b/>
                <w:bCs/>
                <w:lang w:val="en-US"/>
              </w:rPr>
            </w:pPr>
            <w:r w:rsidRPr="00DD3D1D">
              <w:rPr>
                <w:b/>
                <w:bCs/>
                <w:lang w:val="en-US"/>
              </w:rPr>
              <w:t>Obj 3</w:t>
            </w:r>
          </w:p>
          <w:p w14:paraId="54D01EC0" w14:textId="44FDBF58" w:rsidR="00DD3D1D" w:rsidRPr="00DD3D1D" w:rsidRDefault="00DD3D1D" w:rsidP="00DD3D1D">
            <w:pPr>
              <w:jc w:val="both"/>
            </w:pPr>
            <w:r w:rsidRPr="00DD3D1D">
              <w:t>Quantitative simulations (data-driven predictions) and logs generated following iterative steps taken, and assumptions made, during PBPK model development</w:t>
            </w:r>
            <w:r w:rsidRPr="00DD3D1D">
              <w:t xml:space="preserve"> will be stored. </w:t>
            </w:r>
            <w:r w:rsidRPr="00DD3D1D">
              <w:t>The PBPK model code and source data will be provided upon publication and afterwards in an open source platform (</w:t>
            </w:r>
            <w:proofErr w:type="spellStart"/>
            <w:r w:rsidRPr="00DD3D1D">
              <w:t>Github</w:t>
            </w:r>
            <w:proofErr w:type="spellEnd"/>
            <w:r w:rsidRPr="00DD3D1D">
              <w:t xml:space="preserve"> (http://github.com/Open-Systems-Pharmacology). </w:t>
            </w:r>
          </w:p>
        </w:tc>
      </w:tr>
      <w:tr w:rsidR="002300DE" w14:paraId="20ACE4C3" w14:textId="77777777" w:rsidTr="00436EB9">
        <w:trPr>
          <w:cantSplit/>
          <w:trHeight w:val="269"/>
        </w:trPr>
        <w:tc>
          <w:tcPr>
            <w:tcW w:w="4962" w:type="dxa"/>
            <w:shd w:val="clear" w:color="auto" w:fill="FFFFFF" w:themeFill="background1"/>
          </w:tcPr>
          <w:p w14:paraId="47699804"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8F9BBB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2B198" w14:textId="77777777" w:rsidR="00771CF4" w:rsidRDefault="00771CF4" w:rsidP="00771CF4">
            <w:pPr>
              <w:rPr>
                <w:rFonts w:ascii="Arial" w:eastAsia="Times New Roman" w:hAnsi="Arial" w:cs="Arial"/>
                <w:sz w:val="16"/>
                <w:szCs w:val="16"/>
                <w:lang w:val="en-US" w:eastAsia="nl-BE"/>
              </w:rPr>
            </w:pPr>
          </w:p>
          <w:p w14:paraId="7F83FFD0"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05F9C87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A8C91D0" w14:textId="77777777" w:rsidR="00CA2D12" w:rsidRPr="00250516" w:rsidRDefault="004B2307"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5DC2B9D1" w14:textId="77777777" w:rsidR="00CA2D12" w:rsidRDefault="004B2307"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125F7E4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9FF415E" w14:textId="77777777" w:rsidR="00E54965" w:rsidRDefault="00E54965" w:rsidP="00F81457">
            <w:pPr>
              <w:rPr>
                <w:lang w:val="en-US"/>
              </w:rPr>
            </w:pPr>
          </w:p>
          <w:p w14:paraId="0E2F820C" w14:textId="5EDC06D7" w:rsidR="00F81457" w:rsidRDefault="00E54965" w:rsidP="00F81457">
            <w:pPr>
              <w:rPr>
                <w:lang w:val="en-US"/>
              </w:rPr>
            </w:pPr>
            <w:r>
              <w:rPr>
                <w:lang w:val="en-US"/>
              </w:rPr>
              <w:t xml:space="preserve">For both the in vitro as well as the in vivo data, </w:t>
            </w:r>
            <w:r w:rsidRPr="00E54965">
              <w:rPr>
                <w:u w:val="single"/>
                <w:lang w:val="en-US"/>
              </w:rPr>
              <w:t>no metadata standards</w:t>
            </w:r>
            <w:r>
              <w:rPr>
                <w:lang w:val="en-US"/>
              </w:rPr>
              <w:t xml:space="preserve"> are available. </w:t>
            </w:r>
          </w:p>
          <w:p w14:paraId="39577642" w14:textId="77777777" w:rsidR="00DD3D1D" w:rsidRDefault="00DD3D1D" w:rsidP="00E54965">
            <w:pPr>
              <w:contextualSpacing/>
              <w:jc w:val="both"/>
              <w:rPr>
                <w:b/>
                <w:bCs/>
              </w:rPr>
            </w:pPr>
          </w:p>
          <w:p w14:paraId="219D0AEA" w14:textId="211EE582" w:rsidR="00E54965" w:rsidRDefault="00E54965" w:rsidP="00E54965">
            <w:pPr>
              <w:contextualSpacing/>
              <w:jc w:val="both"/>
            </w:pPr>
            <w:proofErr w:type="spellStart"/>
            <w:r w:rsidRPr="00A733BD">
              <w:rPr>
                <w:b/>
                <w:bCs/>
              </w:rPr>
              <w:t>Obj</w:t>
            </w:r>
            <w:proofErr w:type="spellEnd"/>
            <w:r w:rsidRPr="00A733BD">
              <w:rPr>
                <w:b/>
                <w:bCs/>
              </w:rPr>
              <w:t xml:space="preserve"> 3, </w:t>
            </w:r>
            <w:r w:rsidRPr="00A733BD">
              <w:rPr>
                <w:b/>
                <w:bCs/>
                <w:i/>
                <w:iCs/>
              </w:rPr>
              <w:t>in vitro</w:t>
            </w:r>
            <w:r>
              <w:t xml:space="preserve"> </w:t>
            </w:r>
          </w:p>
          <w:p w14:paraId="1A212C09" w14:textId="77777777" w:rsidR="00E54965" w:rsidRDefault="00E54965" w:rsidP="00E54965">
            <w:pPr>
              <w:contextualSpacing/>
              <w:jc w:val="both"/>
            </w:pPr>
            <w:r>
              <w:t xml:space="preserve">For the in vitro data, we will collect the following metadata: </w:t>
            </w:r>
          </w:p>
          <w:p w14:paraId="0BDB53FB" w14:textId="28662004" w:rsidR="00E54965" w:rsidRDefault="00E54965" w:rsidP="00E54965">
            <w:pPr>
              <w:contextualSpacing/>
              <w:jc w:val="both"/>
            </w:pPr>
            <w:r w:rsidRPr="00E54965">
              <w:rPr>
                <w:u w:val="single"/>
              </w:rPr>
              <w:t>In vitro model system</w:t>
            </w:r>
            <w:r>
              <w:t>: species, type (suspended/cultured hepatocytes, microsomes,S9 fractions), protein content (mg/mL), cell density (million cells/mL), other donor-specific characteristics (if applicable and available, e.g. specific enzyme activities, number of donors pooled,...)</w:t>
            </w:r>
            <w:r>
              <w:t xml:space="preserve">; </w:t>
            </w:r>
            <w:r w:rsidRPr="00E54965">
              <w:rPr>
                <w:u w:val="single"/>
              </w:rPr>
              <w:t>Experimental conditions</w:t>
            </w:r>
            <w:r>
              <w:t>: model drug, incubation time, incubation concentration, sample volume, incubation temperature, extracellular protein content (type/concentration), sampling scheme, number of replicates</w:t>
            </w:r>
            <w:r>
              <w:t xml:space="preserve">; </w:t>
            </w:r>
            <w:r w:rsidRPr="00E54965">
              <w:rPr>
                <w:u w:val="single"/>
              </w:rPr>
              <w:t>Samples generated</w:t>
            </w:r>
            <w:r>
              <w:t>: type (activity/abundance), volumes, dilutions, processing steps (centrifugation, filtration or precipitation,...)</w:t>
            </w:r>
            <w:r>
              <w:t xml:space="preserve">; </w:t>
            </w:r>
            <w:r w:rsidRPr="00E54965">
              <w:rPr>
                <w:u w:val="single"/>
              </w:rPr>
              <w:t>Endpoints:</w:t>
            </w:r>
            <w:r>
              <w:t xml:space="preserve"> Activities towards model drugs (uptake and/or metabolic rates or clearance values normalised for protein content or number of cells, protein abundances (</w:t>
            </w:r>
            <w:proofErr w:type="spellStart"/>
            <w:r>
              <w:t>pmol</w:t>
            </w:r>
            <w:proofErr w:type="spellEnd"/>
            <w:r>
              <w:t>/mg protein).</w:t>
            </w:r>
          </w:p>
          <w:p w14:paraId="20B8801C" w14:textId="2558225E" w:rsidR="00E54965" w:rsidRDefault="00E54965" w:rsidP="00E54965">
            <w:pPr>
              <w:contextualSpacing/>
              <w:jc w:val="both"/>
            </w:pPr>
            <w:r>
              <w:t xml:space="preserve">Final versions of algorithms and scripts will be implemented in manuscripts / research papers, and may be provided in open source platforms e.g. </w:t>
            </w:r>
            <w:proofErr w:type="spellStart"/>
            <w:r>
              <w:t>Github</w:t>
            </w:r>
            <w:proofErr w:type="spellEnd"/>
            <w:r>
              <w:t xml:space="preserve"> (</w:t>
            </w:r>
            <w:hyperlink r:id="rId12" w:history="1">
              <w:r w:rsidRPr="0083424F">
                <w:rPr>
                  <w:rStyle w:val="Hyperlink"/>
                </w:rPr>
                <w:t>http://github.com/Open-Systems-Pharmacology</w:t>
              </w:r>
            </w:hyperlink>
            <w:r>
              <w:t>).</w:t>
            </w:r>
          </w:p>
          <w:p w14:paraId="6117887D" w14:textId="77777777" w:rsidR="00E54965" w:rsidRDefault="00E54965" w:rsidP="00E54965">
            <w:pPr>
              <w:contextualSpacing/>
              <w:jc w:val="both"/>
            </w:pPr>
            <w:r>
              <w:t>All databases will contain definitions of variables and units in a legend section.</w:t>
            </w:r>
          </w:p>
          <w:p w14:paraId="12ECCA70" w14:textId="77777777" w:rsidR="00DD3D1D" w:rsidRDefault="00DD3D1D" w:rsidP="00E54965">
            <w:pPr>
              <w:jc w:val="both"/>
              <w:rPr>
                <w:b/>
                <w:bCs/>
              </w:rPr>
            </w:pPr>
          </w:p>
          <w:p w14:paraId="55461044" w14:textId="516367D2" w:rsidR="002300DE" w:rsidRDefault="00E54965" w:rsidP="00E54965">
            <w:pPr>
              <w:jc w:val="both"/>
              <w:rPr>
                <w:b/>
                <w:bCs/>
                <w:i/>
                <w:iCs/>
              </w:rPr>
            </w:pPr>
            <w:proofErr w:type="spellStart"/>
            <w:r>
              <w:rPr>
                <w:b/>
                <w:bCs/>
              </w:rPr>
              <w:t>Obj</w:t>
            </w:r>
            <w:proofErr w:type="spellEnd"/>
            <w:r>
              <w:rPr>
                <w:b/>
                <w:bCs/>
              </w:rPr>
              <w:t xml:space="preserve"> </w:t>
            </w:r>
            <w:r w:rsidR="00DD3D1D">
              <w:rPr>
                <w:b/>
                <w:bCs/>
              </w:rPr>
              <w:t>2</w:t>
            </w:r>
            <w:r>
              <w:rPr>
                <w:b/>
                <w:bCs/>
              </w:rPr>
              <w:t xml:space="preserve">, </w:t>
            </w:r>
            <w:r w:rsidRPr="00E54965">
              <w:rPr>
                <w:b/>
                <w:bCs/>
                <w:i/>
                <w:iCs/>
              </w:rPr>
              <w:t>in vivo</w:t>
            </w:r>
          </w:p>
          <w:p w14:paraId="5D289C84" w14:textId="2889955B" w:rsidR="00E54965" w:rsidRPr="00E54965" w:rsidRDefault="00E54965" w:rsidP="00E54965">
            <w:pPr>
              <w:jc w:val="both"/>
            </w:pPr>
            <w:r w:rsidRPr="00E54965">
              <w:t xml:space="preserve">For the in vivo data, we will collect the following metadata: </w:t>
            </w:r>
          </w:p>
          <w:p w14:paraId="21147FEB" w14:textId="7EC8028F" w:rsidR="00E54965" w:rsidRDefault="00E54965" w:rsidP="00E54965">
            <w:pPr>
              <w:contextualSpacing/>
              <w:jc w:val="both"/>
            </w:pPr>
            <w:r w:rsidRPr="00E54965">
              <w:rPr>
                <w:u w:val="single"/>
              </w:rPr>
              <w:t>Patient:</w:t>
            </w:r>
            <w:r>
              <w:t xml:space="preserve"> study ID, gestational age (GA), postnatal age (PNA), postmenstrual age (PMA), birth weight (BW), current weight (CW), diagnosis on admission</w:t>
            </w:r>
            <w:r>
              <w:t xml:space="preserve">; </w:t>
            </w:r>
            <w:r w:rsidRPr="00E54965">
              <w:rPr>
                <w:u w:val="single"/>
              </w:rPr>
              <w:t>Drug:</w:t>
            </w:r>
            <w:r>
              <w:t xml:space="preserve"> dose, date and time of administration, route and rate of administration, sampling time, concentration in blood. For the available datasets used for model evaluation (no prospective collection)</w:t>
            </w:r>
            <w:r>
              <w:t xml:space="preserve">; </w:t>
            </w:r>
            <w:r w:rsidRPr="00E54965">
              <w:rPr>
                <w:u w:val="single"/>
              </w:rPr>
              <w:t>Biochemical data:</w:t>
            </w:r>
            <w:r>
              <w:t xml:space="preserve"> albuminemia (g/L), </w:t>
            </w:r>
            <w:proofErr w:type="spellStart"/>
            <w:r>
              <w:t>creatininemia</w:t>
            </w:r>
            <w:proofErr w:type="spellEnd"/>
            <w:r>
              <w:t xml:space="preserve"> (mg/dL), total bilirubin (mg/dL), direct bilirubin (mg/dL)</w:t>
            </w:r>
            <w:r>
              <w:t xml:space="preserve">; </w:t>
            </w:r>
            <w:r w:rsidRPr="00E54965">
              <w:rPr>
                <w:u w:val="single"/>
              </w:rPr>
              <w:t>Clinical data:</w:t>
            </w:r>
            <w:r>
              <w:t xml:space="preserve"> respiratory support (yes/no), mechanical ventilation (yes/no), sepsis (no/suspected/confirmed), co-medication.</w:t>
            </w:r>
          </w:p>
          <w:p w14:paraId="4B193256" w14:textId="3018B7DD" w:rsidR="00E54965" w:rsidRPr="00E54965" w:rsidRDefault="00E54965" w:rsidP="00534707">
            <w:pPr>
              <w:jc w:val="both"/>
              <w:rPr>
                <w:b/>
                <w:bCs/>
              </w:rPr>
            </w:pPr>
          </w:p>
        </w:tc>
      </w:tr>
    </w:tbl>
    <w:p w14:paraId="23D0C650" w14:textId="77777777" w:rsidR="00CE6D90" w:rsidRDefault="00CE6D90"/>
    <w:p w14:paraId="1B54AAC1"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8053559" w14:textId="77777777" w:rsidTr="005E32FD">
        <w:trPr>
          <w:cantSplit/>
          <w:trHeight w:val="269"/>
        </w:trPr>
        <w:tc>
          <w:tcPr>
            <w:tcW w:w="15593" w:type="dxa"/>
            <w:gridSpan w:val="2"/>
            <w:shd w:val="clear" w:color="auto" w:fill="5B9BD5" w:themeFill="accent5"/>
          </w:tcPr>
          <w:p w14:paraId="1A2770BA" w14:textId="77777777" w:rsidR="009F7382" w:rsidRPr="009F7382" w:rsidRDefault="009F7382" w:rsidP="00BA789F">
            <w:pPr>
              <w:pStyle w:val="Lijstalinea"/>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61C5567" w14:textId="77777777" w:rsidR="00877A71" w:rsidRPr="00145CC7" w:rsidRDefault="00877A71" w:rsidP="00EE6614">
            <w:pPr>
              <w:ind w:left="360"/>
              <w:jc w:val="center"/>
              <w:rPr>
                <w:b/>
              </w:rPr>
            </w:pPr>
          </w:p>
        </w:tc>
      </w:tr>
      <w:tr w:rsidR="002300DE" w:rsidRPr="00F42A6F" w14:paraId="42686B4B" w14:textId="77777777" w:rsidTr="00436EB9">
        <w:trPr>
          <w:cantSplit/>
          <w:trHeight w:val="269"/>
        </w:trPr>
        <w:tc>
          <w:tcPr>
            <w:tcW w:w="4962" w:type="dxa"/>
          </w:tcPr>
          <w:p w14:paraId="3ADC6495" w14:textId="77777777" w:rsidR="002300DE" w:rsidRDefault="00CE6D90" w:rsidP="008F2D7E">
            <w:r w:rsidRPr="002B78E0">
              <w:t>Where will the data be stored?</w:t>
            </w:r>
          </w:p>
          <w:p w14:paraId="340B8C62" w14:textId="77777777" w:rsidR="00762983" w:rsidRDefault="00762983" w:rsidP="008F2D7E"/>
          <w:p w14:paraId="3A1566C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2152F65" w14:textId="33AD52CC" w:rsidR="00975C08" w:rsidRPr="00250516" w:rsidRDefault="004B2307" w:rsidP="00975C08">
            <w:pPr>
              <w:rPr>
                <w:lang w:val="en-US"/>
              </w:rPr>
            </w:pPr>
            <w:sdt>
              <w:sdtPr>
                <w:rPr>
                  <w:lang w:val="en-US"/>
                </w:rPr>
                <w:id w:val="-642347297"/>
                <w14:checkbox>
                  <w14:checked w14:val="1"/>
                  <w14:checkedState w14:val="2612" w14:font="MS Gothic"/>
                  <w14:uncheckedState w14:val="2610" w14:font="MS Gothic"/>
                </w14:checkbox>
              </w:sdtPr>
              <w:sdtEndPr/>
              <w:sdtContent>
                <w:r w:rsidR="00DD3D1D">
                  <w:rPr>
                    <w:rFonts w:ascii="MS Gothic" w:eastAsia="MS Gothic" w:hAnsi="MS Gothic" w:hint="eastAsia"/>
                    <w:lang w:val="en-US"/>
                  </w:rPr>
                  <w:t>☒</w:t>
                </w:r>
              </w:sdtContent>
            </w:sdt>
            <w:r w:rsidR="00975C08">
              <w:rPr>
                <w:lang w:val="en-US"/>
              </w:rPr>
              <w:t xml:space="preserve"> Shared network drive (J-drive)</w:t>
            </w:r>
          </w:p>
          <w:p w14:paraId="61C811A0" w14:textId="77777777" w:rsidR="00975C08" w:rsidRDefault="004B2307"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53592275" w14:textId="77777777" w:rsidR="00975C08" w:rsidRPr="00250516" w:rsidRDefault="004B2307"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1D8BBB99" w14:textId="77777777" w:rsidR="00975C08" w:rsidRDefault="004B2307"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4A88EF0" w14:textId="77777777" w:rsidR="00975C08" w:rsidRPr="00250516" w:rsidRDefault="004B2307"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1804310" w14:textId="77777777" w:rsidR="00975C08" w:rsidRDefault="004B2307"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5099874A" w14:textId="77777777" w:rsidR="007A5CC7" w:rsidRPr="00250516" w:rsidRDefault="004B2307"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2CE810DA" w14:textId="77777777" w:rsidR="00CE6D90" w:rsidRDefault="004B2307"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DDB5568" w14:textId="4B3BED81" w:rsidR="00BC2885" w:rsidRPr="00DD3D1D" w:rsidRDefault="00DD3D1D" w:rsidP="00B43A91">
            <w:r>
              <w:t>The J-drive</w:t>
            </w:r>
            <w:r>
              <w:t xml:space="preserve"> is already used for the </w:t>
            </w:r>
            <w:proofErr w:type="spellStart"/>
            <w:r>
              <w:t>iPREDICT</w:t>
            </w:r>
            <w:proofErr w:type="spellEnd"/>
            <w:r>
              <w:t xml:space="preserve"> project, and for consistency, it is very logic to continue to work within this environments. It</w:t>
            </w:r>
            <w:r>
              <w:t xml:space="preserve"> provides a minimum capacity of 100 Gb. We anticipate this capacity is sufficient </w:t>
            </w:r>
            <w:r>
              <w:t>to add the REPAIR</w:t>
            </w:r>
            <w:r w:rsidR="004B2307">
              <w:t>-Neo</w:t>
            </w:r>
            <w:r>
              <w:t xml:space="preserve"> to the </w:t>
            </w:r>
            <w:r>
              <w:t xml:space="preserve">I-PREDICT project. </w:t>
            </w:r>
            <w:r w:rsidR="00B43A91">
              <w:t>As backup, this J drive capacity can be expanded if this were needed</w:t>
            </w:r>
          </w:p>
        </w:tc>
      </w:tr>
      <w:tr w:rsidR="002300DE" w:rsidRPr="00F42A6F" w14:paraId="28C30F3D" w14:textId="77777777" w:rsidTr="00436EB9">
        <w:trPr>
          <w:cantSplit/>
          <w:trHeight w:val="269"/>
        </w:trPr>
        <w:tc>
          <w:tcPr>
            <w:tcW w:w="4962" w:type="dxa"/>
          </w:tcPr>
          <w:p w14:paraId="3AE90765" w14:textId="77777777" w:rsidR="0008393F" w:rsidRDefault="00C67569" w:rsidP="00877A71">
            <w:r w:rsidRPr="002B78E0">
              <w:t>How will the data be backed up?</w:t>
            </w:r>
          </w:p>
          <w:p w14:paraId="18CD7DCB" w14:textId="77777777" w:rsidR="0008393F" w:rsidRDefault="0008393F" w:rsidP="0008393F"/>
          <w:p w14:paraId="1E5F8EE5"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52F998DE" w14:textId="7BAB86E5" w:rsidR="00F04613" w:rsidRDefault="004B2307" w:rsidP="00F04613">
            <w:pPr>
              <w:rPr>
                <w:lang w:val="en-US"/>
              </w:rPr>
            </w:pPr>
            <w:sdt>
              <w:sdtPr>
                <w:rPr>
                  <w:lang w:val="en-US"/>
                </w:rPr>
                <w:id w:val="-563640976"/>
                <w14:checkbox>
                  <w14:checked w14:val="1"/>
                  <w14:checkedState w14:val="2612" w14:font="MS Gothic"/>
                  <w14:uncheckedState w14:val="2610" w14:font="MS Gothic"/>
                </w14:checkbox>
              </w:sdtPr>
              <w:sdtEndPr/>
              <w:sdtContent>
                <w:r w:rsidR="00B43A91">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C6A66E5" w14:textId="77777777" w:rsidR="00F04613" w:rsidRPr="00250516" w:rsidRDefault="004B2307"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8FA4EC3" w14:textId="77777777" w:rsidR="00F04613" w:rsidRDefault="004B2307"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25AC5413" w14:textId="77777777" w:rsidR="002300DE" w:rsidRDefault="002300DE" w:rsidP="00C67569">
            <w:pPr>
              <w:rPr>
                <w:rFonts w:ascii="MS Gothic" w:eastAsia="MS Gothic" w:hAnsi="MS Gothic"/>
                <w:lang w:val="en-US"/>
              </w:rPr>
            </w:pPr>
          </w:p>
          <w:p w14:paraId="5F223072" w14:textId="77777777" w:rsidR="00C67569" w:rsidRDefault="00C67569" w:rsidP="00C67569">
            <w:pPr>
              <w:rPr>
                <w:b/>
                <w:bCs/>
                <w:lang w:val="en-US"/>
              </w:rPr>
            </w:pPr>
          </w:p>
          <w:p w14:paraId="3DA9738F" w14:textId="77777777" w:rsidR="00C67569" w:rsidRPr="00CA2D12" w:rsidRDefault="00C67569" w:rsidP="00F04613">
            <w:pPr>
              <w:shd w:val="clear" w:color="auto" w:fill="FFFFFF"/>
              <w:rPr>
                <w:b/>
                <w:bCs/>
                <w:lang w:val="en-US"/>
              </w:rPr>
            </w:pPr>
          </w:p>
        </w:tc>
      </w:tr>
      <w:tr w:rsidR="00C271CA" w:rsidRPr="00F42A6F" w14:paraId="64DEC783" w14:textId="77777777" w:rsidTr="00436EB9">
        <w:trPr>
          <w:cantSplit/>
          <w:trHeight w:val="269"/>
        </w:trPr>
        <w:tc>
          <w:tcPr>
            <w:tcW w:w="4962" w:type="dxa"/>
          </w:tcPr>
          <w:p w14:paraId="5E2C6C47"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942C6D1" w14:textId="35712883" w:rsidR="00C271CA" w:rsidRPr="00436EB9" w:rsidRDefault="004B2307"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B43A91">
                  <w:rPr>
                    <w:rFonts w:ascii="MS Gothic" w:eastAsia="MS Gothic" w:hAnsi="MS Gothic" w:hint="eastAsia"/>
                    <w:lang w:val="en-US"/>
                  </w:rPr>
                  <w:t>☒</w:t>
                </w:r>
              </w:sdtContent>
            </w:sdt>
            <w:r w:rsidR="00C271CA" w:rsidRPr="00436EB9">
              <w:rPr>
                <w:lang w:val="en-US"/>
              </w:rPr>
              <w:t xml:space="preserve"> Yes</w:t>
            </w:r>
          </w:p>
          <w:p w14:paraId="41D236C3" w14:textId="77777777" w:rsidR="00C271CA" w:rsidRPr="00436EB9" w:rsidRDefault="004B2307"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88BB3D4" w14:textId="76CD0EFE" w:rsidR="0087485C" w:rsidRDefault="00B43A91" w:rsidP="00C271CA">
            <w:pPr>
              <w:rPr>
                <w:bCs/>
              </w:rPr>
            </w:pPr>
            <w:r>
              <w:t>As backup, th</w:t>
            </w:r>
            <w:r>
              <w:t>e</w:t>
            </w:r>
            <w:r>
              <w:t xml:space="preserve"> J drive capacity can be expanded if this were needed</w:t>
            </w:r>
          </w:p>
          <w:p w14:paraId="2C521AE7" w14:textId="77777777" w:rsidR="0087485C" w:rsidRPr="00436EB9" w:rsidRDefault="0087485C" w:rsidP="00B43A91">
            <w:pPr>
              <w:rPr>
                <w:bCs/>
              </w:rPr>
            </w:pPr>
          </w:p>
        </w:tc>
      </w:tr>
      <w:tr w:rsidR="00C271CA" w:rsidRPr="00F42A6F" w14:paraId="5A339D52" w14:textId="77777777" w:rsidTr="00436EB9">
        <w:trPr>
          <w:cantSplit/>
          <w:trHeight w:val="269"/>
        </w:trPr>
        <w:tc>
          <w:tcPr>
            <w:tcW w:w="4962" w:type="dxa"/>
          </w:tcPr>
          <w:p w14:paraId="5198E440" w14:textId="77777777" w:rsidR="00EB125A" w:rsidRDefault="00EB125A" w:rsidP="00C271CA">
            <w:r w:rsidRPr="00C40606">
              <w:lastRenderedPageBreak/>
              <w:t>How will you ensure that the data are securely stored and not accessed or modified by unauthorized persons?</w:t>
            </w:r>
          </w:p>
          <w:p w14:paraId="71794829" w14:textId="77777777" w:rsidR="00EB125A" w:rsidRDefault="00EB125A" w:rsidP="00EB125A"/>
          <w:p w14:paraId="54D22FB9"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E7DBC87" w14:textId="77777777" w:rsidR="00620BB0" w:rsidRPr="00E30883" w:rsidRDefault="00620BB0" w:rsidP="00EB125A">
            <w:pPr>
              <w:rPr>
                <w:rStyle w:val="Subtieleverwijzing"/>
                <w:i/>
                <w:color w:val="44546A" w:themeColor="text2"/>
                <w:sz w:val="20"/>
                <w:szCs w:val="20"/>
              </w:rPr>
            </w:pPr>
            <w:hyperlink r:id="rId14"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58B6453B" w14:textId="77777777" w:rsidR="00C271CA" w:rsidRPr="00EB125A" w:rsidRDefault="00C271CA" w:rsidP="00EB125A"/>
        </w:tc>
        <w:tc>
          <w:tcPr>
            <w:tcW w:w="10631" w:type="dxa"/>
          </w:tcPr>
          <w:p w14:paraId="2E6AC3F5" w14:textId="26CD3D78" w:rsidR="00B43A91" w:rsidRDefault="00B43A91" w:rsidP="00B43A91">
            <w:pPr>
              <w:contextualSpacing/>
              <w:jc w:val="both"/>
            </w:pPr>
            <w:r>
              <w:t xml:space="preserve">The J-drive </w:t>
            </w:r>
            <w:r>
              <w:t xml:space="preserve">is </w:t>
            </w:r>
            <w:r>
              <w:t>only accessible for members of the study team, and using a personal login / password.</w:t>
            </w:r>
            <w:r>
              <w:t xml:space="preserve"> The </w:t>
            </w:r>
            <w:proofErr w:type="spellStart"/>
            <w:r>
              <w:t>REDCap</w:t>
            </w:r>
            <w:proofErr w:type="spellEnd"/>
            <w:r>
              <w:t xml:space="preserve"> </w:t>
            </w:r>
            <w:r>
              <w:t xml:space="preserve">(DTA related) </w:t>
            </w:r>
            <w:r>
              <w:t>is only accessible for me</w:t>
            </w:r>
            <w:r>
              <w:t>m</w:t>
            </w:r>
            <w:r>
              <w:t>bers of the study team, with a personal login.</w:t>
            </w:r>
          </w:p>
          <w:p w14:paraId="61ACD6AA" w14:textId="77777777" w:rsidR="00EB125A" w:rsidRPr="00B43A91" w:rsidRDefault="00EB125A" w:rsidP="00B43A91">
            <w:pPr>
              <w:jc w:val="both"/>
              <w:rPr>
                <w:rFonts w:ascii="MS Gothic" w:eastAsia="MS Gothic" w:hAnsi="MS Gothic"/>
              </w:rPr>
            </w:pPr>
          </w:p>
          <w:p w14:paraId="3EB41532" w14:textId="77777777" w:rsidR="00EB125A" w:rsidRDefault="00EB125A" w:rsidP="00B43A91">
            <w:pPr>
              <w:jc w:val="both"/>
              <w:rPr>
                <w:rFonts w:ascii="MS Gothic" w:eastAsia="MS Gothic" w:hAnsi="MS Gothic"/>
                <w:lang w:val="en-US"/>
              </w:rPr>
            </w:pPr>
          </w:p>
          <w:p w14:paraId="1D9DE60C" w14:textId="77777777" w:rsidR="00EB125A" w:rsidRDefault="00EB125A" w:rsidP="00B43A91">
            <w:pPr>
              <w:jc w:val="both"/>
              <w:rPr>
                <w:rFonts w:ascii="MS Gothic" w:eastAsia="MS Gothic" w:hAnsi="MS Gothic"/>
                <w:lang w:val="en-US"/>
              </w:rPr>
            </w:pPr>
          </w:p>
          <w:p w14:paraId="4D8F2DC1" w14:textId="77777777" w:rsidR="00EB125A" w:rsidRDefault="00EB125A" w:rsidP="00B43A91">
            <w:pPr>
              <w:jc w:val="both"/>
              <w:rPr>
                <w:rFonts w:ascii="MS Gothic" w:eastAsia="MS Gothic" w:hAnsi="MS Gothic"/>
                <w:lang w:val="en-US"/>
              </w:rPr>
            </w:pPr>
          </w:p>
          <w:p w14:paraId="08DB2553" w14:textId="77777777" w:rsidR="00EB125A" w:rsidRDefault="00EB125A" w:rsidP="00C271CA">
            <w:pPr>
              <w:rPr>
                <w:rFonts w:ascii="MS Gothic" w:eastAsia="MS Gothic" w:hAnsi="MS Gothic"/>
                <w:lang w:val="en-US"/>
              </w:rPr>
            </w:pPr>
          </w:p>
        </w:tc>
      </w:tr>
      <w:tr w:rsidR="00C271CA" w:rsidRPr="00F42A6F" w14:paraId="2CAE4DC3" w14:textId="77777777" w:rsidTr="00436EB9">
        <w:trPr>
          <w:cantSplit/>
          <w:trHeight w:val="269"/>
        </w:trPr>
        <w:tc>
          <w:tcPr>
            <w:tcW w:w="4962" w:type="dxa"/>
          </w:tcPr>
          <w:p w14:paraId="09272729" w14:textId="77777777" w:rsidR="00C271CA" w:rsidRPr="00B43A91" w:rsidRDefault="00526D79" w:rsidP="00C271CA">
            <w:pPr>
              <w:rPr>
                <w:rFonts w:cstheme="minorHAnsi"/>
              </w:rPr>
            </w:pPr>
            <w:r w:rsidRPr="00B43A91">
              <w:rPr>
                <w:rFonts w:cstheme="minorHAnsi"/>
              </w:rPr>
              <w:t>What are the expected costs for data storage and backup during the research project? How will these costs be covered?</w:t>
            </w:r>
          </w:p>
        </w:tc>
        <w:tc>
          <w:tcPr>
            <w:tcW w:w="10631" w:type="dxa"/>
          </w:tcPr>
          <w:p w14:paraId="75071B46" w14:textId="0B0E07AB" w:rsidR="00771609" w:rsidRPr="00B43A91" w:rsidRDefault="00B43A91" w:rsidP="00C271CA">
            <w:pPr>
              <w:rPr>
                <w:rFonts w:eastAsia="MS Gothic" w:cstheme="minorHAnsi"/>
                <w:lang w:val="en-US"/>
              </w:rPr>
            </w:pPr>
            <w:r w:rsidRPr="00B43A91">
              <w:rPr>
                <w:rFonts w:eastAsia="MS Gothic" w:cstheme="minorHAnsi"/>
                <w:lang w:val="en-US"/>
              </w:rPr>
              <w:t>For the costs of the project and subsequent storage (</w:t>
            </w:r>
            <w:r>
              <w:rPr>
                <w:rFonts w:eastAsia="MS Gothic" w:cstheme="minorHAnsi"/>
                <w:lang w:val="en-US"/>
              </w:rPr>
              <w:t xml:space="preserve">2 years active project, </w:t>
            </w:r>
            <w:r w:rsidRPr="00B43A91">
              <w:rPr>
                <w:rFonts w:eastAsia="MS Gothic" w:cstheme="minorHAnsi"/>
                <w:lang w:val="en-US"/>
              </w:rPr>
              <w:t>10 years</w:t>
            </w:r>
            <w:r>
              <w:rPr>
                <w:rFonts w:eastAsia="MS Gothic" w:cstheme="minorHAnsi"/>
                <w:lang w:val="en-US"/>
              </w:rPr>
              <w:t xml:space="preserve"> in total</w:t>
            </w:r>
            <w:r w:rsidRPr="00B43A91">
              <w:rPr>
                <w:rFonts w:eastAsia="MS Gothic" w:cstheme="minorHAnsi"/>
                <w:lang w:val="en-US"/>
              </w:rPr>
              <w:t xml:space="preserve">), we expect a costs of </w:t>
            </w:r>
            <w:r>
              <w:rPr>
                <w:rFonts w:eastAsia="MS Gothic" w:cstheme="minorHAnsi"/>
                <w:lang w:val="en-US"/>
              </w:rPr>
              <w:t xml:space="preserve">about </w:t>
            </w:r>
            <w:r w:rsidRPr="00B43A91">
              <w:rPr>
                <w:rFonts w:eastAsia="MS Gothic" w:cstheme="minorHAnsi"/>
                <w:lang w:val="en-US"/>
              </w:rPr>
              <w:t xml:space="preserve">1000 euro, and this cost is at present secured by the project, with other resources as back up if this were needed. </w:t>
            </w:r>
          </w:p>
        </w:tc>
      </w:tr>
    </w:tbl>
    <w:p w14:paraId="35E9E9AA" w14:textId="77777777" w:rsidR="00E93C67" w:rsidRDefault="00E93C67"/>
    <w:p w14:paraId="69B5DE98"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A9CE83B" w14:textId="77777777" w:rsidTr="005E32FD">
        <w:trPr>
          <w:cantSplit/>
          <w:trHeight w:val="269"/>
        </w:trPr>
        <w:tc>
          <w:tcPr>
            <w:tcW w:w="15593" w:type="dxa"/>
            <w:gridSpan w:val="2"/>
            <w:shd w:val="clear" w:color="auto" w:fill="5B9BD5" w:themeFill="accent5"/>
          </w:tcPr>
          <w:p w14:paraId="0129642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BF329F2" w14:textId="77777777" w:rsidR="00877A71" w:rsidRPr="00145CC7" w:rsidRDefault="00877A71" w:rsidP="00A729DC">
            <w:pPr>
              <w:ind w:left="720"/>
              <w:jc w:val="center"/>
              <w:rPr>
                <w:b/>
              </w:rPr>
            </w:pPr>
          </w:p>
        </w:tc>
      </w:tr>
      <w:tr w:rsidR="002300DE" w:rsidRPr="00F42A6F" w14:paraId="78522AFF" w14:textId="77777777" w:rsidTr="00436EB9">
        <w:trPr>
          <w:cantSplit/>
          <w:trHeight w:val="269"/>
        </w:trPr>
        <w:tc>
          <w:tcPr>
            <w:tcW w:w="4962" w:type="dxa"/>
          </w:tcPr>
          <w:p w14:paraId="6085F11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D7E024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629A7D8" w14:textId="73EDAC0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B43A91">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718EBB2" w14:textId="14A0E70D" w:rsidR="005321D4" w:rsidRPr="00436EB9" w:rsidRDefault="004B2307" w:rsidP="005321D4">
            <w:pPr>
              <w:rPr>
                <w:lang w:val="en-US"/>
              </w:rPr>
            </w:pPr>
            <w:sdt>
              <w:sdtPr>
                <w:rPr>
                  <w:lang w:val="en-US"/>
                </w:rPr>
                <w:id w:val="-418630834"/>
                <w14:checkbox>
                  <w14:checked w14:val="1"/>
                  <w14:checkedState w14:val="2612" w14:font="MS Gothic"/>
                  <w14:uncheckedState w14:val="2610" w14:font="MS Gothic"/>
                </w14:checkbox>
              </w:sdtPr>
              <w:sdtEndPr/>
              <w:sdtContent>
                <w:r w:rsidR="00B43A91">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21710E4" w14:textId="77777777" w:rsidR="005321D4" w:rsidRPr="00436EB9" w:rsidRDefault="004B2307"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8CFF96D" w14:textId="19A16B89" w:rsidR="00B43A91" w:rsidRPr="003C0825" w:rsidRDefault="00B43A91" w:rsidP="005321D4">
            <w:pPr>
              <w:pStyle w:val="paragraph"/>
              <w:spacing w:before="0" w:beforeAutospacing="0" w:after="0" w:afterAutospacing="0"/>
              <w:textAlignment w:val="baseline"/>
              <w:rPr>
                <w:rStyle w:val="contentcontrolboundarysink"/>
                <w:rFonts w:ascii="Calibri" w:hAnsi="Calibri" w:cs="Calibri"/>
                <w:b/>
                <w:bCs/>
                <w:lang w:val="en-US"/>
              </w:rPr>
            </w:pPr>
            <w:r w:rsidRPr="003C0825">
              <w:rPr>
                <w:rStyle w:val="contentcontrolboundarysink"/>
                <w:rFonts w:ascii="Calibri" w:hAnsi="Calibri" w:cs="Calibri"/>
                <w:b/>
                <w:bCs/>
                <w:lang w:val="en-US"/>
              </w:rPr>
              <w:t xml:space="preserve">Obj 2, </w:t>
            </w:r>
            <w:r w:rsidRPr="003C0825">
              <w:rPr>
                <w:rStyle w:val="contentcontrolboundarysink"/>
                <w:rFonts w:ascii="Calibri" w:hAnsi="Calibri" w:cs="Calibri"/>
                <w:b/>
                <w:bCs/>
                <w:i/>
                <w:iCs/>
                <w:lang w:val="en-US"/>
              </w:rPr>
              <w:t>in vitro</w:t>
            </w:r>
            <w:r w:rsidRPr="003C0825">
              <w:rPr>
                <w:rStyle w:val="contentcontrolboundarysink"/>
                <w:rFonts w:ascii="Calibri" w:hAnsi="Calibri" w:cs="Calibri"/>
                <w:b/>
                <w:bCs/>
                <w:lang w:val="en-US"/>
              </w:rPr>
              <w:t xml:space="preserve"> and </w:t>
            </w:r>
            <w:r w:rsidR="003C0825">
              <w:rPr>
                <w:rStyle w:val="contentcontrolboundarysink"/>
                <w:rFonts w:ascii="Calibri" w:hAnsi="Calibri" w:cs="Calibri"/>
                <w:b/>
                <w:bCs/>
                <w:lang w:val="en-US"/>
              </w:rPr>
              <w:t>O</w:t>
            </w:r>
            <w:r w:rsidRPr="003C0825">
              <w:rPr>
                <w:rStyle w:val="contentcontrolboundarysink"/>
                <w:rFonts w:ascii="Calibri" w:hAnsi="Calibri" w:cs="Calibri"/>
                <w:b/>
                <w:bCs/>
                <w:lang w:val="en-US"/>
              </w:rPr>
              <w:t>bj 3</w:t>
            </w:r>
          </w:p>
          <w:p w14:paraId="40F22022" w14:textId="23C7842E" w:rsidR="003C0825" w:rsidRPr="003C0825" w:rsidRDefault="003C0825" w:rsidP="005321D4">
            <w:pPr>
              <w:pStyle w:val="paragraph"/>
              <w:spacing w:before="0" w:beforeAutospacing="0" w:after="0" w:afterAutospacing="0"/>
              <w:textAlignment w:val="baseline"/>
              <w:rPr>
                <w:rStyle w:val="contentcontrolboundarysink"/>
                <w:rFonts w:ascii="Calibri" w:hAnsi="Calibri" w:cs="Calibri"/>
                <w:lang w:val="en-US"/>
              </w:rPr>
            </w:pPr>
            <w:r w:rsidRPr="003C0825">
              <w:rPr>
                <w:rStyle w:val="contentcontrolboundarysink"/>
                <w:rFonts w:ascii="Calibri" w:hAnsi="Calibri" w:cs="Calibri"/>
                <w:lang w:val="en-US"/>
              </w:rPr>
              <w:t xml:space="preserve">For Obj 2 in vitro and Obj 3 we respect the KU Leuven RDM policy. </w:t>
            </w:r>
          </w:p>
          <w:p w14:paraId="1BE96FCE" w14:textId="64EB9045" w:rsidR="00B43A91" w:rsidRPr="003C0825" w:rsidRDefault="00B43A91" w:rsidP="005321D4">
            <w:pPr>
              <w:pStyle w:val="paragraph"/>
              <w:spacing w:before="0" w:beforeAutospacing="0" w:after="0" w:afterAutospacing="0"/>
              <w:textAlignment w:val="baseline"/>
              <w:rPr>
                <w:rStyle w:val="contentcontrolboundarysink"/>
                <w:rFonts w:ascii="Calibri" w:hAnsi="Calibri" w:cs="Calibri"/>
                <w:b/>
                <w:bCs/>
                <w:lang w:val="en-US"/>
              </w:rPr>
            </w:pPr>
            <w:r w:rsidRPr="003C0825">
              <w:rPr>
                <w:rStyle w:val="contentcontrolboundarysink"/>
                <w:rFonts w:ascii="Calibri" w:hAnsi="Calibri" w:cs="Calibri"/>
                <w:b/>
                <w:bCs/>
                <w:lang w:val="en-US"/>
              </w:rPr>
              <w:t xml:space="preserve">Obj 2, </w:t>
            </w:r>
            <w:r w:rsidRPr="003C0825">
              <w:rPr>
                <w:rStyle w:val="contentcontrolboundarysink"/>
                <w:rFonts w:ascii="Calibri" w:hAnsi="Calibri" w:cs="Calibri"/>
                <w:b/>
                <w:bCs/>
                <w:i/>
                <w:iCs/>
                <w:lang w:val="en-US"/>
              </w:rPr>
              <w:t>in vivo</w:t>
            </w:r>
          </w:p>
          <w:p w14:paraId="285C4F12" w14:textId="3826ABA8" w:rsidR="005321D4" w:rsidRPr="003C0825" w:rsidRDefault="007348AE" w:rsidP="005321D4">
            <w:pPr>
              <w:pStyle w:val="paragraph"/>
              <w:spacing w:before="0" w:beforeAutospacing="0" w:after="0" w:afterAutospacing="0"/>
              <w:textAlignment w:val="baseline"/>
              <w:rPr>
                <w:rFonts w:ascii="Calibri" w:hAnsi="Calibri" w:cs="Calibri"/>
                <w:lang w:val="en-US"/>
              </w:rPr>
            </w:pPr>
            <w:r w:rsidRPr="003C0825">
              <w:rPr>
                <w:rStyle w:val="contentcontrolboundarysink"/>
                <w:rFonts w:ascii="Calibri" w:hAnsi="Calibri" w:cs="Calibri"/>
                <w:lang w:val="en-US"/>
              </w:rPr>
              <w:t>As the UZ Leuven owned data are re-used</w:t>
            </w:r>
            <w:r w:rsidR="003C0825">
              <w:rPr>
                <w:rStyle w:val="contentcontrolboundarysink"/>
                <w:rFonts w:ascii="Calibri" w:hAnsi="Calibri" w:cs="Calibri"/>
                <w:lang w:val="en-US"/>
              </w:rPr>
              <w:t xml:space="preserve"> in the current project</w:t>
            </w:r>
            <w:r w:rsidRPr="003C0825">
              <w:rPr>
                <w:rStyle w:val="contentcontrolboundarysink"/>
                <w:rFonts w:ascii="Calibri" w:hAnsi="Calibri" w:cs="Calibri"/>
                <w:lang w:val="en-US"/>
              </w:rPr>
              <w:t xml:space="preserve">, these datasets (if UZ Leuven owned) </w:t>
            </w:r>
            <w:r w:rsidR="003C0825" w:rsidRPr="003C0825">
              <w:rPr>
                <w:rStyle w:val="contentcontrolboundarysink"/>
                <w:rFonts w:ascii="Calibri" w:hAnsi="Calibri" w:cs="Calibri"/>
                <w:lang w:val="en-US"/>
              </w:rPr>
              <w:t>are already preserved in line with the CTC recommendations.</w:t>
            </w:r>
            <w:r w:rsidR="003C0825">
              <w:rPr>
                <w:rStyle w:val="contentcontrolboundarysink"/>
                <w:rFonts w:ascii="Calibri" w:hAnsi="Calibri" w:cs="Calibri"/>
                <w:lang w:val="en-US"/>
              </w:rPr>
              <w:t xml:space="preserve"> In the event of data access based on DTA, we will respect the signed agreements (as UZ/KU Leuven are not the owner of the data). </w:t>
            </w:r>
          </w:p>
        </w:tc>
      </w:tr>
      <w:tr w:rsidR="002300DE" w:rsidRPr="00F42A6F" w14:paraId="443880A8" w14:textId="77777777" w:rsidTr="00436EB9">
        <w:trPr>
          <w:cantSplit/>
          <w:trHeight w:val="269"/>
        </w:trPr>
        <w:tc>
          <w:tcPr>
            <w:tcW w:w="4962" w:type="dxa"/>
          </w:tcPr>
          <w:p w14:paraId="03486117" w14:textId="77777777" w:rsidR="002300DE" w:rsidRDefault="000C4BF5" w:rsidP="000C4BF5">
            <w:r w:rsidRPr="00C40606">
              <w:lastRenderedPageBreak/>
              <w:t>Where will these data be archived (stored and curated for the long-term)?</w:t>
            </w:r>
          </w:p>
          <w:p w14:paraId="0AC16AED" w14:textId="77777777" w:rsidR="00405AAD" w:rsidRDefault="00405AAD" w:rsidP="000C4BF5"/>
          <w:p w14:paraId="392FC916" w14:textId="77777777" w:rsidR="00405AAD" w:rsidRPr="00405AAD" w:rsidRDefault="00405AAD" w:rsidP="00662A5F">
            <w:pPr>
              <w:rPr>
                <w:rFonts w:cstheme="minorHAnsi"/>
                <w:sz w:val="22"/>
                <w:szCs w:val="22"/>
              </w:rPr>
            </w:pPr>
            <w:hyperlink r:id="rId16"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7"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79422A4B" w14:textId="77777777" w:rsidR="00A37797" w:rsidRPr="00436EB9" w:rsidRDefault="004B2307"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A5D83F1" w14:textId="77777777" w:rsidR="00A37797" w:rsidRPr="00436EB9" w:rsidRDefault="004B2307"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709BA8C3" w14:textId="77777777" w:rsidR="00A37797" w:rsidRPr="00436EB9" w:rsidRDefault="004B2307"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EA6368E" w14:textId="3E9428CB" w:rsidR="00A37797" w:rsidRPr="00436EB9" w:rsidRDefault="004B2307"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(specify):</w:t>
            </w:r>
          </w:p>
          <w:p w14:paraId="1C715E39" w14:textId="694B4B21" w:rsidR="000C4BF5" w:rsidRPr="003C0825" w:rsidRDefault="003C0825" w:rsidP="6320600B">
            <w:r w:rsidRPr="003C0825">
              <w:t>As data will be ‘limited’ to electronic data, these data will remained stored at the previously mentioned J drive (</w:t>
            </w:r>
            <w:r>
              <w:t>budget costs</w:t>
            </w:r>
            <w:r w:rsidRPr="003C0825">
              <w:t xml:space="preserve"> already allocated). </w:t>
            </w:r>
          </w:p>
        </w:tc>
      </w:tr>
      <w:tr w:rsidR="002300DE" w:rsidRPr="00906DA8" w14:paraId="6DE088F6" w14:textId="77777777" w:rsidTr="00436EB9">
        <w:trPr>
          <w:cantSplit/>
          <w:trHeight w:val="269"/>
        </w:trPr>
        <w:tc>
          <w:tcPr>
            <w:tcW w:w="4962" w:type="dxa"/>
          </w:tcPr>
          <w:p w14:paraId="658FF591" w14:textId="3AA59EAC" w:rsidR="00AB632D" w:rsidRPr="003C0825" w:rsidRDefault="00AB632D" w:rsidP="00877A71">
            <w:r w:rsidRPr="00C40606">
              <w:t>What are the expected costs for data preservation during the expected retention period? How will these costs be covered?</w:t>
            </w:r>
          </w:p>
        </w:tc>
        <w:tc>
          <w:tcPr>
            <w:tcW w:w="10631" w:type="dxa"/>
          </w:tcPr>
          <w:p w14:paraId="5ECCB249" w14:textId="4DC93290" w:rsidR="002300DE" w:rsidRPr="00CE49D2" w:rsidRDefault="003C0825" w:rsidP="5D59270C">
            <w:pPr>
              <w:rPr>
                <w:b/>
                <w:bCs/>
              </w:rPr>
            </w:pPr>
            <w:r w:rsidRPr="00B43A91">
              <w:rPr>
                <w:rFonts w:eastAsia="MS Gothic" w:cstheme="minorHAnsi"/>
                <w:lang w:val="en-US"/>
              </w:rPr>
              <w:t>For the costs of the project and subsequent storage (</w:t>
            </w:r>
            <w:r>
              <w:rPr>
                <w:rFonts w:eastAsia="MS Gothic" w:cstheme="minorHAnsi"/>
                <w:lang w:val="en-US"/>
              </w:rPr>
              <w:t xml:space="preserve">2 years active project, </w:t>
            </w:r>
            <w:r w:rsidRPr="00B43A91">
              <w:rPr>
                <w:rFonts w:eastAsia="MS Gothic" w:cstheme="minorHAnsi"/>
                <w:lang w:val="en-US"/>
              </w:rPr>
              <w:t>10 years</w:t>
            </w:r>
            <w:r>
              <w:rPr>
                <w:rFonts w:eastAsia="MS Gothic" w:cstheme="minorHAnsi"/>
                <w:lang w:val="en-US"/>
              </w:rPr>
              <w:t xml:space="preserve"> in total</w:t>
            </w:r>
            <w:r w:rsidRPr="00B43A91">
              <w:rPr>
                <w:rFonts w:eastAsia="MS Gothic" w:cstheme="minorHAnsi"/>
                <w:lang w:val="en-US"/>
              </w:rPr>
              <w:t xml:space="preserve">), we expect a costs of </w:t>
            </w:r>
            <w:r>
              <w:rPr>
                <w:rFonts w:eastAsia="MS Gothic" w:cstheme="minorHAnsi"/>
                <w:lang w:val="en-US"/>
              </w:rPr>
              <w:t xml:space="preserve">about </w:t>
            </w:r>
            <w:r w:rsidRPr="00B43A91">
              <w:rPr>
                <w:rFonts w:eastAsia="MS Gothic" w:cstheme="minorHAnsi"/>
                <w:lang w:val="en-US"/>
              </w:rPr>
              <w:t>1000 euro, and this cost is at present secured by the project, with other resources as back up if this were needed.</w:t>
            </w:r>
          </w:p>
        </w:tc>
      </w:tr>
    </w:tbl>
    <w:p w14:paraId="59F33B87" w14:textId="77777777" w:rsidR="00032ED4" w:rsidRDefault="00032ED4"/>
    <w:p w14:paraId="633F951D"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7496DA7" w14:textId="77777777" w:rsidTr="005E32FD">
        <w:trPr>
          <w:cantSplit/>
          <w:trHeight w:val="269"/>
        </w:trPr>
        <w:tc>
          <w:tcPr>
            <w:tcW w:w="15593" w:type="dxa"/>
            <w:gridSpan w:val="2"/>
            <w:shd w:val="clear" w:color="auto" w:fill="5B9BD5" w:themeFill="accent5"/>
          </w:tcPr>
          <w:p w14:paraId="19486908"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9F2162D" w14:textId="77777777" w:rsidR="00877A71" w:rsidRPr="00145CC7" w:rsidRDefault="00877A71" w:rsidP="00EE6614">
            <w:pPr>
              <w:rPr>
                <w:b/>
              </w:rPr>
            </w:pPr>
          </w:p>
        </w:tc>
      </w:tr>
      <w:tr w:rsidR="0046404A" w:rsidRPr="00F42A6F" w14:paraId="325D3ED3" w14:textId="77777777" w:rsidTr="00436EB9">
        <w:trPr>
          <w:cantSplit/>
          <w:trHeight w:val="269"/>
        </w:trPr>
        <w:tc>
          <w:tcPr>
            <w:tcW w:w="4962" w:type="dxa"/>
          </w:tcPr>
          <w:p w14:paraId="47006713" w14:textId="77777777" w:rsidR="0046404A" w:rsidRDefault="0046404A" w:rsidP="00877A71">
            <w:r w:rsidRPr="0046404A">
              <w:t xml:space="preserve">Will the data (or part of the data) be made available for reuse after/during the project?  </w:t>
            </w:r>
          </w:p>
          <w:p w14:paraId="757F21B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93D2CD8"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2AEE1956" w14:textId="77777777" w:rsidR="0046404A" w:rsidRPr="00394E22" w:rsidRDefault="0046404A" w:rsidP="00394E22"/>
        </w:tc>
        <w:tc>
          <w:tcPr>
            <w:tcW w:w="10631" w:type="dxa"/>
          </w:tcPr>
          <w:p w14:paraId="0B4EBAEF" w14:textId="77777777" w:rsidR="004D37B4" w:rsidRDefault="004B2307"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66660943" w14:textId="77777777" w:rsidR="00870FB5" w:rsidRDefault="004B2307"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37E3025" w14:textId="6534CAFB" w:rsidR="004D37B4" w:rsidRDefault="004B2307" w:rsidP="004D37B4">
            <w:sdt>
              <w:sdtPr>
                <w:rPr>
                  <w:lang w:val="en-US"/>
                </w:rPr>
                <w:id w:val="468630886"/>
                <w14:checkbox>
                  <w14:checked w14:val="1"/>
                  <w14:checkedState w14:val="2612" w14:font="MS Gothic"/>
                  <w14:uncheckedState w14:val="2610" w14:font="MS Gothic"/>
                </w14:checkbox>
              </w:sdtPr>
              <w:sdtEndPr/>
              <w:sdtContent>
                <w:r w:rsidR="003C0825">
                  <w:rPr>
                    <w:rFonts w:ascii="MS Gothic" w:eastAsia="MS Gothic" w:hAnsi="MS Gothic" w:hint="eastAsia"/>
                    <w:lang w:val="en-US"/>
                  </w:rPr>
                  <w:t>☒</w:t>
                </w:r>
              </w:sdtContent>
            </w:sdt>
            <w:r w:rsidR="004D37B4">
              <w:t xml:space="preserve"> </w:t>
            </w:r>
            <w:r w:rsidR="00870FB5">
              <w:t>Yes, as restricted data (upon approval, or institutional access only)</w:t>
            </w:r>
          </w:p>
          <w:p w14:paraId="4B09EF5B" w14:textId="77777777" w:rsidR="00870FB5" w:rsidRDefault="004B2307"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57304FE6" w14:textId="77777777" w:rsidR="004D37B4" w:rsidRDefault="004B2307"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2CEA9F91" w14:textId="548AC7FC" w:rsidR="003C0825" w:rsidRDefault="003C0825" w:rsidP="003C0825">
            <w:pPr>
              <w:rPr>
                <w:b/>
                <w:bCs/>
                <w:i/>
                <w:iCs/>
              </w:rPr>
            </w:pPr>
            <w:proofErr w:type="spellStart"/>
            <w:r>
              <w:rPr>
                <w:b/>
                <w:bCs/>
                <w:i/>
                <w:iCs/>
              </w:rPr>
              <w:t>Obj</w:t>
            </w:r>
            <w:proofErr w:type="spellEnd"/>
            <w:r>
              <w:rPr>
                <w:b/>
                <w:bCs/>
                <w:i/>
                <w:iCs/>
              </w:rPr>
              <w:t xml:space="preserve"> 2</w:t>
            </w:r>
          </w:p>
          <w:p w14:paraId="4E9CB069" w14:textId="04B6A3AE" w:rsidR="003C0825" w:rsidRPr="003C0825" w:rsidRDefault="003C0825" w:rsidP="003C0825">
            <w:r w:rsidRPr="003C0825">
              <w:t>We can only express an opinion on the data that are UZ/KU Leuven owned, and will refer requesting parties to the primary owners (in vivo, in vitro) if this were relevant</w:t>
            </w:r>
            <w:r>
              <w:t xml:space="preserve">, requesting the specifications of data sharing. </w:t>
            </w:r>
            <w:r w:rsidR="00550D9C">
              <w:t xml:space="preserve">New pseudonymized data, generated during the project, will be made available after publication upon request </w:t>
            </w:r>
            <w:r w:rsidR="00550D9C">
              <w:t>to</w:t>
            </w:r>
            <w:r w:rsidR="00550D9C">
              <w:t xml:space="preserve"> the PI</w:t>
            </w:r>
            <w:r w:rsidR="00550D9C">
              <w:t xml:space="preserve"> as contact person, who will involve</w:t>
            </w:r>
            <w:r w:rsidR="00550D9C">
              <w:t xml:space="preserve"> all co-supervisors</w:t>
            </w:r>
            <w:r w:rsidR="00550D9C">
              <w:t xml:space="preserve">. </w:t>
            </w:r>
          </w:p>
          <w:p w14:paraId="2FD5A808" w14:textId="08A7EAE2" w:rsidR="003C0825" w:rsidRPr="003C0825" w:rsidRDefault="003C0825" w:rsidP="003C0825">
            <w:pPr>
              <w:rPr>
                <w:b/>
                <w:bCs/>
                <w:i/>
                <w:iCs/>
              </w:rPr>
            </w:pPr>
            <w:proofErr w:type="spellStart"/>
            <w:r w:rsidRPr="003C0825">
              <w:rPr>
                <w:b/>
                <w:bCs/>
                <w:i/>
                <w:iCs/>
              </w:rPr>
              <w:t>Obj</w:t>
            </w:r>
            <w:proofErr w:type="spellEnd"/>
            <w:r w:rsidRPr="003C0825">
              <w:rPr>
                <w:b/>
                <w:bCs/>
                <w:i/>
                <w:iCs/>
              </w:rPr>
              <w:t xml:space="preserve"> 3</w:t>
            </w:r>
          </w:p>
          <w:p w14:paraId="3EADF358" w14:textId="47B128DA" w:rsidR="0046404A" w:rsidRPr="004D37B4" w:rsidRDefault="003C0825" w:rsidP="00436EB9">
            <w:r>
              <w:t>The PBPK model code and source data will be provided upon publication and afterwards in an open source platform (</w:t>
            </w:r>
            <w:proofErr w:type="spellStart"/>
            <w:r>
              <w:t>Github</w:t>
            </w:r>
            <w:proofErr w:type="spellEnd"/>
            <w:r>
              <w:t xml:space="preserve"> (http://github.com/Open-Systems-Pharmacology). </w:t>
            </w:r>
          </w:p>
        </w:tc>
      </w:tr>
      <w:tr w:rsidR="008F41F6" w:rsidRPr="00F42A6F" w14:paraId="703356FA" w14:textId="77777777" w:rsidTr="00436EB9">
        <w:trPr>
          <w:cantSplit/>
          <w:trHeight w:val="269"/>
        </w:trPr>
        <w:tc>
          <w:tcPr>
            <w:tcW w:w="4962" w:type="dxa"/>
          </w:tcPr>
          <w:p w14:paraId="3E4005E9" w14:textId="77777777" w:rsidR="008F41F6" w:rsidRDefault="008F41F6" w:rsidP="00877A71">
            <w:r w:rsidRPr="008F41F6">
              <w:t>If access is restricted, please specify who will be able to access the data and under what conditions.</w:t>
            </w:r>
          </w:p>
        </w:tc>
        <w:tc>
          <w:tcPr>
            <w:tcW w:w="10631" w:type="dxa"/>
          </w:tcPr>
          <w:p w14:paraId="392F8CA5" w14:textId="6D3656DE" w:rsidR="008F41F6" w:rsidRDefault="003C0825" w:rsidP="00436EB9">
            <w:pPr>
              <w:rPr>
                <w:lang w:val="en-US"/>
              </w:rPr>
            </w:pPr>
            <w:r>
              <w:rPr>
                <w:lang w:val="en-US"/>
              </w:rPr>
              <w:t xml:space="preserve">Pseudonymized data will be available upon reasonable request, pending DTA agreement if applicable and a predefined protocol. </w:t>
            </w:r>
          </w:p>
        </w:tc>
      </w:tr>
      <w:tr w:rsidR="002300DE" w:rsidRPr="00F42A6F" w14:paraId="16BCEBFA" w14:textId="77777777" w:rsidTr="00436EB9">
        <w:trPr>
          <w:cantSplit/>
          <w:trHeight w:val="269"/>
        </w:trPr>
        <w:tc>
          <w:tcPr>
            <w:tcW w:w="4962" w:type="dxa"/>
          </w:tcPr>
          <w:p w14:paraId="7C9CA822"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20EB0F2C" w14:textId="619D2C41" w:rsidR="00436EB9" w:rsidRDefault="004B2307"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550D9C">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4B1D755" w14:textId="77777777" w:rsidR="00566351" w:rsidRDefault="004B2307"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59EDB9A" w14:textId="77777777" w:rsidR="00566351" w:rsidRDefault="004B2307"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A5B8960" w14:textId="77777777" w:rsidR="00566351" w:rsidRDefault="004B2307"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4B1E6F7" w14:textId="77777777" w:rsidR="00566351" w:rsidRPr="00436EB9" w:rsidRDefault="004B2307"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A30A1D2" w14:textId="6E42A20A" w:rsidR="005904AD" w:rsidRPr="00550D9C" w:rsidRDefault="004B2307"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tc>
      </w:tr>
      <w:tr w:rsidR="002300DE" w:rsidRPr="00F42A6F" w14:paraId="4EE80DEF" w14:textId="77777777" w:rsidTr="00436EB9">
        <w:trPr>
          <w:cantSplit/>
          <w:trHeight w:val="269"/>
        </w:trPr>
        <w:tc>
          <w:tcPr>
            <w:tcW w:w="4962" w:type="dxa"/>
          </w:tcPr>
          <w:p w14:paraId="68B5A4D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B82CAB1" w14:textId="77777777" w:rsidR="00DC64A0" w:rsidRDefault="004B2307"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3A6AD50" w14:textId="77777777" w:rsidR="00DC64A0" w:rsidRDefault="004B2307"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C5394B4" w14:textId="4ABB3D93" w:rsidR="00DC64A0" w:rsidRDefault="004B2307"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550D9C">
                  <w:rPr>
                    <w:rFonts w:ascii="MS Gothic" w:eastAsia="MS Gothic" w:hAnsi="MS Gothic" w:hint="eastAsia"/>
                    <w:lang w:val="en-US"/>
                  </w:rPr>
                  <w:t>☒</w:t>
                </w:r>
              </w:sdtContent>
            </w:sdt>
            <w:r w:rsidR="00DC64A0">
              <w:rPr>
                <w:lang w:val="en-US"/>
              </w:rPr>
              <w:t xml:space="preserve"> Other (specify)</w:t>
            </w:r>
          </w:p>
          <w:p w14:paraId="1D7C918A" w14:textId="5336A2F5" w:rsidR="002300DE" w:rsidRPr="00550D9C" w:rsidRDefault="00550D9C" w:rsidP="6320600B">
            <w:pPr>
              <w:rPr>
                <w:lang w:val="en-US"/>
              </w:rPr>
            </w:pPr>
            <w:r w:rsidRPr="00550D9C">
              <w:rPr>
                <w:lang w:val="en-US"/>
              </w:rPr>
              <w:t xml:space="preserve">Upon request, to respect the restrictions related to DTAs and the legal and regulatory setting, including but not limited to GDPR. </w:t>
            </w:r>
          </w:p>
        </w:tc>
      </w:tr>
      <w:tr w:rsidR="002300DE" w:rsidRPr="00F42A6F" w14:paraId="106036C6" w14:textId="77777777" w:rsidTr="00436EB9">
        <w:trPr>
          <w:cantSplit/>
          <w:trHeight w:val="269"/>
        </w:trPr>
        <w:tc>
          <w:tcPr>
            <w:tcW w:w="4962" w:type="dxa"/>
          </w:tcPr>
          <w:p w14:paraId="376B6982" w14:textId="77777777" w:rsidR="00CF3DAB" w:rsidRDefault="00CF3DAB" w:rsidP="00877A71">
            <w:r w:rsidRPr="00CF3DAB">
              <w:t>When will the data be made available?</w:t>
            </w:r>
          </w:p>
          <w:p w14:paraId="2EBB7858" w14:textId="77777777" w:rsidR="00CF3DAB" w:rsidRDefault="00CF3DAB" w:rsidP="00CF3DAB"/>
          <w:p w14:paraId="690492D2" w14:textId="77777777" w:rsidR="002300DE" w:rsidRPr="00CF3DAB" w:rsidRDefault="002300DE" w:rsidP="00CF3DAB">
            <w:pPr>
              <w:rPr>
                <w:i/>
                <w:smallCaps/>
                <w:color w:val="5A5A5A" w:themeColor="text1" w:themeTint="A5"/>
                <w:sz w:val="20"/>
                <w:szCs w:val="20"/>
              </w:rPr>
            </w:pPr>
          </w:p>
        </w:tc>
        <w:tc>
          <w:tcPr>
            <w:tcW w:w="10631" w:type="dxa"/>
          </w:tcPr>
          <w:p w14:paraId="6F816DBC" w14:textId="77777777" w:rsidR="00A97EA4" w:rsidRDefault="004B2307" w:rsidP="00A97EA4">
            <w:pPr>
              <w:rPr>
                <w:lang w:val="en-US"/>
              </w:rPr>
            </w:pPr>
            <w:sdt>
              <w:sdtPr>
                <w:rPr>
                  <w:lang w:val="en-US"/>
                </w:rPr>
                <w:id w:val="812530382"/>
                <w14:checkbox>
                  <w14:checked w14:val="0"/>
                  <w14:checkedState w14:val="2612" w14:font="MS Gothic"/>
                  <w14:uncheckedState w14:val="2610" w14:font="MS Gothic"/>
                </w14:checkbox>
              </w:sdtPr>
              <w:sdtEnd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35BB145" w14:textId="77777777" w:rsidR="00A97EA4" w:rsidRDefault="004B2307"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15F14FC5" w14:textId="0EF3C3BF" w:rsidR="00CF3DAB" w:rsidRDefault="004B2307"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658DEA3E" w14:textId="35EBFEAC" w:rsidR="00CF3DAB" w:rsidRPr="00550D9C" w:rsidRDefault="00550D9C" w:rsidP="6320600B">
            <w:r>
              <w:t>D</w:t>
            </w:r>
            <w:r w:rsidRPr="00550D9C">
              <w:t>ata access will be facilitate</w:t>
            </w:r>
            <w:r>
              <w:t>/enabled (pending agreements on how to share)</w:t>
            </w:r>
            <w:r w:rsidRPr="00550D9C">
              <w:t xml:space="preserve"> once the scientific output is in the public domain, irrespective of the timelines of the project (as short, 2 years, it is not unlikely that not all work will already be in the public domain at the end of this project). </w:t>
            </w:r>
          </w:p>
        </w:tc>
      </w:tr>
      <w:tr w:rsidR="002300DE" w:rsidRPr="00F42A6F" w14:paraId="46082F30" w14:textId="77777777" w:rsidTr="00436EB9">
        <w:trPr>
          <w:cantSplit/>
          <w:trHeight w:val="269"/>
        </w:trPr>
        <w:tc>
          <w:tcPr>
            <w:tcW w:w="4962" w:type="dxa"/>
          </w:tcPr>
          <w:p w14:paraId="56221322" w14:textId="77777777" w:rsidR="002300DE" w:rsidRDefault="009966C3" w:rsidP="00877A71">
            <w:r w:rsidRPr="009966C3">
              <w:t>Which data usage licenses are you going to provide? If none, please explain why.</w:t>
            </w:r>
          </w:p>
          <w:p w14:paraId="7444EAF2" w14:textId="77777777" w:rsidR="00CF07B7" w:rsidRDefault="00CF07B7" w:rsidP="00877A71"/>
          <w:p w14:paraId="12F63FD3"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23FE17C" w14:textId="6A523185" w:rsidR="009966C3" w:rsidRPr="00550D9C" w:rsidRDefault="00306CBC" w:rsidP="00306CBC">
            <w:pPr>
              <w:rPr>
                <w:rFonts w:cstheme="minorHAnsi"/>
                <w:i/>
                <w:smallCaps/>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tc>
        <w:tc>
          <w:tcPr>
            <w:tcW w:w="10631" w:type="dxa"/>
          </w:tcPr>
          <w:p w14:paraId="27BA230C" w14:textId="77777777" w:rsidR="00BB45C3" w:rsidRDefault="004B2307"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ADF4466" w14:textId="43E61007" w:rsidR="00BB45C3" w:rsidRDefault="004B2307"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550D9C">
                  <w:rPr>
                    <w:rFonts w:ascii="MS Gothic" w:eastAsia="MS Gothic" w:hAnsi="MS Gothic" w:hint="eastAsia"/>
                    <w:lang w:val="en-US"/>
                  </w:rPr>
                  <w:t>☒</w:t>
                </w:r>
              </w:sdtContent>
            </w:sdt>
            <w:r w:rsidR="00BB45C3">
              <w:rPr>
                <w:lang w:val="en-US"/>
              </w:rPr>
              <w:t xml:space="preserve"> Data Transfer Agreement (restricted data)</w:t>
            </w:r>
          </w:p>
          <w:p w14:paraId="524FCA01" w14:textId="77777777" w:rsidR="00BB45C3" w:rsidRDefault="004B2307"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5A05771B" w14:textId="77777777" w:rsidR="00BB45C3" w:rsidRDefault="004B2307"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1EB7327C" w14:textId="77777777" w:rsidR="00BB45C3" w:rsidRDefault="004B2307"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75187332" w14:textId="4D0595D7" w:rsidR="002300DE" w:rsidRPr="00C57639" w:rsidRDefault="00550D9C" w:rsidP="00BB4EB5">
            <w:pPr>
              <w:rPr>
                <w:b/>
                <w:bCs/>
              </w:rPr>
            </w:pPr>
            <w:r w:rsidRPr="00550D9C">
              <w:t>I refer to the rationale discussed higher</w:t>
            </w:r>
            <w:r>
              <w:rPr>
                <w:b/>
                <w:bCs/>
              </w:rPr>
              <w:t>.</w:t>
            </w:r>
          </w:p>
        </w:tc>
      </w:tr>
      <w:tr w:rsidR="00331EA7" w:rsidRPr="00F42A6F" w14:paraId="74CF1753" w14:textId="77777777" w:rsidTr="00436EB9">
        <w:trPr>
          <w:cantSplit/>
          <w:trHeight w:val="269"/>
        </w:trPr>
        <w:tc>
          <w:tcPr>
            <w:tcW w:w="4962" w:type="dxa"/>
          </w:tcPr>
          <w:p w14:paraId="43071F2D"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0343D9EB" w14:textId="77777777" w:rsidR="00C25D47" w:rsidRDefault="00C25D47" w:rsidP="00877A71"/>
          <w:p w14:paraId="5D0BB44E"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25110D6D" w14:textId="77777777" w:rsidR="00331EA7" w:rsidRPr="00C25D47" w:rsidRDefault="00331EA7" w:rsidP="00C25D47"/>
        </w:tc>
        <w:tc>
          <w:tcPr>
            <w:tcW w:w="10631" w:type="dxa"/>
          </w:tcPr>
          <w:p w14:paraId="1A3CC719" w14:textId="77777777" w:rsidR="00331EA7" w:rsidRPr="00436EB9" w:rsidRDefault="004B2307"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28AEBBE9" w14:textId="77777777" w:rsidR="00331EA7" w:rsidRDefault="004B2307"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26BAB77" w14:textId="4F02566A" w:rsidR="00331EA7" w:rsidRDefault="004B2307" w:rsidP="00331EA7">
            <w:pPr>
              <w:rPr>
                <w:bCs/>
              </w:rPr>
            </w:pPr>
            <w:sdt>
              <w:sdtPr>
                <w:rPr>
                  <w:lang w:val="en-US"/>
                </w:rPr>
                <w:id w:val="-2029402696"/>
                <w14:checkbox>
                  <w14:checked w14:val="1"/>
                  <w14:checkedState w14:val="2612" w14:font="MS Gothic"/>
                  <w14:uncheckedState w14:val="2610" w14:font="MS Gothic"/>
                </w14:checkbox>
              </w:sdtPr>
              <w:sdtEndPr/>
              <w:sdtContent>
                <w:r w:rsidR="00550D9C">
                  <w:rPr>
                    <w:rFonts w:ascii="MS Gothic" w:eastAsia="MS Gothic" w:hAnsi="MS Gothic" w:hint="eastAsia"/>
                    <w:lang w:val="en-US"/>
                  </w:rPr>
                  <w:t>☒</w:t>
                </w:r>
              </w:sdtContent>
            </w:sdt>
            <w:r w:rsidR="00B90014">
              <w:rPr>
                <w:lang w:val="en-US"/>
              </w:rPr>
              <w:t xml:space="preserve"> No</w:t>
            </w:r>
          </w:p>
          <w:p w14:paraId="079DDB8F" w14:textId="77777777" w:rsidR="00331EA7" w:rsidRDefault="00331EA7" w:rsidP="00331EA7">
            <w:pPr>
              <w:rPr>
                <w:b/>
                <w:bCs/>
              </w:rPr>
            </w:pPr>
          </w:p>
          <w:p w14:paraId="4DFCC2EF" w14:textId="739CBE08" w:rsidR="00331EA7" w:rsidRPr="00550D9C" w:rsidRDefault="00550D9C" w:rsidP="00331EA7">
            <w:r w:rsidRPr="00550D9C">
              <w:t xml:space="preserve">We will explicitly mention the </w:t>
            </w:r>
            <w:r>
              <w:t xml:space="preserve">procedure on how to get potential access to the data in any scientific output, including the limitations related to the standing DTA. </w:t>
            </w:r>
          </w:p>
        </w:tc>
      </w:tr>
      <w:tr w:rsidR="002300DE" w:rsidRPr="005B780B" w14:paraId="139BE3F5" w14:textId="77777777" w:rsidTr="00436EB9">
        <w:trPr>
          <w:cantSplit/>
          <w:trHeight w:val="269"/>
        </w:trPr>
        <w:tc>
          <w:tcPr>
            <w:tcW w:w="4962" w:type="dxa"/>
          </w:tcPr>
          <w:p w14:paraId="47BEB673" w14:textId="77777777" w:rsidR="00D712D9" w:rsidRPr="00BD4178" w:rsidRDefault="002300DE" w:rsidP="00877A71">
            <w:r>
              <w:t xml:space="preserve">What are the expected costs for data sharing? How will these costs be covered? </w:t>
            </w:r>
          </w:p>
          <w:p w14:paraId="7A6A37CF" w14:textId="77777777" w:rsidR="00171BDA" w:rsidRPr="00D712D9" w:rsidRDefault="00171BDA" w:rsidP="00877A71">
            <w:pPr>
              <w:rPr>
                <w:i/>
              </w:rPr>
            </w:pPr>
          </w:p>
        </w:tc>
        <w:tc>
          <w:tcPr>
            <w:tcW w:w="10631" w:type="dxa"/>
          </w:tcPr>
          <w:p w14:paraId="57EBFED4" w14:textId="4B9CB0E5" w:rsidR="002300DE" w:rsidRPr="00550D9C" w:rsidRDefault="00550D9C" w:rsidP="5D59270C">
            <w:r w:rsidRPr="00550D9C">
              <w:t xml:space="preserve">In the event of additional costs, these </w:t>
            </w:r>
            <w:r>
              <w:t>c</w:t>
            </w:r>
            <w:r w:rsidRPr="00550D9C">
              <w:t>osts should be covered by additional funding.</w:t>
            </w:r>
            <w:r>
              <w:t xml:space="preserve"> We are aware that legal agreements on DTA also have their costs, but these are - at present - not charged.</w:t>
            </w:r>
          </w:p>
        </w:tc>
      </w:tr>
    </w:tbl>
    <w:p w14:paraId="5E84F8C8"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D042A11" w14:textId="77777777" w:rsidTr="005E32FD">
        <w:trPr>
          <w:cantSplit/>
          <w:trHeight w:val="501"/>
        </w:trPr>
        <w:tc>
          <w:tcPr>
            <w:tcW w:w="15593" w:type="dxa"/>
            <w:gridSpan w:val="2"/>
            <w:shd w:val="clear" w:color="auto" w:fill="5B9BD5" w:themeFill="accent5"/>
          </w:tcPr>
          <w:p w14:paraId="2E48F523"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FF10972" w14:textId="77777777" w:rsidR="00877A71" w:rsidRPr="00145CC7" w:rsidRDefault="00877A71" w:rsidP="00EE6614">
            <w:pPr>
              <w:ind w:left="360"/>
              <w:rPr>
                <w:b/>
              </w:rPr>
            </w:pPr>
          </w:p>
        </w:tc>
      </w:tr>
      <w:tr w:rsidR="00550D9C" w:rsidRPr="00F42A6F" w14:paraId="0D1D6D4C" w14:textId="77777777" w:rsidTr="00436EB9">
        <w:trPr>
          <w:cantSplit/>
          <w:trHeight w:val="269"/>
        </w:trPr>
        <w:tc>
          <w:tcPr>
            <w:tcW w:w="4962" w:type="dxa"/>
          </w:tcPr>
          <w:p w14:paraId="43CE84E0" w14:textId="77777777" w:rsidR="00550D9C" w:rsidRPr="00CA44D7" w:rsidRDefault="00550D9C" w:rsidP="00550D9C">
            <w:r w:rsidRPr="00C40606">
              <w:t>Who will manage data documentation and metadata during the research project?</w:t>
            </w:r>
          </w:p>
        </w:tc>
        <w:tc>
          <w:tcPr>
            <w:tcW w:w="10631" w:type="dxa"/>
          </w:tcPr>
          <w:p w14:paraId="64CC4FC7" w14:textId="146AC0FC" w:rsidR="00550D9C" w:rsidRPr="00C57639" w:rsidRDefault="00550D9C" w:rsidP="00550D9C">
            <w:pPr>
              <w:rPr>
                <w:b/>
                <w:bCs/>
              </w:rPr>
            </w:pPr>
            <w:r w:rsidRPr="00550D9C">
              <w:t>The principal investigator, Karel Allegaert</w:t>
            </w:r>
            <w:r>
              <w:t xml:space="preserve"> will be the responsible to manage data documentation and metadata</w:t>
            </w:r>
            <w:r>
              <w:t xml:space="preserve">. In the event of unavailability, the co-investigators are entitled to act on behalf of the principal investigator. </w:t>
            </w:r>
          </w:p>
        </w:tc>
      </w:tr>
      <w:tr w:rsidR="00550D9C" w:rsidRPr="00F42A6F" w14:paraId="7A6FDD95" w14:textId="77777777" w:rsidTr="00436EB9">
        <w:trPr>
          <w:cantSplit/>
          <w:trHeight w:val="269"/>
        </w:trPr>
        <w:tc>
          <w:tcPr>
            <w:tcW w:w="4962" w:type="dxa"/>
          </w:tcPr>
          <w:p w14:paraId="3CF6B495" w14:textId="77777777" w:rsidR="00550D9C" w:rsidRDefault="00550D9C" w:rsidP="00550D9C">
            <w:r w:rsidRPr="00C40606">
              <w:t>Who will manage data storage and backup during the research project?</w:t>
            </w:r>
          </w:p>
        </w:tc>
        <w:tc>
          <w:tcPr>
            <w:tcW w:w="10631" w:type="dxa"/>
          </w:tcPr>
          <w:p w14:paraId="5F7A85E7" w14:textId="61B80658" w:rsidR="00550D9C" w:rsidRPr="00C57639" w:rsidRDefault="00550D9C" w:rsidP="00550D9C">
            <w:pPr>
              <w:rPr>
                <w:b/>
                <w:bCs/>
              </w:rPr>
            </w:pPr>
            <w:r w:rsidRPr="00550D9C">
              <w:t>The principal investigator, Karel Allegaert</w:t>
            </w:r>
            <w:r>
              <w:t xml:space="preserve"> will be the responsible to manage data </w:t>
            </w:r>
            <w:r w:rsidR="004B2307">
              <w:t>storage and backup</w:t>
            </w:r>
            <w:r>
              <w:t>. In the event of unavailability, the co-investigators are entitled to act on behalf of the principal investigator.</w:t>
            </w:r>
          </w:p>
        </w:tc>
      </w:tr>
      <w:tr w:rsidR="00550D9C" w:rsidRPr="00F42A6F" w14:paraId="33F8CFC2" w14:textId="77777777" w:rsidTr="00436EB9">
        <w:trPr>
          <w:cantSplit/>
          <w:trHeight w:val="269"/>
        </w:trPr>
        <w:tc>
          <w:tcPr>
            <w:tcW w:w="4962" w:type="dxa"/>
          </w:tcPr>
          <w:p w14:paraId="3094A832" w14:textId="77777777" w:rsidR="00550D9C" w:rsidRDefault="00550D9C" w:rsidP="00550D9C">
            <w:r w:rsidRPr="00C40606">
              <w:t>Who will manage data preservation and sharing?</w:t>
            </w:r>
          </w:p>
        </w:tc>
        <w:tc>
          <w:tcPr>
            <w:tcW w:w="10631" w:type="dxa"/>
          </w:tcPr>
          <w:p w14:paraId="520564CC" w14:textId="182EC20B" w:rsidR="00550D9C" w:rsidRPr="00C57639" w:rsidRDefault="004B2307" w:rsidP="00550D9C">
            <w:pPr>
              <w:rPr>
                <w:b/>
                <w:bCs/>
              </w:rPr>
            </w:pPr>
            <w:r w:rsidRPr="00550D9C">
              <w:t>The principal investigator, Karel Allegaert</w:t>
            </w:r>
            <w:r>
              <w:t xml:space="preserve"> will be the responsible to manage data </w:t>
            </w:r>
            <w:r>
              <w:t xml:space="preserve">preservation and sharing. </w:t>
            </w:r>
            <w:r>
              <w:t xml:space="preserve"> In the event of unavailability, the co-investigators are entitled to act on behalf of the principal investigator.</w:t>
            </w:r>
          </w:p>
        </w:tc>
      </w:tr>
      <w:tr w:rsidR="00550D9C" w:rsidRPr="00F42A6F" w14:paraId="012DEE22" w14:textId="77777777" w:rsidTr="00436EB9">
        <w:trPr>
          <w:cantSplit/>
          <w:trHeight w:val="269"/>
        </w:trPr>
        <w:tc>
          <w:tcPr>
            <w:tcW w:w="4962" w:type="dxa"/>
          </w:tcPr>
          <w:p w14:paraId="6B4723A9" w14:textId="77777777" w:rsidR="00550D9C" w:rsidRPr="00D712D9" w:rsidRDefault="00550D9C" w:rsidP="00550D9C">
            <w:pPr>
              <w:rPr>
                <w:i/>
              </w:rPr>
            </w:pPr>
            <w:r w:rsidRPr="00C40606">
              <w:t>Who will update and implement this DMP?</w:t>
            </w:r>
          </w:p>
        </w:tc>
        <w:tc>
          <w:tcPr>
            <w:tcW w:w="10631" w:type="dxa"/>
          </w:tcPr>
          <w:p w14:paraId="232FF099" w14:textId="2508A3F4" w:rsidR="00550D9C" w:rsidRPr="00550D9C" w:rsidRDefault="00550D9C" w:rsidP="00550D9C">
            <w:r w:rsidRPr="00550D9C">
              <w:t>The principal investigator, Karel Allegaert</w:t>
            </w:r>
            <w:r>
              <w:t xml:space="preserve">. In the event of unavailability, the co-investigators are entitled to act on behalf of the principal investigator. </w:t>
            </w:r>
          </w:p>
        </w:tc>
      </w:tr>
    </w:tbl>
    <w:p w14:paraId="5A154BF1" w14:textId="77777777" w:rsidR="0095381F" w:rsidRDefault="0095381F" w:rsidP="0095381F"/>
    <w:p w14:paraId="7E0F423A" w14:textId="77777777" w:rsidR="00FB3BB1" w:rsidRDefault="00FB3BB1" w:rsidP="0095381F"/>
    <w:p w14:paraId="2A6CA308" w14:textId="77777777" w:rsidR="00FB3BB1" w:rsidRDefault="00FB3BB1" w:rsidP="0095381F"/>
    <w:p w14:paraId="24B73C67" w14:textId="77777777" w:rsidR="00FB3BB1" w:rsidRDefault="00FB3BB1" w:rsidP="0095381F"/>
    <w:p w14:paraId="249514BC" w14:textId="77777777" w:rsidR="00FB3BB1" w:rsidRDefault="00FB3BB1" w:rsidP="0095381F"/>
    <w:p w14:paraId="0649378F" w14:textId="77777777" w:rsidR="00FB3BB1" w:rsidRDefault="00FB3BB1" w:rsidP="0095381F"/>
    <w:p w14:paraId="41E51276" w14:textId="77777777" w:rsidR="00FB3BB1" w:rsidRDefault="00FB3BB1" w:rsidP="0095381F"/>
    <w:p w14:paraId="0C020479" w14:textId="77777777" w:rsidR="00FB3BB1" w:rsidRDefault="00FB3BB1" w:rsidP="0095381F"/>
    <w:p w14:paraId="710D46C2"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AED70" w14:textId="77777777" w:rsidR="00306CBC" w:rsidRDefault="00306CBC" w:rsidP="00CE49D2">
      <w:r>
        <w:separator/>
      </w:r>
    </w:p>
  </w:endnote>
  <w:endnote w:type="continuationSeparator" w:id="0">
    <w:p w14:paraId="0B3F308A"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3757EC98" w14:textId="77777777" w:rsidR="00D11EAA" w:rsidRDefault="00D11EAA" w:rsidP="00321EE3">
        <w:pPr>
          <w:pStyle w:val="Voettekst"/>
          <w:jc w:val="center"/>
        </w:pPr>
      </w:p>
      <w:p w14:paraId="431C4681"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EC9A10D"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C8F83" w14:textId="77777777" w:rsidR="00306CBC" w:rsidRDefault="00306CBC" w:rsidP="00CE49D2">
      <w:r>
        <w:separator/>
      </w:r>
    </w:p>
  </w:footnote>
  <w:footnote w:type="continuationSeparator" w:id="0">
    <w:p w14:paraId="7E69225B" w14:textId="77777777" w:rsidR="00306CBC" w:rsidRDefault="00306CBC" w:rsidP="00CE49D2">
      <w:r>
        <w:continuationSeparator/>
      </w:r>
    </w:p>
  </w:footnote>
  <w:footnote w:id="1">
    <w:p w14:paraId="1A3016E1"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1EA750E"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A996038"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490D1EC8"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6C90276"/>
    <w:multiLevelType w:val="multilevel"/>
    <w:tmpl w:val="4D42679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1F389F"/>
    <w:multiLevelType w:val="multilevel"/>
    <w:tmpl w:val="C7B6297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27030A6"/>
    <w:multiLevelType w:val="multilevel"/>
    <w:tmpl w:val="2D1CD77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7B3D8D"/>
    <w:multiLevelType w:val="multilevel"/>
    <w:tmpl w:val="F072D93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558164E"/>
    <w:multiLevelType w:val="multilevel"/>
    <w:tmpl w:val="D07E265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7"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77600850">
    <w:abstractNumId w:val="17"/>
  </w:num>
  <w:num w:numId="2" w16cid:durableId="376395036">
    <w:abstractNumId w:val="36"/>
  </w:num>
  <w:num w:numId="3" w16cid:durableId="408120443">
    <w:abstractNumId w:val="13"/>
  </w:num>
  <w:num w:numId="4" w16cid:durableId="2053268392">
    <w:abstractNumId w:val="9"/>
  </w:num>
  <w:num w:numId="5" w16cid:durableId="17390019">
    <w:abstractNumId w:val="32"/>
  </w:num>
  <w:num w:numId="6" w16cid:durableId="747507390">
    <w:abstractNumId w:val="29"/>
  </w:num>
  <w:num w:numId="7" w16cid:durableId="288099141">
    <w:abstractNumId w:val="37"/>
  </w:num>
  <w:num w:numId="8" w16cid:durableId="1185438643">
    <w:abstractNumId w:val="8"/>
  </w:num>
  <w:num w:numId="9" w16cid:durableId="859928511">
    <w:abstractNumId w:val="6"/>
  </w:num>
  <w:num w:numId="10" w16cid:durableId="1530610052">
    <w:abstractNumId w:val="21"/>
  </w:num>
  <w:num w:numId="11" w16cid:durableId="92868152">
    <w:abstractNumId w:val="18"/>
  </w:num>
  <w:num w:numId="12" w16cid:durableId="236676600">
    <w:abstractNumId w:val="2"/>
  </w:num>
  <w:num w:numId="13" w16cid:durableId="190120043">
    <w:abstractNumId w:val="38"/>
  </w:num>
  <w:num w:numId="14" w16cid:durableId="1490634098">
    <w:abstractNumId w:val="3"/>
  </w:num>
  <w:num w:numId="15" w16cid:durableId="848644059">
    <w:abstractNumId w:val="39"/>
  </w:num>
  <w:num w:numId="16" w16cid:durableId="1260214158">
    <w:abstractNumId w:val="4"/>
  </w:num>
  <w:num w:numId="17" w16cid:durableId="1147548622">
    <w:abstractNumId w:val="31"/>
  </w:num>
  <w:num w:numId="18" w16cid:durableId="745688396">
    <w:abstractNumId w:val="34"/>
  </w:num>
  <w:num w:numId="19" w16cid:durableId="1441686181">
    <w:abstractNumId w:val="30"/>
  </w:num>
  <w:num w:numId="20" w16cid:durableId="56441596">
    <w:abstractNumId w:val="33"/>
  </w:num>
  <w:num w:numId="21" w16cid:durableId="1231381806">
    <w:abstractNumId w:val="14"/>
  </w:num>
  <w:num w:numId="22" w16cid:durableId="153768937">
    <w:abstractNumId w:val="35"/>
  </w:num>
  <w:num w:numId="23" w16cid:durableId="202060047">
    <w:abstractNumId w:val="16"/>
  </w:num>
  <w:num w:numId="24" w16cid:durableId="1424187120">
    <w:abstractNumId w:val="19"/>
  </w:num>
  <w:num w:numId="25" w16cid:durableId="1200124938">
    <w:abstractNumId w:val="27"/>
  </w:num>
  <w:num w:numId="26" w16cid:durableId="1975716508">
    <w:abstractNumId w:val="25"/>
  </w:num>
  <w:num w:numId="27" w16cid:durableId="1168787517">
    <w:abstractNumId w:val="26"/>
  </w:num>
  <w:num w:numId="28" w16cid:durableId="783041683">
    <w:abstractNumId w:val="7"/>
  </w:num>
  <w:num w:numId="29" w16cid:durableId="390471180">
    <w:abstractNumId w:val="15"/>
  </w:num>
  <w:num w:numId="30" w16cid:durableId="759763109">
    <w:abstractNumId w:val="24"/>
  </w:num>
  <w:num w:numId="31" w16cid:durableId="1786925640">
    <w:abstractNumId w:val="0"/>
  </w:num>
  <w:num w:numId="32" w16cid:durableId="1924099638">
    <w:abstractNumId w:val="11"/>
  </w:num>
  <w:num w:numId="33" w16cid:durableId="1049381321">
    <w:abstractNumId w:val="28"/>
  </w:num>
  <w:num w:numId="34" w16cid:durableId="1968468753">
    <w:abstractNumId w:val="40"/>
  </w:num>
  <w:num w:numId="35" w16cid:durableId="1166940298">
    <w:abstractNumId w:val="12"/>
  </w:num>
  <w:num w:numId="36" w16cid:durableId="592006668">
    <w:abstractNumId w:val="1"/>
  </w:num>
  <w:num w:numId="37" w16cid:durableId="1319454728">
    <w:abstractNumId w:val="22"/>
  </w:num>
  <w:num w:numId="38" w16cid:durableId="951745069">
    <w:abstractNumId w:val="20"/>
  </w:num>
  <w:num w:numId="39" w16cid:durableId="114373974">
    <w:abstractNumId w:val="10"/>
  </w:num>
  <w:num w:numId="40" w16cid:durableId="1954626075">
    <w:abstractNumId w:val="5"/>
  </w:num>
  <w:num w:numId="41" w16cid:durableId="3595523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0F8A"/>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0825"/>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307"/>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0D9C"/>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972E2"/>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48AE"/>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27F42"/>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A34"/>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24B3"/>
    <w:rsid w:val="00A555D2"/>
    <w:rsid w:val="00A564D2"/>
    <w:rsid w:val="00A616E0"/>
    <w:rsid w:val="00A64CBA"/>
    <w:rsid w:val="00A65FEF"/>
    <w:rsid w:val="00A668A3"/>
    <w:rsid w:val="00A729DC"/>
    <w:rsid w:val="00A733BD"/>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649C"/>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3A9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2048"/>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3D1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36E9"/>
    <w:rsid w:val="00E25EC7"/>
    <w:rsid w:val="00E30883"/>
    <w:rsid w:val="00E36981"/>
    <w:rsid w:val="00E40098"/>
    <w:rsid w:val="00E414CA"/>
    <w:rsid w:val="00E427BD"/>
    <w:rsid w:val="00E44ADC"/>
    <w:rsid w:val="00E4728F"/>
    <w:rsid w:val="00E47889"/>
    <w:rsid w:val="00E52B19"/>
    <w:rsid w:val="00E54965"/>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230C24"/>
  <w15:chartTrackingRefBased/>
  <w15:docId w15:val="{A1AD7983-4CD7-4E99-8D8B-6B083800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Onopgelostemelding">
    <w:name w:val="Unresolved Mention"/>
    <w:basedOn w:val="Standaardalinea-lettertype"/>
    <w:uiPriority w:val="99"/>
    <w:semiHidden/>
    <w:unhideWhenUsed/>
    <w:rsid w:val="00A73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1349808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ithub.com/Open-Systems-Pharmacology"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Open-Systems-Pharmacology"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www.kuleuven.be/rdm/en/guidance/documentation-metadata"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CELSA/24/022</Project_x0020_Ref.>
    <Code xmlns="d2b4f59a-05ce-4744-9d1c-9dd30147ee09">3M240208</Code>
    <FundingCallID xmlns="d2b4f59a-05ce-4744-9d1c-9dd30147ee09">40620</FundingCallID>
    <_dlc_DocId xmlns="d2b4f59a-05ce-4744-9d1c-9dd30147ee09">P4FNSWA4HVKW-73199252-21883</_dlc_DocId>
    <_dlc_DocIdUrl xmlns="d2b4f59a-05ce-4744-9d1c-9dd30147ee09">
      <Url>https://www.groupware.kuleuven.be/sites/dmpmt/_layouts/15/DocIdRedir.aspx?ID=P4FNSWA4HVKW-73199252-21883</Url>
      <Description>P4FNSWA4HVKW-73199252-21883</Description>
    </_dlc_DocIdUrl>
    <TypeDoc xmlns="de64d03d-2dbc-4782-9fbf-1d8df1c50cf7">Initial</TypeDoc>
    <FormID xmlns="d2b4f59a-05ce-4744-9d1c-9dd30147ee09">3743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43936B32-A24D-4637-B1F4-459DC573148E}"/>
</file>

<file path=customXml/itemProps3.xml><?xml version="1.0" encoding="utf-8"?>
<ds:datastoreItem xmlns:ds="http://schemas.openxmlformats.org/officeDocument/2006/customXml" ds:itemID="{A7E73F52-CB19-494A-B699-392B9908F181}"/>
</file>

<file path=customXml/itemProps4.xml><?xml version="1.0" encoding="utf-8"?>
<ds:datastoreItem xmlns:ds="http://schemas.openxmlformats.org/officeDocument/2006/customXml" ds:itemID="{C13BD7C2-989D-463A-A370-B214CB8246D4}"/>
</file>

<file path=customXml/itemProps5.xml><?xml version="1.0" encoding="utf-8"?>
<ds:datastoreItem xmlns:ds="http://schemas.openxmlformats.org/officeDocument/2006/customXml" ds:itemID="{2E6E5CB4-3914-4A2C-AAE7-637C37470AA6}"/>
</file>

<file path=docProps/app.xml><?xml version="1.0" encoding="utf-8"?>
<Properties xmlns="http://schemas.openxmlformats.org/officeDocument/2006/extended-properties" xmlns:vt="http://schemas.openxmlformats.org/officeDocument/2006/docPropsVTypes">
  <Template>Normal</Template>
  <TotalTime>2</TotalTime>
  <Pages>16</Pages>
  <Words>4195</Words>
  <Characters>23074</Characters>
  <Application>Microsoft Office Word</Application>
  <DocSecurity>0</DocSecurity>
  <Lines>192</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Allegaert</dc:creator>
  <cp:keywords/>
  <dc:description/>
  <cp:lastModifiedBy>Karel Allegaert</cp:lastModifiedBy>
  <cp:revision>2</cp:revision>
  <dcterms:created xsi:type="dcterms:W3CDTF">2024-12-20T09:56:00Z</dcterms:created>
  <dcterms:modified xsi:type="dcterms:W3CDTF">2024-12-20T09:56:00Z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933e872f-8116-4d80-8068-f3c19679a644</vt:lpwstr>
  </property>
</Properties>
</file>