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rPr>
          <w:sz w:val="32"/>
          <w:rtl w:val="0"/>
        </w:rPr>
      </w:pPr>
      <w:r w:rsidR="00000000" w:rsidRPr="00000000" w:rsidDel="00000000">
        <w:rPr>
          <w:sz w:val="32"/>
          <w:rtl w:val="0"/>
        </w:rPr>
        <w:t xml:space="preserve"/>
      </w:r>
    </w:p>
    <w:p w:rsidP="00000000" w:rsidRDefault="00000000" w:rsidR="00000000" w:rsidRPr="00000000" w:rsidDel="00000000">
      <w:pPr>
        <w:pStyle w:val="Heading1"/>
        <w:contextualSpacing w:val="0"/>
        <w:rPr>
          <w:color w:val="000000"/>
          <w:rtl w:val="0"/>
        </w:rPr>
      </w:pPr>
      <w:r w:rsidR="00000000" w:rsidRPr="00000000" w:rsidDel="00000000">
        <w:rPr>
          <w:color w:val="000000"/>
          <w:rFonts w:ascii="Arial" w:hAnsi="Arial" w:eastAsia="Arial" w:cs="Arial"/>
          <w:rtl w:val="0"/>
        </w:rPr>
        <w:t xml:space="preserve">MY PLAN (FWO DMP)</w:t>
      </w:r>
    </w:p>
    <w:p w:rsidP="00000000" w:rsidRDefault="00000000" w:rsidR="00000000" w:rsidRPr="00000000" w:rsidDel="00000000">
      <w:pPr>
        <w:pStyle w:val="Heading2"/>
        <w:contextualSpacing w:val="0"/>
        <w:rPr>
          <w:color w:val="000000"/>
          <w:rtl w:val="0"/>
        </w:rPr>
      </w:pPr>
      <w:r w:rsidR="00000000" w:rsidRPr="00000000" w:rsidDel="00000000">
        <w:rPr>
          <w:color w:val="000000"/>
          <w:rFonts w:ascii="Arial" w:hAnsi="Arial" w:eastAsia="Arial" w:cs="Arial"/>
          <w:rtl w:val="0"/>
        </w:rPr>
        <w:t xml:space="preserve">12ZO222N_FWO DMP</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ADMIN DETAILS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Name</w:t>
      </w:r>
      <w:r w:rsidR="00000000" w:rsidRPr="00000000" w:rsidDel="00000000">
        <w:rPr>
          <w:color w:val="000000"/>
          <w:b w:val="1"/>
          <w:rtl w:val="0"/>
        </w:rPr>
        <w:t xml:space="preserve">: </w:t>
      </w:r>
      <w:r w:rsidR="00000000" w:rsidRPr="00000000" w:rsidDel="00000000">
        <w:rPr>
          <w:rtl w:val="0"/>
        </w:rPr>
        <w:t xml:space="preserve">My plan (FWO DMP) - 12ZO222N_FWO DMP</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Grant Title</w:t>
      </w:r>
      <w:r w:rsidR="00000000" w:rsidRPr="00000000" w:rsidDel="00000000">
        <w:rPr>
          <w:color w:val="000000"/>
          <w:b w:val="1"/>
          <w:rtl w:val="0"/>
        </w:rPr>
        <w:t xml:space="preserve">: </w:t>
      </w:r>
      <w:r w:rsidR="00000000" w:rsidRPr="00000000" w:rsidDel="00000000">
        <w:rPr>
          <w:rtl w:val="0"/>
        </w:rPr>
        <w:t xml:space="preserve">12ZO222N</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Principal Investigator / Researcher</w:t>
      </w:r>
      <w:r w:rsidR="00000000" w:rsidRPr="00000000" w:rsidDel="00000000">
        <w:rPr>
          <w:color w:val="000000"/>
          <w:b w:val="1"/>
          <w:rtl w:val="0"/>
        </w:rPr>
        <w:t xml:space="preserve">: </w:t>
      </w:r>
      <w:r w:rsidR="00000000" w:rsidRPr="00000000" w:rsidDel="00000000">
        <w:rPr>
          <w:rtl w:val="0"/>
        </w:rPr>
        <w:t xml:space="preserve">Kelvin Lee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Description</w:t>
      </w:r>
      <w:r w:rsidR="00000000" w:rsidRPr="00000000" w:rsidDel="00000000">
        <w:rPr>
          <w:color w:val="000000"/>
          <w:b w:val="1"/>
          <w:rtl w:val="0"/>
        </w:rPr>
        <w:t xml:space="preserve">: </w:t>
      </w:r>
      <w:r w:rsidR="00000000" w:rsidRPr="00000000" w:rsidDel="00000000">
        <w:rPr>
          <w:rtl w:val="0"/>
        </w:rPr>
        <w:t xml:space="preserve">My project is the first large-scale study of the global rise of musical modernism at the turn of the twentieth century. It focuses on forms of cultural counterpoint emanated from mobility and migration of fin-de-siècle composers, arguing that they are fundamental to the transmission and the shaping of modernist ideals across the globe. By collecting data on the organisational patterns of musical materials in symphonic works resulted from such contexts, the study develops a novel analytical framework for modelling cultural transfer in musical form. The sociocultural and historical properties of the collected data will also be exploited to construct a global account of early musical modernism, where transcultural hybridisation of musical idioms is immanent.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Institution</w:t>
      </w:r>
      <w:r w:rsidR="00000000" w:rsidRPr="00000000" w:rsidDel="00000000">
        <w:rPr>
          <w:color w:val="000000"/>
          <w:b w:val="1"/>
          <w:rtl w:val="0"/>
        </w:rPr>
        <w:t xml:space="preserve">: </w:t>
      </w:r>
      <w:r w:rsidR="00000000" w:rsidRPr="00000000" w:rsidDel="00000000">
        <w:rPr>
          <w:rtl w:val="0"/>
        </w:rPr>
        <w:t xml:space="preserve">KU Leuven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1. GENERAL INFORMATION</w:t>
      </w:r>
    </w:p>
    <w:p w:rsidP="00000000" w:rsidRDefault="00000000" w:rsidR="00000000" w:rsidRPr="00000000" w:rsidDel="00000000">
      <w:pPr>
        <w:contextualSpacing w:val="0"/>
        <w:rPr>
          <w:b w:val="1"/>
          <w:rtl w:val="0"/>
        </w:rPr>
      </w:pPr>
      <w:r w:rsidR="00000000" w:rsidRPr="00000000" w:rsidDel="00000000">
        <w:rPr>
          <w:b w:val="1"/>
          <w:rtl w:val="0"/>
        </w:rPr>
        <w:t xml:space="preserve">Name applicant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Heung Fai (Kelvin) Lee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FWO Project Number &amp; Title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12ZO222N Rethinking Peripheral Symphonism: Transcultural Form and Glocal Modernism at the Fin de Siècle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Affiliation</w:t>
      </w:r>
    </w:p>
    <w:p w:rsidP="00000000" w:rsidRDefault="00000000" w:rsidR="00000000" w:rsidRPr="00000000" w:rsidDel="00000000">
      <w:pPr>
        <w:numPr>
          <w:ilvl w:val="0"/>
          <w:numId w:val="1"/>
        </w:numPr>
        <w:ind w:left="720" w:hanging="359"/>
        <w:contextualSpacing w:val="1"/>
        <w:rPr>
          <w:u w:val="none"/>
        </w:rPr>
      </w:pPr>
      <w:r w:rsidR="00000000" w:rsidRPr="00000000" w:rsidDel="00000000">
        <w:rPr>
          <w:rtl w:val="0"/>
        </w:rPr>
        <w:t xml:space="preserve">KU Leuven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2. DATA DESCRIPTION</w:t>
      </w:r>
    </w:p>
    <w:p w:rsidP="00000000" w:rsidRDefault="00000000" w:rsidR="00000000" w:rsidRPr="00000000" w:rsidDel="00000000">
      <w:pPr>
        <w:contextualSpacing w:val="0"/>
        <w:rPr>
          <w:b w:val="1"/>
          <w:rtl w:val="0"/>
        </w:rPr>
      </w:pPr>
      <w:r w:rsidR="00000000" w:rsidRPr="00000000" w:rsidDel="00000000">
        <w:rPr>
          <w:b w:val="1"/>
          <w:rtl w:val="0"/>
        </w:rPr>
        <w:t xml:space="preserve">Will you generate/collect new data and/or make use of existing data? </w:t>
      </w:r>
    </w:p>
    <w:p w:rsidP="00000000" w:rsidRDefault="00000000" w:rsidR="00000000" w:rsidRPr="00000000" w:rsidDel="00000000">
      <w:pPr>
        <w:numPr>
          <w:ilvl w:val="0"/>
          <w:numId w:val="2"/>
        </w:numPr>
        <w:ind w:left="720" w:hanging="359"/>
        <w:contextualSpacing w:val="1"/>
        <w:rPr>
          <w:u w:val="none"/>
        </w:rPr>
      </w:pPr>
      <w:r w:rsidR="00000000" w:rsidRPr="00000000" w:rsidDel="00000000">
        <w:rPr>
          <w:rtl w:val="0"/>
        </w:rPr>
        <w:t xml:space="preserve">Generate new data</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DefaultTable"/>
        <w:bidiVisual w:val="0"/>
        <w:tblW w:w="9360.0" w:type="dxa"/>
        <w:tblInd w:w="0.0" w:type="dxa"/>
        <w:jc w:val="center"/>
        <w:tblBorders>
          <w:top w:color="auto" w:val="single" w:sz="4" w:space="0"/>
          <w:left w:color="auto" w:val="single" w:sz="4" w:space="0"/>
          <w:bottom w:color="auto" w:val="single" w:sz="4" w:space="0"/>
          <w:right w:color="auto" w:val="single" w:sz="4" w:space="0"/>
          <w:insideH w:color="auto" w:val="single" w:sz="4" w:space="0"/>
          <w:insideV w:color="auto" w:val="single" w:sz="4" w:space="0"/>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Type of data</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Format</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Volume</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How they are created</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Observational textual data on the organisational patterns of musical materials in a corpus of 98 symphonic works</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.xls</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 MB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Analysis of musical scores</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Observational textual data on the networks of the fin-de-siècle symphony</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.csv </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 MB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Collation of concert programmes, syllabuses and textbooks from online catalogues and physical archives</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Scanned images of archival documents</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.jpeg, .png</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Document scanning from paper-based archival documents</w:t>
            </w:r>
          </w:p>
        </w:tc>
      </w:tr>
    </w:tbl>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3. LEGAL AND ETHICAL ISSUES</w:t>
      </w:r>
    </w:p>
    <w:p w:rsidP="00000000" w:rsidRDefault="00000000" w:rsidR="00000000" w:rsidRPr="00000000" w:rsidDel="00000000">
      <w:pPr>
        <w:contextualSpacing w:val="0"/>
        <w:rPr>
          <w:b w:val="1"/>
          <w:rtl w:val="0"/>
        </w:rPr>
      </w:pPr>
      <w:r w:rsidR="00000000" w:rsidRPr="00000000" w:rsidDel="00000000">
        <w:rPr>
          <w:b w:val="1"/>
          <w:rtl w:val="0"/>
        </w:rPr>
        <w:t xml:space="preserve">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rsidP="00000000" w:rsidRDefault="00000000" w:rsidR="00000000" w:rsidRPr="00000000" w:rsidDel="00000000">
      <w:pPr>
        <w:numPr>
          <w:ilvl w:val="0"/>
          <w:numId w:val="3"/>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Are there any ethical issues concerning the creation and/or use of the data (e.g. experiments on humans or animals, dual use)? If so, add the reference to the formal approval by the relevant ethical review committee(s)</w:t>
      </w:r>
    </w:p>
    <w:p w:rsidP="00000000" w:rsidRDefault="00000000" w:rsidR="00000000" w:rsidRPr="00000000" w:rsidDel="00000000">
      <w:pPr>
        <w:numPr>
          <w:ilvl w:val="0"/>
          <w:numId w:val="4"/>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Does your work possibly result in research data with potential for tech transfer and valorisation? Will IP restrictions be claimed for the data you created? If so, for what data and which restrictions will be asserted? </w:t>
      </w:r>
    </w:p>
    <w:p w:rsidP="00000000" w:rsidRDefault="00000000" w:rsidR="00000000" w:rsidRPr="00000000" w:rsidDel="00000000">
      <w:pPr>
        <w:numPr>
          <w:ilvl w:val="0"/>
          <w:numId w:val="5"/>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 existing 3rd party agreements restrict dissemination or exploitation of the data you (re)use? If so, to what data do they relate and what restrictions are in place?</w:t>
      </w:r>
    </w:p>
    <w:p w:rsidP="00000000" w:rsidRDefault="00000000" w:rsidR="00000000" w:rsidRPr="00000000" w:rsidDel="00000000">
      <w:pPr>
        <w:numPr>
          <w:ilvl w:val="0"/>
          <w:numId w:val="6"/>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Additional permission from the archives will be required if the archival images are to be published in any form or made available to any third party.</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4. DOCUMENTATION AND METADATA</w:t>
      </w:r>
    </w:p>
    <w:p w:rsidP="00000000" w:rsidRDefault="00000000" w:rsidR="00000000" w:rsidRPr="00000000" w:rsidDel="00000000">
      <w:pPr>
        <w:contextualSpacing w:val="0"/>
        <w:rPr>
          <w:b w:val="1"/>
          <w:rtl w:val="0"/>
        </w:rPr>
      </w:pPr>
      <w:r w:rsidR="00000000" w:rsidRPr="00000000" w:rsidDel="00000000">
        <w:rPr>
          <w:b w:val="1"/>
          <w:rtl w:val="0"/>
        </w:rPr>
        <w:t xml:space="preserve">What documentation will be provided to enable reuse of the data collected/generated in this project?</w:t>
      </w:r>
    </w:p>
    <w:p w:rsidP="00000000" w:rsidRDefault="00000000" w:rsidR="00000000" w:rsidRPr="00000000" w:rsidDel="00000000">
      <w:pPr>
        <w:numPr>
          <w:ilvl w:val="0"/>
          <w:numId w:val="7"/>
        </w:numPr>
        <w:ind w:left="720" w:hanging="359"/>
        <w:contextualSpacing w:val="1"/>
        <w:rPr>
          <w:u w:val="none"/>
        </w:rPr>
      </w:pPr>
      <w:r w:rsidR="00000000" w:rsidRPr="00000000" w:rsidDel="00000000">
        <w:rPr>
          <w:rtl w:val="0"/>
        </w:rPr>
        <w:t xml:space="preserve">For the data on the organisational patterns of musical materials, the methodology utilised for data collection and the rationale behind the use of specific theoretical frameworks will be included in a ReadMe file for the dataset. A list of theoretical terms used in the dataset (alongside the relevant references) will also be provided in the ReadMe file.</w:t>
      </w:r>
    </w:p>
    <w:p w:rsidP="00000000" w:rsidRDefault="00000000" w:rsidR="00000000" w:rsidRPr="00000000" w:rsidDel="00000000">
      <w:pPr>
        <w:numPr>
          <w:ilvl w:val="0"/>
          <w:numId w:val="7"/>
        </w:numPr>
        <w:ind w:left="720" w:hanging="359"/>
        <w:contextualSpacing w:val="1"/>
        <w:rPr>
          <w:u w:val="none"/>
        </w:rPr>
      </w:pPr>
      <w:r w:rsidR="00000000" w:rsidRPr="00000000" w:rsidDel="00000000">
        <w:rPr>
          <w:rtl w:val="0"/>
        </w:rPr>
        <w:t xml:space="preserve">For the data on the networks of the fin-de-siècle symphony, the abbreviations of the cateologues and archives from which the data is generated will be included in the dataset and laid out in an appendant .txt file. Cross-references with the scanned images of archival documents will also be indicated if relevant.</w:t>
      </w:r>
    </w:p>
    <w:p w:rsidP="00000000" w:rsidRDefault="00000000" w:rsidR="00000000" w:rsidRPr="00000000" w:rsidDel="00000000">
      <w:pPr>
        <w:numPr>
          <w:ilvl w:val="0"/>
          <w:numId w:val="7"/>
        </w:numPr>
        <w:ind w:left="720" w:hanging="359"/>
        <w:contextualSpacing w:val="1"/>
        <w:rPr>
          <w:u w:val="none"/>
        </w:rPr>
      </w:pPr>
      <w:r w:rsidR="00000000" w:rsidRPr="00000000" w:rsidDel="00000000">
        <w:rPr>
          <w:rtl w:val="0"/>
        </w:rPr>
        <w:t xml:space="preserve">For the scanned images of archival documents, they will be divided into different folders according to their document types. Each of the images will be assigned an identifier and included in a xls. explanatory file, which will also contain information about its document type, year of creation, current location, as well as its relevance to particular specific piece(s), composer(s) or city, if applicable.</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Will a metadata standard be used? If so,  describe in detail which standard will be used.  If no, state in detail which metadata will be created to make the data easy/easier to find and reuse.</w:t>
      </w:r>
    </w:p>
    <w:p w:rsidP="00000000" w:rsidRDefault="00000000" w:rsidR="00000000" w:rsidRPr="00000000" w:rsidDel="00000000">
      <w:pPr>
        <w:numPr>
          <w:ilvl w:val="0"/>
          <w:numId w:val="8"/>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Structured metadata catered for the needs of my project will be created based on the elements of Dublin Core by adding music-theoretical specific terms (particularlly apposite to the data on the organisational patterns of musical materials).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5. DATA STORAGE AND BACKUP DURING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stored?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How is backup of the data provided?</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KU Leuven's OneDrive service does automatic backups. The data hosted on nodegoat will be exported once a month and stored on OneDrive as well. </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Is there currently sufficient storage &amp; backup capacity
during the project? If yes, specify concisely. If no or insufficient storage or backup capacities are available then explain how this will be taken care of.</w:t>
      </w:r>
    </w:p>
    <w:p w:rsidP="00000000" w:rsidRDefault="00000000" w:rsidR="00000000" w:rsidRPr="00000000" w:rsidDel="00000000">
      <w:pPr>
        <w:numPr>
          <w:ilvl w:val="0"/>
          <w:numId w:val="9"/>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storage and back up during the project? How will these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No cost is expected for data storage and back up as KU Leuven has made its OneDrive service freely available to its FWO postdoctoral fellows. The project budget allocated by the FWO could be used for such purposes if this becomes necessary.</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Data security: how will you ensure that the data are securely stored and not accessed or modified by unauthorized persons?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There will be no sensitive data involved in my project. The data is stored in KU Leuven's OneDrive service and is therefore protected by KU Leuven's robust Multi-Factor Authentication System; it can only be accessed with approval from my own cell phone. If special copyright arrangement is made with any of the archives, the scanned copies will be encrypted on top of the usual protection.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6. DATA PRESERVATION AFTER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retained for the expected 5 year period after the end of the project? In case only a selection of the data can/will be preserved, clearly state the reasons for this (legal or contractual restrictions, physical preservation issues,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All the aforementioned data will be retained unless the contractual arrangements made with archives specifically forbidden me from doing so.</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archived (= stored for the longer term)?</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data will be stored on KU Leuven's central servers (with automatic back-up procedures) for at least 10 years. The textual data will also be published open access on a book companion website once the monograph planned for this project is finished.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preservation during the retention period of 5 years?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All the data will be hosted on the servers of KU Leuven. The estimated cost for archive storage will be €500 (500GB) for 5 years (purchased through the Faculty of Art's ICT service) and it will be covered by the project budget allocated by the FWO.</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7. DATA SHARING AND REUSE</w:t>
      </w:r>
    </w:p>
    <w:p w:rsidP="00000000" w:rsidRDefault="00000000" w:rsidR="00000000" w:rsidRPr="00000000" w:rsidDel="00000000">
      <w:pPr>
        <w:contextualSpacing w:val="0"/>
        <w:rPr>
          <w:b w:val="1"/>
          <w:rtl w:val="0"/>
        </w:rPr>
      </w:pPr>
      <w:r w:rsidR="00000000" w:rsidRPr="00000000" w:rsidDel="00000000">
        <w:rPr>
          <w:b w:val="1"/>
          <w:rtl w:val="0"/>
        </w:rPr>
        <w:t xml:space="preserve">Are there any factors restricting or preventing the sharing of (some of) the data (e.g. as defined in an agreement with a 3rd party, legal restrictions)?</w:t>
      </w:r>
    </w:p>
    <w:p w:rsidP="00000000" w:rsidRDefault="00000000" w:rsidR="00000000" w:rsidRPr="00000000" w:rsidDel="00000000">
      <w:pPr>
        <w:numPr>
          <w:ilvl w:val="0"/>
          <w:numId w:val="10"/>
        </w:numPr>
        <w:ind w:left="720" w:hanging="359"/>
        <w:contextualSpacing w:val="1"/>
        <w:rPr>
          <w:u w:val="none"/>
        </w:rPr>
      </w:pPr>
      <w:r w:rsidR="00000000" w:rsidRPr="00000000" w:rsidDel="00000000">
        <w:rPr>
          <w:rtl w:val="0"/>
        </w:rPr>
        <w:t xml:space="preserve">Yes. Specify:</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Materials obtained from the Archives of Japanese Modern Music cannot be shared beyond the project investigator as extra licensing (and associated fees) from Japanese Society for Rights of Authors, Composers and Publishers is required.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made available after the end of the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datasets on the organisational patterns of musical materials and the networks of the fin-de-siècle symphony will be made available.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rights of the scanned images of archival documents remain with the archives and it is therefore subject to the archives as to whether they can be shared.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Where/how will the data be made available for reuse?</w:t>
      </w:r>
    </w:p>
    <w:p w:rsidP="00000000" w:rsidRDefault="00000000" w:rsidR="00000000" w:rsidRPr="00000000" w:rsidDel="00000000">
      <w:pPr>
        <w:numPr>
          <w:ilvl w:val="0"/>
          <w:numId w:val="11"/>
        </w:numPr>
        <w:ind w:left="720" w:hanging="359"/>
        <w:contextualSpacing w:val="1"/>
        <w:rPr>
          <w:u w:val="none"/>
        </w:rPr>
      </w:pPr>
      <w:r w:rsidR="00000000" w:rsidRPr="00000000" w:rsidDel="00000000">
        <w:rPr>
          <w:rtl w:val="0"/>
        </w:rPr>
        <w:t xml:space="preserve">In an Open Access repository</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datasets on the organisational patterns of musical materials and the networks of the fin-de-siècle symphony will be published open access on a book companion website once the monograph planned for this project is finished.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When will the data be made available?</w:t>
      </w:r>
    </w:p>
    <w:p w:rsidP="00000000" w:rsidRDefault="00000000" w:rsidR="00000000" w:rsidRPr="00000000" w:rsidDel="00000000">
      <w:pPr>
        <w:numPr>
          <w:ilvl w:val="0"/>
          <w:numId w:val="12"/>
        </w:numPr>
        <w:ind w:left="720" w:hanging="359"/>
        <w:contextualSpacing w:val="1"/>
        <w:rPr>
          <w:u w:val="none"/>
        </w:rPr>
      </w:pPr>
      <w:r w:rsidR="00000000" w:rsidRPr="00000000" w:rsidDel="00000000">
        <w:rPr>
          <w:rtl w:val="0"/>
        </w:rPr>
        <w:t xml:space="preserve">Upon publication of the research results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datasets on the organisational patterns of musical materials and the networks of the fin-de-siècle symphony will be published open access on a book companion website once the monograph planned for this project is finished.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able to access the data and under what conditions?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datasets on the organisational patterns of musical materials and the networks of the fin-de-siècle symphony will be available on a book companion website. So it will be available to anyone for non-commercial purposes, provided that they give appropriate credit to the creator.</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sharing?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mentioned book companion website shall be hosted by the publisher. Otherwise it will be hosted on the creator's own domain storage (with dedicated domain name) or made available via GitHub.</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8. RESPONSIBILITIES</w:t>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documentation &amp; metadata?</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PI will be responsible for data documentation &amp; metadata.</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storage &amp; back up during the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PI will be responsible for data storage &amp; back up during the project.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ensuring data preservation and reuse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PI will be responsible for ensuring data preservation and reuse during the project. After that, the promoter of the project (ZAP-member at KU Leuven) will be the designated responsible person.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bears the end responsibility for updating &amp; implementing this DMP?</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PI bears the end responsibility of updating &amp; implementing this DMP.</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sectPr>
      <w:footerReference r:id="rId2" w:type="default"/>
      <w:pgSz w:w="12240" w:h="15840"/>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Restart w:val="1"/>
      <w:lvlText w:val="●"/>
      <w:lvlJc w:val="left"/>
      <w:pPr>
        <w:ind w:left="720" w:firstLine="360"/>
      </w:pPr>
      <w:rPr>
        <w:u w:val="none"/>
      </w:rPr>
    </w:lvl>
  </w:abstractNum>
  <w:abstractNum w:abstractNumId="2">
    <w:lvl w:ilvl="0">
      <w:start w:val="1"/>
      <w:numFmt w:val="bullet"/>
      <w:lvlRestart w:val="1"/>
      <w:lvlText w:val="●"/>
      <w:lvlJc w:val="left"/>
      <w:pPr>
        <w:ind w:left="720" w:firstLine="360"/>
      </w:pPr>
      <w:rPr>
        <w:u w:val="none"/>
      </w:rPr>
    </w:lvl>
  </w:abstractNum>
  <w:abstractNum w:abstractNumId="3">
    <w:lvl w:ilvl="0">
      <w:start w:val="1"/>
      <w:numFmt w:val="bullet"/>
      <w:lvlRestart w:val="1"/>
      <w:lvlText w:val="●"/>
      <w:lvlJc w:val="left"/>
      <w:pPr>
        <w:ind w:left="720" w:firstLine="360"/>
      </w:pPr>
      <w:rPr>
        <w:u w:val="none"/>
      </w:rPr>
    </w:lvl>
  </w:abstractNum>
  <w:abstractNum w:abstractNumId="4">
    <w:lvl w:ilvl="0">
      <w:start w:val="1"/>
      <w:numFmt w:val="bullet"/>
      <w:lvlRestart w:val="1"/>
      <w:lvlText w:val="●"/>
      <w:lvlJc w:val="left"/>
      <w:pPr>
        <w:ind w:left="720" w:firstLine="360"/>
      </w:pPr>
      <w:rPr>
        <w:u w:val="none"/>
      </w:rPr>
    </w:lvl>
  </w:abstractNum>
  <w:abstractNum w:abstractNumId="5">
    <w:lvl w:ilvl="0">
      <w:start w:val="1"/>
      <w:numFmt w:val="bullet"/>
      <w:lvlRestart w:val="1"/>
      <w:lvlText w:val="●"/>
      <w:lvlJc w:val="left"/>
      <w:pPr>
        <w:ind w:left="720" w:firstLine="360"/>
      </w:pPr>
      <w:rPr>
        <w:u w:val="none"/>
      </w:rPr>
    </w:lvl>
  </w:abstractNum>
  <w:abstractNum w:abstractNumId="6">
    <w:lvl w:ilvl="0">
      <w:start w:val="1"/>
      <w:numFmt w:val="bullet"/>
      <w:lvlRestart w:val="1"/>
      <w:lvlText w:val="●"/>
      <w:lvlJc w:val="left"/>
      <w:pPr>
        <w:ind w:left="720" w:firstLine="360"/>
      </w:pPr>
      <w:rPr>
        <w:u w:val="none"/>
      </w:rPr>
    </w:lvl>
  </w:abstractNum>
  <w:abstractNum w:abstractNumId="7">
    <w:lvl w:ilvl="0">
      <w:start w:val="1"/>
      <w:numFmt w:val="decimal"/>
      <w:lvlRestart w:val="1"/>
      <w:lvlText w:val="%1."/>
      <w:lvlJc w:val="left"/>
      <w:pPr>
        <w:ind w:left="720" w:firstLine="360"/>
      </w:pPr>
      <w:rPr>
        <w:u w:val="none"/>
      </w:rPr>
    </w:lvl>
  </w:abstractNum>
  <w:abstractNum w:abstractNumId="8">
    <w:lvl w:ilvl="0">
      <w:start w:val="1"/>
      <w:numFmt w:val="bullet"/>
      <w:lvlRestart w:val="1"/>
      <w:lvlText w:val="●"/>
      <w:lvlJc w:val="left"/>
      <w:pPr>
        <w:ind w:left="720" w:firstLine="360"/>
      </w:pPr>
      <w:rPr>
        <w:u w:val="none"/>
      </w:rPr>
    </w:lvl>
  </w:abstractNum>
  <w:abstractNum w:abstractNumId="9">
    <w:lvl w:ilvl="0">
      <w:start w:val="1"/>
      <w:numFmt w:val="bullet"/>
      <w:lvlRestart w:val="1"/>
      <w:lvlText w:val="●"/>
      <w:lvlJc w:val="left"/>
      <w:pPr>
        <w:ind w:left="720" w:firstLine="360"/>
      </w:pPr>
      <w:rPr>
        <w:u w:val="none"/>
      </w:rPr>
    </w:lvl>
  </w:abstractNum>
  <w:abstractNum w:abstractNumId="10">
    <w:lvl w:ilvl="0">
      <w:start w:val="1"/>
      <w:numFmt w:val="bullet"/>
      <w:lvlRestart w:val="1"/>
      <w:lvlText w:val="●"/>
      <w:lvlJc w:val="left"/>
      <w:pPr>
        <w:ind w:left="720" w:firstLine="360"/>
      </w:pPr>
      <w:rPr>
        <w:u w:val="none"/>
      </w:rPr>
    </w:lvl>
  </w:abstractNum>
  <w:abstractNum w:abstractNumId="11">
    <w:lvl w:ilvl="0">
      <w:start w:val="1"/>
      <w:numFmt w:val="bullet"/>
      <w:lvlRestart w:val="1"/>
      <w:lvlText w:val="●"/>
      <w:lvlJc w:val="left"/>
      <w:pPr>
        <w:ind w:left="720" w:firstLine="360"/>
      </w:pPr>
      <w:rPr>
        <w:u w:val="none"/>
      </w:rPr>
    </w:lvl>
  </w:abstractNum>
  <w:abstractNum w:abstractNumId="12">
    <w:lvl w:ilvl="0">
      <w:start w:val="1"/>
      <w:numFmt w:val="bullet"/>
      <w:lvlRestart w:val="1"/>
      <w:lvlText w:val="●"/>
      <w:lvlJc w:val="left"/>
      <w:pPr>
        <w:ind w:left="720" w:firstLine="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firstLine="0" w:right="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footer" Target="footer1.xml"/><Relationship Id="rId1"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settings" Target="settings.xml"/><Relationship Id="rId9"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12ZO222N</Project_x0020_Ref.>
    <Code xmlns="d2b4f59a-05ce-4744-9d1c-9dd30147ee09">3H210307</Code>
    <FundingCallID xmlns="d2b4f59a-05ce-4744-9d1c-9dd30147ee09">39267</FundingCallID>
    <_dlc_DocId xmlns="d2b4f59a-05ce-4744-9d1c-9dd30147ee09">P4FNSWA4HVKW-73199252-7759</_dlc_DocId>
    <_dlc_DocIdUrl xmlns="d2b4f59a-05ce-4744-9d1c-9dd30147ee09">
      <Url>https://www.groupware.kuleuven.be/sites/dmpmt/_layouts/15/DocIdRedir.aspx?ID=P4FNSWA4HVKW-73199252-7759</Url>
      <Description>P4FNSWA4HVKW-73199252-7759</Description>
    </_dlc_DocIdUrl>
    <FormID xmlns="d2b4f59a-05ce-4744-9d1c-9dd30147ee09">1667</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90F1FF-33BC-49A6-B6DF-093C207E8E24}"/>
</file>

<file path=customXml/itemProps2.xml><?xml version="1.0" encoding="utf-8"?>
<ds:datastoreItem xmlns:ds="http://schemas.openxmlformats.org/officeDocument/2006/customXml" ds:itemID="{8BFAFFC7-C9F6-4DC8-83CA-02FE1D9C75D3}"/>
</file>

<file path=customXml/itemProps3.xml><?xml version="1.0" encoding="utf-8"?>
<ds:datastoreItem xmlns:ds="http://schemas.openxmlformats.org/officeDocument/2006/customXml" ds:itemID="{E3949D35-A446-4963-9883-7C597BE81E2A}"/>
</file>

<file path=customXml/itemProps4.xml><?xml version="1.0" encoding="utf-8"?>
<ds:datastoreItem xmlns:ds="http://schemas.openxmlformats.org/officeDocument/2006/customXml" ds:itemID="{A6200D54-F621-41F8-9CFE-1096C8D617BF}"/>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dae9ce3e-06c3-448f-a8bc-07624e08a137</vt:lpwstr>
  </property>
</Properties>
</file>