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8033A4" w:rsidRDefault="008033A4" w:rsidP="008033A4">
            <w:pPr>
              <w:shd w:val="clear" w:color="auto" w:fill="FFFFFF"/>
              <w:spacing w:after="150"/>
              <w:rPr>
                <w:rFonts w:ascii="Verdana" w:eastAsia="Times New Roman" w:hAnsi="Verdana" w:cs="Times New Roman"/>
                <w:b/>
                <w:bCs/>
                <w:sz w:val="18"/>
                <w:szCs w:val="18"/>
                <w:lang w:val="en" w:eastAsia="nl-BE"/>
              </w:rPr>
            </w:pPr>
            <w:r w:rsidRPr="008033A4">
              <w:rPr>
                <w:b/>
                <w:bCs/>
                <w:lang w:val="nl-BE"/>
              </w:rPr>
              <w:t xml:space="preserve">Wim Vanduffel </w:t>
            </w:r>
            <w:bookmarkStart w:id="0" w:name="orcid_id_display"/>
            <w:r w:rsidRPr="008033A4">
              <w:rPr>
                <w:bCs/>
                <w:lang w:val="nl-BE"/>
              </w:rPr>
              <w:t>(</w:t>
            </w:r>
            <w:hyperlink r:id="rId9" w:tgtFrame="orcid" w:history="1">
              <w:r w:rsidRPr="008033A4">
                <w:rPr>
                  <w:rFonts w:ascii="Verdana" w:eastAsia="Times New Roman" w:hAnsi="Verdana" w:cs="Times New Roman"/>
                  <w:bCs/>
                  <w:sz w:val="18"/>
                  <w:szCs w:val="18"/>
                  <w:u w:val="single"/>
                  <w:lang w:val="en" w:eastAsia="nl-BE"/>
                </w:rPr>
                <w:t>0000-0002-9399-343X</w:t>
              </w:r>
            </w:hyperlink>
            <w:bookmarkEnd w:id="0"/>
            <w:r w:rsidRPr="008033A4">
              <w:rPr>
                <w:rFonts w:ascii="Verdana" w:eastAsia="Times New Roman" w:hAnsi="Verdana" w:cs="Times New Roman"/>
                <w:bCs/>
                <w:sz w:val="18"/>
                <w:szCs w:val="18"/>
                <w:lang w:val="en" w:eastAsia="nl-BE"/>
              </w:rPr>
              <w:t>)</w:t>
            </w:r>
          </w:p>
        </w:tc>
      </w:tr>
      <w:tr w:rsidR="00202C9D" w:rsidRPr="008033A4"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8033A4" w:rsidRPr="008033A4" w:rsidRDefault="008033A4" w:rsidP="008033A4">
            <w:pPr>
              <w:rPr>
                <w:u w:val="single"/>
                <w:lang w:val="nl-BE"/>
              </w:rPr>
            </w:pPr>
            <w:r w:rsidRPr="008033A4">
              <w:rPr>
                <w:b/>
                <w:bCs/>
                <w:lang w:val="nl-BE"/>
              </w:rPr>
              <w:t>Rufin Vogels</w:t>
            </w:r>
            <w:r w:rsidRPr="008033A4">
              <w:fldChar w:fldCharType="begin"/>
            </w:r>
            <w:r w:rsidRPr="008033A4">
              <w:rPr>
                <w:lang w:val="nl-BE"/>
              </w:rPr>
              <w:instrText xml:space="preserve"> HYPERLINK "https://orcid.org/0000-0002-8778-835X" </w:instrText>
            </w:r>
            <w:r w:rsidRPr="008033A4">
              <w:fldChar w:fldCharType="separate"/>
            </w:r>
            <w:r w:rsidRPr="008033A4">
              <w:rPr>
                <w:lang w:val="nl-BE"/>
              </w:rPr>
              <w:t xml:space="preserve"> </w:t>
            </w:r>
            <w:r w:rsidRPr="008033A4">
              <w:rPr>
                <w:u w:val="single"/>
                <w:lang w:val="nl-BE"/>
              </w:rPr>
              <w:t>(0000-0002-8778-835X)</w:t>
            </w:r>
          </w:p>
          <w:p w:rsidR="008033A4" w:rsidRPr="008033A4" w:rsidRDefault="008033A4" w:rsidP="00306CBC">
            <w:pPr>
              <w:rPr>
                <w:bCs/>
                <w:lang w:val="nl-BE"/>
              </w:rPr>
            </w:pPr>
            <w:r w:rsidRPr="008033A4">
              <w:fldChar w:fldCharType="end"/>
            </w:r>
            <w:r w:rsidRPr="008033A4">
              <w:rPr>
                <w:b/>
                <w:bCs/>
                <w:lang w:val="nl-BE"/>
              </w:rPr>
              <w:t>Koen Nelissen</w:t>
            </w:r>
            <w:r w:rsidRPr="008033A4">
              <w:rPr>
                <w:bCs/>
                <w:lang w:val="nl-BE"/>
              </w:rPr>
              <w:t xml:space="preserve"> (</w:t>
            </w:r>
            <w:r w:rsidRPr="008033A4">
              <w:rPr>
                <w:lang w:val="nl-BE"/>
              </w:rPr>
              <w:t>0000-0001-8367-2491</w:t>
            </w:r>
            <w:r w:rsidRPr="008033A4">
              <w:rPr>
                <w:bCs/>
                <w:lang w:val="nl-BE"/>
              </w:rPr>
              <w:t>)</w:t>
            </w:r>
          </w:p>
          <w:p w:rsidR="008033A4" w:rsidRPr="008033A4" w:rsidRDefault="008033A4" w:rsidP="00306CBC">
            <w:pPr>
              <w:rPr>
                <w:b/>
                <w:bCs/>
                <w:lang w:val="nl-BE"/>
              </w:rPr>
            </w:pPr>
            <w:r w:rsidRPr="008033A4">
              <w:rPr>
                <w:b/>
                <w:bCs/>
                <w:lang w:val="nl-BE"/>
              </w:rPr>
              <w:t>Sebastian Haesler</w:t>
            </w:r>
            <w:r>
              <w:rPr>
                <w:b/>
                <w:bCs/>
                <w:lang w:val="nl-BE"/>
              </w:rPr>
              <w:t xml:space="preserve"> </w:t>
            </w:r>
            <w:r w:rsidRPr="008033A4">
              <w:rPr>
                <w:bCs/>
                <w:lang w:val="nl-BE"/>
              </w:rPr>
              <w:t>(</w:t>
            </w:r>
            <w:r>
              <w:t>0000-0003-4924-7381</w:t>
            </w:r>
            <w:r w:rsidRPr="008033A4">
              <w:rPr>
                <w:bCs/>
                <w:lang w:val="nl-BE"/>
              </w:rPr>
              <w:t>)</w:t>
            </w:r>
          </w:p>
        </w:tc>
      </w:tr>
      <w:tr w:rsidR="00202C9D" w:rsidRPr="008033A4" w:rsidTr="00306CBC">
        <w:trPr>
          <w:cantSplit/>
          <w:trHeight w:val="269"/>
        </w:trPr>
        <w:tc>
          <w:tcPr>
            <w:tcW w:w="4962" w:type="dxa"/>
          </w:tcPr>
          <w:p w:rsidR="00202C9D" w:rsidRDefault="00202C9D" w:rsidP="00306CBC">
            <w:pPr>
              <w:rPr>
                <w:lang w:val="nl-BE"/>
              </w:rPr>
            </w:pPr>
            <w:r w:rsidRPr="00B84C69">
              <w:t>Project number</w:t>
            </w:r>
            <w:bookmarkStart w:id="1" w:name="_Ref112255161"/>
            <w:r w:rsidR="0031680E">
              <w:t xml:space="preserve"> </w:t>
            </w:r>
            <w:r>
              <w:rPr>
                <w:rStyle w:val="FootnoteReference"/>
              </w:rPr>
              <w:footnoteReference w:id="1"/>
            </w:r>
            <w:bookmarkEnd w:id="1"/>
            <w:r w:rsidRPr="00B84C69">
              <w:t xml:space="preserve"> </w:t>
            </w:r>
            <w:r>
              <w:t>&amp;</w:t>
            </w:r>
            <w:r w:rsidRPr="00B84C69">
              <w:t xml:space="preserve"> title</w:t>
            </w:r>
          </w:p>
        </w:tc>
        <w:tc>
          <w:tcPr>
            <w:tcW w:w="10631" w:type="dxa"/>
          </w:tcPr>
          <w:p w:rsidR="00202C9D" w:rsidRPr="008033A4" w:rsidRDefault="008033A4" w:rsidP="008033A4">
            <w:pPr>
              <w:pStyle w:val="Default"/>
              <w:rPr>
                <w:lang w:val="nl-BE"/>
              </w:rPr>
            </w:pPr>
            <w:r w:rsidRPr="008033A4">
              <w:rPr>
                <w:b/>
                <w:bCs/>
                <w:sz w:val="22"/>
                <w:szCs w:val="22"/>
                <w:lang w:val="nl-BE"/>
              </w:rPr>
              <w:t>Dynamiek van plasticiteit in het volwassen brein.</w:t>
            </w:r>
          </w:p>
        </w:tc>
      </w:tr>
      <w:tr w:rsidR="00202C9D" w:rsidTr="00306CBC">
        <w:trPr>
          <w:cantSplit/>
          <w:trHeight w:val="269"/>
        </w:trPr>
        <w:tc>
          <w:tcPr>
            <w:tcW w:w="4962" w:type="dxa"/>
          </w:tcPr>
          <w:p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RDefault="008033A4" w:rsidP="00306CBC">
            <w:pPr>
              <w:rPr>
                <w:lang w:val="nl-BE"/>
              </w:rPr>
            </w:pPr>
            <w:r w:rsidRPr="008033A4">
              <w:rPr>
                <w:b/>
                <w:bCs/>
                <w:sz w:val="22"/>
                <w:szCs w:val="22"/>
                <w:lang w:val="nl-BE"/>
              </w:rPr>
              <w:t xml:space="preserve">C14/21/111 </w:t>
            </w:r>
          </w:p>
        </w:tc>
      </w:tr>
      <w:tr w:rsidR="00202C9D" w:rsidRPr="003716A8" w:rsidTr="00306CBC">
        <w:trPr>
          <w:cantSplit/>
          <w:trHeight w:val="269"/>
        </w:trPr>
        <w:tc>
          <w:tcPr>
            <w:tcW w:w="4962" w:type="dxa"/>
          </w:tcPr>
          <w:p w:rsidR="00202C9D" w:rsidRPr="00B84C69" w:rsidRDefault="00202C9D" w:rsidP="00306CBC">
            <w:r w:rsidRPr="00C512C7">
              <w:t>Affiliation(s)</w:t>
            </w:r>
            <w:bookmarkStart w:id="2" w:name="_GoBack"/>
            <w:bookmarkEnd w:id="2"/>
          </w:p>
        </w:tc>
        <w:tc>
          <w:tcPr>
            <w:tcW w:w="10631" w:type="dxa"/>
          </w:tcPr>
          <w:p w:rsidR="00202C9D" w:rsidRDefault="00202C9D" w:rsidP="00306CBC">
            <w:pPr>
              <w:rPr>
                <w:lang w:val="nl-BE"/>
              </w:rPr>
            </w:pPr>
            <w:r w:rsidRPr="0094370D">
              <w:rPr>
                <w:lang w:val="nl-BE"/>
              </w:rPr>
              <w:t xml:space="preserve">KU Leuven </w:t>
            </w:r>
          </w:p>
          <w:p w:rsidR="00202C9D" w:rsidRPr="003716A8" w:rsidRDefault="00202C9D" w:rsidP="00C87DF9"/>
        </w:tc>
      </w:tr>
      <w:tr w:rsidR="00202C9D" w:rsidRPr="003716A8" w:rsidTr="00306CBC">
        <w:trPr>
          <w:cantSplit/>
          <w:trHeight w:val="269"/>
        </w:trPr>
        <w:tc>
          <w:tcPr>
            <w:tcW w:w="4962" w:type="dxa"/>
          </w:tcPr>
          <w:p w:rsidR="00202C9D" w:rsidRPr="00C512C7" w:rsidRDefault="00202C9D" w:rsidP="00306CBC">
            <w:r w:rsidRPr="003716A8">
              <w:lastRenderedPageBreak/>
              <w:t>Please provide a short project description</w:t>
            </w:r>
          </w:p>
        </w:tc>
        <w:tc>
          <w:tcPr>
            <w:tcW w:w="10631" w:type="dxa"/>
          </w:tcPr>
          <w:p w:rsidR="00202C9D" w:rsidRDefault="00202C9D" w:rsidP="00306CBC">
            <w:pPr>
              <w:rPr>
                <w:rFonts w:ascii="Segoe UI Symbol" w:hAnsi="Segoe UI Symbol" w:cs="Segoe UI Symbol"/>
              </w:rPr>
            </w:pP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This application is a continuation of our previous highly successful C1 grant in which we investigated</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how sensory representations change by learning, with a special emphasis on neurotransmitter systems</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involved. We adopted a common procedure for studying adult cortical plasticity by comparing sensory</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representations before and after plasticity-inducing events, or by comparing trained versus untrained</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stimuli. Such paradigms are suited for identifying representational changes, but not for studying critical</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neuronal dynamics during the plasticity-inducing events themselves or during their consolidation.</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Therefore, the central tenet of this proposal is to follow learning-induced plasticity throughout the entire</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process, including the plasticity-inducing events. This requires application of emerging technologies</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whereby activity of (preferentially) single neurons can be tracked during extensive periods of time,</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which is especially challenging in primates. We will use an interdisciplinary approach involving</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refined correlational and genetic-based causal methods in mice and monkeys. As in the previous C1, we</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will focus on the dominant sensory modality (olfaction in mice and vision in monkeys) to identify</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mechanisms of plasticity during associative sensory learning. We will use chronically implanted</w:t>
            </w:r>
          </w:p>
          <w:p w:rsidR="008033A4" w:rsidRDefault="008033A4" w:rsidP="008033A4">
            <w:pPr>
              <w:autoSpaceDE w:val="0"/>
              <w:autoSpaceDN w:val="0"/>
              <w:adjustRightInd w:val="0"/>
              <w:rPr>
                <w:rFonts w:ascii="Asana-Math" w:hAnsi="Asana-Math" w:cs="Asana-Math"/>
                <w:lang w:val="en-US"/>
              </w:rPr>
            </w:pPr>
            <w:proofErr w:type="spellStart"/>
            <w:r>
              <w:rPr>
                <w:rFonts w:ascii="Asana-Math" w:hAnsi="Asana-Math" w:cs="Asana-Math"/>
                <w:lang w:val="en-US"/>
              </w:rPr>
              <w:t>Neuropixel</w:t>
            </w:r>
            <w:proofErr w:type="spellEnd"/>
            <w:r>
              <w:rPr>
                <w:rFonts w:ascii="Asana-Math" w:hAnsi="Asana-Math" w:cs="Asana-Math"/>
                <w:lang w:val="en-US"/>
              </w:rPr>
              <w:t xml:space="preserve"> 2.0 probes (with &gt;1k contacts) and single-cell calcium imaging with implanted miniature</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microscopes. We will also take advantage of our latest developments in optogenetics and sub-mm</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primate fMRI to induce and measure plasticity at mesoscale resolution. Our proposed research will</w:t>
            </w:r>
          </w:p>
          <w:p w:rsidR="008033A4" w:rsidRDefault="008033A4" w:rsidP="008033A4">
            <w:pPr>
              <w:autoSpaceDE w:val="0"/>
              <w:autoSpaceDN w:val="0"/>
              <w:adjustRightInd w:val="0"/>
              <w:rPr>
                <w:rFonts w:ascii="Asana-Math" w:hAnsi="Asana-Math" w:cs="Asana-Math"/>
                <w:lang w:val="en-US"/>
              </w:rPr>
            </w:pPr>
            <w:r>
              <w:rPr>
                <w:rFonts w:ascii="Asana-Math" w:hAnsi="Asana-Math" w:cs="Asana-Math"/>
                <w:lang w:val="en-US"/>
              </w:rPr>
              <w:t>reveal fundamental principles underlying adult brain plasticity, which may ultimately improve</w:t>
            </w:r>
          </w:p>
          <w:p w:rsidR="00202C9D" w:rsidRDefault="008033A4" w:rsidP="008033A4">
            <w:pPr>
              <w:rPr>
                <w:rFonts w:ascii="Segoe UI Symbol" w:hAnsi="Segoe UI Symbol" w:cs="Segoe UI Symbol"/>
              </w:rPr>
            </w:pPr>
            <w:r>
              <w:rPr>
                <w:rFonts w:ascii="Asana-Math" w:hAnsi="Asana-Math" w:cs="Asana-Math"/>
                <w:lang w:val="en-US"/>
              </w:rPr>
              <w:t>rehabilitation of patients with neural impairments or enhance performance of elderly.</w:t>
            </w:r>
          </w:p>
          <w:p w:rsidR="00202C9D" w:rsidRDefault="00202C9D" w:rsidP="00306CBC">
            <w:pPr>
              <w:rPr>
                <w:rFonts w:ascii="Segoe UI Symbol" w:hAnsi="Segoe UI Symbol" w:cs="Segoe UI Symbol"/>
              </w:rPr>
            </w:pPr>
          </w:p>
          <w:p w:rsidR="00202C9D" w:rsidRPr="003716A8" w:rsidRDefault="00202C9D" w:rsidP="00306CBC">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202C9D" w:rsidP="00202C9D"/>
              </w:tc>
              <w:tc>
                <w:tcPr>
                  <w:tcW w:w="1842" w:type="dxa"/>
                </w:tcPr>
                <w:p w:rsidR="00202C9D" w:rsidRDefault="00202C9D" w:rsidP="00202C9D"/>
              </w:tc>
              <w:tc>
                <w:tcPr>
                  <w:tcW w:w="2332" w:type="dxa"/>
                </w:tcPr>
                <w:p w:rsidR="00202C9D" w:rsidRPr="00250516" w:rsidRDefault="00E36637"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E36637"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E36637"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rsidR="00202C9D" w:rsidRDefault="00E36637"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E3663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E3663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E3663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E36637"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E36637"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rsidR="00202C9D" w:rsidRDefault="00E3663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E36637"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rsidR="00202C9D" w:rsidRDefault="00E3663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RDefault="00202C9D" w:rsidP="00202C9D">
                  <w:pPr>
                    <w:rPr>
                      <w:lang w:val="en-US"/>
                    </w:rPr>
                  </w:pPr>
                </w:p>
              </w:tc>
              <w:tc>
                <w:tcPr>
                  <w:tcW w:w="2126" w:type="dxa"/>
                </w:tcPr>
                <w:p w:rsidR="00202C9D" w:rsidRDefault="00E36637"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E3663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rsidR="00202C9D" w:rsidRDefault="00E3663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E3663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E3663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E3663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184DDE" w:rsidTr="009E2081">
              <w:tc>
                <w:tcPr>
                  <w:tcW w:w="1588" w:type="dxa"/>
                </w:tcPr>
                <w:p w:rsidR="00184DDE" w:rsidRDefault="00344E02" w:rsidP="00202C9D">
                  <w:r>
                    <w:t>fMRI</w:t>
                  </w:r>
                </w:p>
              </w:tc>
              <w:tc>
                <w:tcPr>
                  <w:tcW w:w="1842" w:type="dxa"/>
                </w:tcPr>
                <w:p w:rsidR="00184DDE" w:rsidRDefault="00344E02" w:rsidP="00202C9D">
                  <w:r>
                    <w:t>monkey</w:t>
                  </w:r>
                </w:p>
              </w:tc>
              <w:tc>
                <w:tcPr>
                  <w:tcW w:w="2332" w:type="dxa"/>
                </w:tcPr>
                <w:p w:rsidR="00184DDE" w:rsidRDefault="00344E02" w:rsidP="00202C9D">
                  <w:pPr>
                    <w:rPr>
                      <w:rFonts w:ascii="MS Gothic" w:eastAsia="MS Gothic" w:hAnsi="MS Gothic"/>
                      <w:lang w:val="en-US"/>
                    </w:rPr>
                  </w:pPr>
                  <w:r>
                    <w:rPr>
                      <w:rFonts w:ascii="MS Gothic" w:eastAsia="MS Gothic" w:hAnsi="MS Gothic"/>
                      <w:lang w:val="en-US"/>
                    </w:rPr>
                    <w:t>new</w:t>
                  </w:r>
                </w:p>
              </w:tc>
              <w:tc>
                <w:tcPr>
                  <w:tcW w:w="1354" w:type="dxa"/>
                </w:tcPr>
                <w:p w:rsidR="00184DDE" w:rsidRDefault="00344E02" w:rsidP="00202C9D">
                  <w:pPr>
                    <w:rPr>
                      <w:rFonts w:ascii="MS Gothic" w:eastAsia="MS Gothic" w:hAnsi="MS Gothic"/>
                      <w:lang w:val="en-US"/>
                    </w:rPr>
                  </w:pPr>
                  <w:r>
                    <w:rPr>
                      <w:rFonts w:ascii="MS Gothic" w:eastAsia="MS Gothic" w:hAnsi="MS Gothic"/>
                      <w:lang w:val="en-US"/>
                    </w:rPr>
                    <w:t>digital</w:t>
                  </w:r>
                </w:p>
              </w:tc>
              <w:tc>
                <w:tcPr>
                  <w:tcW w:w="1984" w:type="dxa"/>
                </w:tcPr>
                <w:p w:rsidR="00184DDE" w:rsidRDefault="00344E02" w:rsidP="00202C9D">
                  <w:pPr>
                    <w:rPr>
                      <w:rFonts w:ascii="MS Gothic" w:eastAsia="MS Gothic" w:hAnsi="MS Gothic"/>
                      <w:lang w:val="en-US"/>
                    </w:rPr>
                  </w:pPr>
                  <w:r>
                    <w:rPr>
                      <w:rFonts w:ascii="MS Gothic" w:eastAsia="MS Gothic" w:hAnsi="MS Gothic"/>
                      <w:lang w:val="en-US"/>
                    </w:rPr>
                    <w:t>images</w:t>
                  </w:r>
                </w:p>
              </w:tc>
              <w:tc>
                <w:tcPr>
                  <w:tcW w:w="1985" w:type="dxa"/>
                </w:tcPr>
                <w:p w:rsidR="00184DDE" w:rsidRDefault="00344E02" w:rsidP="00202C9D">
                  <w:pPr>
                    <w:rPr>
                      <w:rFonts w:ascii="MS Gothic" w:eastAsia="MS Gothic" w:hAnsi="MS Gothic"/>
                      <w:lang w:val="en-US"/>
                    </w:rPr>
                  </w:pPr>
                  <w:r>
                    <w:rPr>
                      <w:rFonts w:ascii="MS Gothic" w:eastAsia="MS Gothic" w:hAnsi="MS Gothic"/>
                      <w:lang w:val="en-US"/>
                    </w:rPr>
                    <w:t xml:space="preserve">k-space, </w:t>
                  </w:r>
                  <w:proofErr w:type="spellStart"/>
                  <w:r>
                    <w:rPr>
                      <w:rFonts w:ascii="MS Gothic" w:eastAsia="MS Gothic" w:hAnsi="MS Gothic"/>
                      <w:lang w:val="en-US"/>
                    </w:rPr>
                    <w:t>dicom</w:t>
                  </w:r>
                  <w:proofErr w:type="spellEnd"/>
                  <w:r>
                    <w:rPr>
                      <w:rFonts w:ascii="MS Gothic" w:eastAsia="MS Gothic" w:hAnsi="MS Gothic"/>
                      <w:lang w:val="en-US"/>
                    </w:rPr>
                    <w:t xml:space="preserve"> and </w:t>
                  </w:r>
                  <w:proofErr w:type="spellStart"/>
                  <w:r>
                    <w:rPr>
                      <w:rFonts w:ascii="MS Gothic" w:eastAsia="MS Gothic" w:hAnsi="MS Gothic"/>
                      <w:lang w:val="en-US"/>
                    </w:rPr>
                    <w:t>nifti</w:t>
                  </w:r>
                  <w:proofErr w:type="spellEnd"/>
                </w:p>
              </w:tc>
              <w:tc>
                <w:tcPr>
                  <w:tcW w:w="2126" w:type="dxa"/>
                </w:tcPr>
                <w:p w:rsidR="00184DDE" w:rsidRDefault="00344E02" w:rsidP="00202C9D">
                  <w:pPr>
                    <w:rPr>
                      <w:rFonts w:ascii="MS Gothic" w:eastAsia="MS Gothic" w:hAnsi="MS Gothic"/>
                      <w:lang w:val="en-US"/>
                    </w:rPr>
                  </w:pPr>
                  <w:r>
                    <w:rPr>
                      <w:rFonts w:ascii="MS Gothic" w:eastAsia="MS Gothic" w:hAnsi="MS Gothic"/>
                      <w:lang w:val="en-US"/>
                    </w:rPr>
                    <w:t>10 TB</w:t>
                  </w:r>
                </w:p>
              </w:tc>
              <w:tc>
                <w:tcPr>
                  <w:tcW w:w="2156" w:type="dxa"/>
                </w:tcPr>
                <w:p w:rsidR="00184DDE" w:rsidRDefault="00184DDE" w:rsidP="00202C9D"/>
              </w:tc>
            </w:tr>
            <w:tr w:rsidR="00BA789F" w:rsidTr="009E2081">
              <w:tc>
                <w:tcPr>
                  <w:tcW w:w="1588" w:type="dxa"/>
                </w:tcPr>
                <w:p w:rsidR="00BA789F" w:rsidRDefault="00344E02" w:rsidP="00202C9D">
                  <w:r>
                    <w:t>electrophysiology</w:t>
                  </w:r>
                </w:p>
              </w:tc>
              <w:tc>
                <w:tcPr>
                  <w:tcW w:w="1842" w:type="dxa"/>
                </w:tcPr>
                <w:p w:rsidR="00BA789F" w:rsidRDefault="00344E02" w:rsidP="00202C9D">
                  <w:r>
                    <w:t>monkey</w:t>
                  </w:r>
                </w:p>
              </w:tc>
              <w:tc>
                <w:tcPr>
                  <w:tcW w:w="2332" w:type="dxa"/>
                </w:tcPr>
                <w:p w:rsidR="00BA789F" w:rsidRDefault="00344E02" w:rsidP="00202C9D">
                  <w:pPr>
                    <w:rPr>
                      <w:rFonts w:ascii="MS Gothic" w:eastAsia="MS Gothic" w:hAnsi="MS Gothic"/>
                      <w:lang w:val="en-US"/>
                    </w:rPr>
                  </w:pPr>
                  <w:r>
                    <w:rPr>
                      <w:rFonts w:ascii="MS Gothic" w:eastAsia="MS Gothic" w:hAnsi="MS Gothic"/>
                      <w:lang w:val="en-US"/>
                    </w:rPr>
                    <w:t>new</w:t>
                  </w:r>
                </w:p>
              </w:tc>
              <w:tc>
                <w:tcPr>
                  <w:tcW w:w="1354" w:type="dxa"/>
                </w:tcPr>
                <w:p w:rsidR="00BA789F" w:rsidRDefault="00344E02" w:rsidP="00202C9D">
                  <w:pPr>
                    <w:rPr>
                      <w:rFonts w:ascii="MS Gothic" w:eastAsia="MS Gothic" w:hAnsi="MS Gothic"/>
                      <w:lang w:val="en-US"/>
                    </w:rPr>
                  </w:pPr>
                  <w:r>
                    <w:rPr>
                      <w:rFonts w:ascii="MS Gothic" w:eastAsia="MS Gothic" w:hAnsi="MS Gothic"/>
                      <w:lang w:val="en-US"/>
                    </w:rPr>
                    <w:t>digital</w:t>
                  </w:r>
                </w:p>
              </w:tc>
              <w:tc>
                <w:tcPr>
                  <w:tcW w:w="1984" w:type="dxa"/>
                </w:tcPr>
                <w:p w:rsidR="00BA789F" w:rsidRDefault="00344E02" w:rsidP="00202C9D">
                  <w:pPr>
                    <w:rPr>
                      <w:rFonts w:ascii="MS Gothic" w:eastAsia="MS Gothic" w:hAnsi="MS Gothic"/>
                      <w:lang w:val="en-US"/>
                    </w:rPr>
                  </w:pPr>
                  <w:r>
                    <w:rPr>
                      <w:rFonts w:ascii="MS Gothic" w:eastAsia="MS Gothic" w:hAnsi="MS Gothic"/>
                      <w:lang w:val="en-US"/>
                    </w:rPr>
                    <w:t>numerical</w:t>
                  </w:r>
                </w:p>
              </w:tc>
              <w:tc>
                <w:tcPr>
                  <w:tcW w:w="1985" w:type="dxa"/>
                </w:tcPr>
                <w:p w:rsidR="00BA789F" w:rsidRDefault="00344E02" w:rsidP="00202C9D">
                  <w:pPr>
                    <w:rPr>
                      <w:rFonts w:ascii="MS Gothic" w:eastAsia="MS Gothic" w:hAnsi="MS Gothic"/>
                      <w:lang w:val="en-US"/>
                    </w:rPr>
                  </w:pPr>
                  <w:proofErr w:type="spellStart"/>
                  <w:r>
                    <w:rPr>
                      <w:rFonts w:ascii="MS Gothic" w:eastAsia="MS Gothic" w:hAnsi="MS Gothic"/>
                      <w:lang w:val="en-US"/>
                    </w:rPr>
                    <w:t>Matlab</w:t>
                  </w:r>
                  <w:proofErr w:type="spellEnd"/>
                  <w:r>
                    <w:rPr>
                      <w:rFonts w:ascii="MS Gothic" w:eastAsia="MS Gothic" w:hAnsi="MS Gothic"/>
                      <w:lang w:val="en-US"/>
                    </w:rPr>
                    <w:t xml:space="preserve"> (.m)</w:t>
                  </w:r>
                </w:p>
              </w:tc>
              <w:tc>
                <w:tcPr>
                  <w:tcW w:w="2126" w:type="dxa"/>
                </w:tcPr>
                <w:p w:rsidR="00BA789F" w:rsidRDefault="00344E02" w:rsidP="00202C9D">
                  <w:pPr>
                    <w:rPr>
                      <w:rFonts w:ascii="MS Gothic" w:eastAsia="MS Gothic" w:hAnsi="MS Gothic"/>
                      <w:lang w:val="en-US"/>
                    </w:rPr>
                  </w:pPr>
                  <w:r>
                    <w:rPr>
                      <w:rFonts w:ascii="MS Gothic" w:eastAsia="MS Gothic" w:hAnsi="MS Gothic"/>
                      <w:lang w:val="en-US"/>
                    </w:rPr>
                    <w:t>1 TB</w:t>
                  </w:r>
                </w:p>
              </w:tc>
              <w:tc>
                <w:tcPr>
                  <w:tcW w:w="2156" w:type="dxa"/>
                </w:tcPr>
                <w:p w:rsidR="00BA789F" w:rsidRDefault="00BA789F" w:rsidP="00202C9D"/>
              </w:tc>
            </w:tr>
            <w:tr w:rsidR="00A9457D" w:rsidTr="009E2081">
              <w:tc>
                <w:tcPr>
                  <w:tcW w:w="1588" w:type="dxa"/>
                </w:tcPr>
                <w:p w:rsidR="00A9457D" w:rsidRDefault="00344E02" w:rsidP="00202C9D">
                  <w:r>
                    <w:t>electrophysiology</w:t>
                  </w:r>
                </w:p>
              </w:tc>
              <w:tc>
                <w:tcPr>
                  <w:tcW w:w="1842" w:type="dxa"/>
                </w:tcPr>
                <w:p w:rsidR="00A9457D" w:rsidRDefault="00344E02" w:rsidP="00202C9D">
                  <w:r>
                    <w:t>mice</w:t>
                  </w:r>
                </w:p>
              </w:tc>
              <w:tc>
                <w:tcPr>
                  <w:tcW w:w="2332" w:type="dxa"/>
                </w:tcPr>
                <w:p w:rsidR="00A9457D" w:rsidRDefault="00344E02" w:rsidP="00202C9D">
                  <w:pPr>
                    <w:rPr>
                      <w:rFonts w:ascii="MS Gothic" w:eastAsia="MS Gothic" w:hAnsi="MS Gothic"/>
                      <w:lang w:val="en-US"/>
                    </w:rPr>
                  </w:pPr>
                  <w:r>
                    <w:rPr>
                      <w:rFonts w:ascii="MS Gothic" w:eastAsia="MS Gothic" w:hAnsi="MS Gothic"/>
                      <w:lang w:val="en-US"/>
                    </w:rPr>
                    <w:t>new</w:t>
                  </w:r>
                </w:p>
              </w:tc>
              <w:tc>
                <w:tcPr>
                  <w:tcW w:w="1354" w:type="dxa"/>
                </w:tcPr>
                <w:p w:rsidR="00A9457D" w:rsidRDefault="00344E02" w:rsidP="00202C9D">
                  <w:pPr>
                    <w:rPr>
                      <w:rFonts w:ascii="MS Gothic" w:eastAsia="MS Gothic" w:hAnsi="MS Gothic"/>
                      <w:lang w:val="en-US"/>
                    </w:rPr>
                  </w:pPr>
                  <w:r>
                    <w:rPr>
                      <w:rFonts w:ascii="MS Gothic" w:eastAsia="MS Gothic" w:hAnsi="MS Gothic"/>
                      <w:lang w:val="en-US"/>
                    </w:rPr>
                    <w:t>digital</w:t>
                  </w:r>
                </w:p>
              </w:tc>
              <w:tc>
                <w:tcPr>
                  <w:tcW w:w="1984" w:type="dxa"/>
                </w:tcPr>
                <w:p w:rsidR="00A9457D" w:rsidRDefault="00344E02" w:rsidP="00202C9D">
                  <w:pPr>
                    <w:rPr>
                      <w:rFonts w:ascii="MS Gothic" w:eastAsia="MS Gothic" w:hAnsi="MS Gothic"/>
                      <w:lang w:val="en-US"/>
                    </w:rPr>
                  </w:pPr>
                  <w:r>
                    <w:rPr>
                      <w:rFonts w:ascii="MS Gothic" w:eastAsia="MS Gothic" w:hAnsi="MS Gothic"/>
                      <w:lang w:val="en-US"/>
                    </w:rPr>
                    <w:t>numerical</w:t>
                  </w:r>
                </w:p>
              </w:tc>
              <w:tc>
                <w:tcPr>
                  <w:tcW w:w="1985" w:type="dxa"/>
                </w:tcPr>
                <w:p w:rsidR="00A9457D" w:rsidRDefault="00344E02" w:rsidP="00202C9D">
                  <w:pPr>
                    <w:rPr>
                      <w:rFonts w:ascii="MS Gothic" w:eastAsia="MS Gothic" w:hAnsi="MS Gothic"/>
                      <w:lang w:val="en-US"/>
                    </w:rPr>
                  </w:pPr>
                  <w:proofErr w:type="spellStart"/>
                  <w:r>
                    <w:rPr>
                      <w:rFonts w:ascii="MS Gothic" w:eastAsia="MS Gothic" w:hAnsi="MS Gothic"/>
                      <w:lang w:val="en-US"/>
                    </w:rPr>
                    <w:t>Matlab</w:t>
                  </w:r>
                  <w:proofErr w:type="spellEnd"/>
                  <w:r>
                    <w:rPr>
                      <w:rFonts w:ascii="MS Gothic" w:eastAsia="MS Gothic" w:hAnsi="MS Gothic"/>
                      <w:lang w:val="en-US"/>
                    </w:rPr>
                    <w:t xml:space="preserve"> (.m)</w:t>
                  </w:r>
                </w:p>
              </w:tc>
              <w:tc>
                <w:tcPr>
                  <w:tcW w:w="2126" w:type="dxa"/>
                </w:tcPr>
                <w:p w:rsidR="00A9457D" w:rsidRDefault="00344E02" w:rsidP="00202C9D">
                  <w:pPr>
                    <w:rPr>
                      <w:rFonts w:ascii="MS Gothic" w:eastAsia="MS Gothic" w:hAnsi="MS Gothic"/>
                      <w:lang w:val="en-US"/>
                    </w:rPr>
                  </w:pPr>
                  <w:r>
                    <w:rPr>
                      <w:rFonts w:ascii="MS Gothic" w:eastAsia="MS Gothic" w:hAnsi="MS Gothic"/>
                      <w:lang w:val="en-US"/>
                    </w:rPr>
                    <w:t>1 TB</w:t>
                  </w:r>
                </w:p>
              </w:tc>
              <w:tc>
                <w:tcPr>
                  <w:tcW w:w="2156" w:type="dxa"/>
                </w:tcPr>
                <w:p w:rsidR="00A9457D" w:rsidRDefault="00A9457D" w:rsidP="00202C9D"/>
              </w:tc>
            </w:tr>
            <w:tr w:rsidR="00A9457D" w:rsidTr="009E2081">
              <w:tc>
                <w:tcPr>
                  <w:tcW w:w="1588" w:type="dxa"/>
                </w:tcPr>
                <w:p w:rsidR="00A9457D" w:rsidRDefault="00344E02" w:rsidP="00202C9D">
                  <w:r>
                    <w:t>behavioral</w:t>
                  </w:r>
                </w:p>
              </w:tc>
              <w:tc>
                <w:tcPr>
                  <w:tcW w:w="1842" w:type="dxa"/>
                </w:tcPr>
                <w:p w:rsidR="00A9457D" w:rsidRDefault="00344E02" w:rsidP="00202C9D">
                  <w:r>
                    <w:t>monkey</w:t>
                  </w:r>
                </w:p>
              </w:tc>
              <w:tc>
                <w:tcPr>
                  <w:tcW w:w="2332" w:type="dxa"/>
                </w:tcPr>
                <w:p w:rsidR="00A9457D" w:rsidRDefault="00344E02" w:rsidP="00202C9D">
                  <w:pPr>
                    <w:rPr>
                      <w:rFonts w:ascii="MS Gothic" w:eastAsia="MS Gothic" w:hAnsi="MS Gothic"/>
                      <w:lang w:val="en-US"/>
                    </w:rPr>
                  </w:pPr>
                  <w:r>
                    <w:rPr>
                      <w:rFonts w:ascii="MS Gothic" w:eastAsia="MS Gothic" w:hAnsi="MS Gothic"/>
                      <w:lang w:val="en-US"/>
                    </w:rPr>
                    <w:t>new</w:t>
                  </w:r>
                </w:p>
              </w:tc>
              <w:tc>
                <w:tcPr>
                  <w:tcW w:w="1354" w:type="dxa"/>
                </w:tcPr>
                <w:p w:rsidR="00A9457D" w:rsidRDefault="00344E02" w:rsidP="00202C9D">
                  <w:pPr>
                    <w:rPr>
                      <w:rFonts w:ascii="MS Gothic" w:eastAsia="MS Gothic" w:hAnsi="MS Gothic"/>
                      <w:lang w:val="en-US"/>
                    </w:rPr>
                  </w:pPr>
                  <w:r>
                    <w:rPr>
                      <w:rFonts w:ascii="MS Gothic" w:eastAsia="MS Gothic" w:hAnsi="MS Gothic"/>
                      <w:lang w:val="en-US"/>
                    </w:rPr>
                    <w:t>digital</w:t>
                  </w:r>
                </w:p>
              </w:tc>
              <w:tc>
                <w:tcPr>
                  <w:tcW w:w="1984" w:type="dxa"/>
                </w:tcPr>
                <w:p w:rsidR="00A9457D" w:rsidRDefault="00344E02" w:rsidP="00202C9D">
                  <w:pPr>
                    <w:rPr>
                      <w:rFonts w:ascii="MS Gothic" w:eastAsia="MS Gothic" w:hAnsi="MS Gothic"/>
                      <w:lang w:val="en-US"/>
                    </w:rPr>
                  </w:pPr>
                  <w:r>
                    <w:rPr>
                      <w:rFonts w:ascii="MS Gothic" w:eastAsia="MS Gothic" w:hAnsi="MS Gothic"/>
                      <w:lang w:val="en-US"/>
                    </w:rPr>
                    <w:t>numerical</w:t>
                  </w:r>
                </w:p>
              </w:tc>
              <w:tc>
                <w:tcPr>
                  <w:tcW w:w="1985" w:type="dxa"/>
                </w:tcPr>
                <w:p w:rsidR="00A9457D" w:rsidRDefault="00344E02" w:rsidP="00202C9D">
                  <w:pPr>
                    <w:rPr>
                      <w:rFonts w:ascii="MS Gothic" w:eastAsia="MS Gothic" w:hAnsi="MS Gothic"/>
                      <w:lang w:val="en-US"/>
                    </w:rPr>
                  </w:pPr>
                  <w:proofErr w:type="spellStart"/>
                  <w:r>
                    <w:rPr>
                      <w:rFonts w:ascii="MS Gothic" w:eastAsia="MS Gothic" w:hAnsi="MS Gothic"/>
                      <w:lang w:val="en-US"/>
                    </w:rPr>
                    <w:t>Matlab</w:t>
                  </w:r>
                  <w:proofErr w:type="spellEnd"/>
                  <w:r>
                    <w:rPr>
                      <w:rFonts w:ascii="MS Gothic" w:eastAsia="MS Gothic" w:hAnsi="MS Gothic"/>
                      <w:lang w:val="en-US"/>
                    </w:rPr>
                    <w:t xml:space="preserve"> (.m)</w:t>
                  </w:r>
                </w:p>
              </w:tc>
              <w:tc>
                <w:tcPr>
                  <w:tcW w:w="2126" w:type="dxa"/>
                </w:tcPr>
                <w:p w:rsidR="00A9457D" w:rsidRDefault="00344E02" w:rsidP="00202C9D">
                  <w:pPr>
                    <w:rPr>
                      <w:rFonts w:ascii="MS Gothic" w:eastAsia="MS Gothic" w:hAnsi="MS Gothic"/>
                      <w:lang w:val="en-US"/>
                    </w:rPr>
                  </w:pPr>
                  <w:r>
                    <w:rPr>
                      <w:rFonts w:ascii="MS Gothic" w:eastAsia="MS Gothic" w:hAnsi="MS Gothic"/>
                      <w:lang w:val="en-US"/>
                    </w:rPr>
                    <w:t>50 GB</w:t>
                  </w:r>
                </w:p>
              </w:tc>
              <w:tc>
                <w:tcPr>
                  <w:tcW w:w="2156" w:type="dxa"/>
                </w:tcPr>
                <w:p w:rsidR="00A9457D" w:rsidRDefault="00A9457D" w:rsidP="00202C9D"/>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E36637"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344E02" w:rsidP="00345E00">
            <w:pPr>
              <w:rPr>
                <w:lang w:val="en-US"/>
              </w:rPr>
            </w:pPr>
            <w:r>
              <w:rPr>
                <w:lang w:val="en-US"/>
              </w:rPr>
              <w:t>NA</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E36637"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rsidR="00FB5895" w:rsidRDefault="00E36637" w:rsidP="00FB5895">
            <w:pPr>
              <w:rPr>
                <w:lang w:val="en-US"/>
              </w:rPr>
            </w:pPr>
            <w:sdt>
              <w:sdtPr>
                <w:rPr>
                  <w:lang w:val="en-US"/>
                </w:rPr>
                <w:id w:val="-463281363"/>
                <w14:checkbox>
                  <w14:checked w14:val="1"/>
                  <w14:checkedState w14:val="2612" w14:font="MS Gothic"/>
                  <w14:uncheckedState w14:val="2610" w14:font="MS Gothic"/>
                </w14:checkbox>
              </w:sdtPr>
              <w:sdtEndPr/>
              <w:sdtContent>
                <w:r w:rsidR="00344E02">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E3663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E3663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pPr>
              <w:rPr>
                <w:lang w:val="en-US"/>
              </w:rPr>
            </w:pPr>
            <w:r>
              <w:rPr>
                <w:lang w:val="en-US"/>
              </w:rPr>
              <w:t>Additional information</w:t>
            </w:r>
            <w:r w:rsidR="00EE33E8">
              <w:rPr>
                <w:lang w:val="en-US"/>
              </w:rPr>
              <w:t>:</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3" w:name="_Hlk89173861"/>
            <w:r w:rsidR="00FF09CC" w:rsidRPr="008F6455">
              <w:rPr>
                <w:rStyle w:val="FootnoteReference"/>
                <w:i/>
                <w:smallCaps/>
                <w:color w:val="5A5A5A" w:themeColor="text1" w:themeTint="A5"/>
                <w:sz w:val="20"/>
                <w:szCs w:val="20"/>
              </w:rPr>
              <w:footnoteReference w:id="4"/>
            </w:r>
            <w:bookmarkEnd w:id="3"/>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E3663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E3663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0662D">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E3663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E3663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E3663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E3663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E3663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E3663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E36637"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CA2D12" w:rsidRDefault="00CE7164" w:rsidP="003004C8">
            <w:pPr>
              <w:pStyle w:val="ListParagraph"/>
              <w:rPr>
                <w:bCs/>
              </w:rPr>
            </w:pPr>
            <w:r w:rsidRPr="00CE7164">
              <w:rPr>
                <w:bCs/>
              </w:rPr>
              <w:t>We use electronic Lab Notebooks</w:t>
            </w:r>
            <w:r>
              <w:rPr>
                <w:bCs/>
              </w:rPr>
              <w:t xml:space="preserve">. Other information is documented in readme.txt files Upon publication, code is shared via </w:t>
            </w:r>
            <w:proofErr w:type="spellStart"/>
            <w:r>
              <w:rPr>
                <w:bCs/>
              </w:rPr>
              <w:t>Github</w:t>
            </w:r>
            <w:proofErr w:type="spellEnd"/>
            <w:r>
              <w:rPr>
                <w:bCs/>
              </w:rPr>
              <w:t>.</w:t>
            </w:r>
          </w:p>
          <w:p w:rsidR="00CE7164" w:rsidRPr="00CE7164" w:rsidRDefault="00CE7164" w:rsidP="003004C8">
            <w:pPr>
              <w:pStyle w:val="ListParagraph"/>
              <w:rPr>
                <w:bCs/>
              </w:rPr>
            </w:pPr>
            <w:r>
              <w:rPr>
                <w:bCs/>
              </w:rPr>
              <w:t xml:space="preserve">For specific monkey fMRI analyses, we are actually working on a novel generalizable processing pipeline that will be shared with the community. </w:t>
            </w:r>
          </w:p>
        </w:tc>
      </w:tr>
      <w:tr w:rsidR="002300DE" w:rsidTr="00436EB9">
        <w:trPr>
          <w:cantSplit/>
          <w:trHeight w:val="269"/>
        </w:trPr>
        <w:tc>
          <w:tcPr>
            <w:tcW w:w="4962" w:type="dxa"/>
            <w:shd w:val="clear" w:color="auto" w:fill="FFFFFF" w:themeFill="background1"/>
          </w:tcPr>
          <w:p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E3663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CA2D12">
              <w:rPr>
                <w:lang w:val="en-US"/>
              </w:rPr>
              <w:t xml:space="preserve"> Yes</w:t>
            </w:r>
          </w:p>
          <w:p w:rsidR="00CA2D12" w:rsidRDefault="00E36637"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CE7164" w:rsidP="00F81457">
            <w:pPr>
              <w:rPr>
                <w:lang w:val="en-US"/>
              </w:rPr>
            </w:pPr>
            <w:r>
              <w:rPr>
                <w:lang w:val="en-US"/>
              </w:rPr>
              <w:t>We are developing a  BIDS variant for animal fMRI data.</w:t>
            </w: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E3663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975C08">
              <w:rPr>
                <w:lang w:val="en-US"/>
              </w:rPr>
              <w:t xml:space="preserve"> Shared network drive (J-drive)</w:t>
            </w:r>
          </w:p>
          <w:p w:rsidR="00975C08" w:rsidRDefault="00E3663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rsidR="00975C08" w:rsidRPr="00250516" w:rsidRDefault="00E36637"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rsidR="00975C08" w:rsidRDefault="00E3663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rsidR="00975C08" w:rsidRPr="00250516" w:rsidRDefault="00E3663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RDefault="00E36637"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975C08">
              <w:rPr>
                <w:lang w:val="en-US"/>
              </w:rPr>
              <w:t xml:space="preserve"> Large Volume Storage</w:t>
            </w:r>
          </w:p>
          <w:p w:rsidR="007A5CC7" w:rsidRPr="00250516" w:rsidRDefault="00E3663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rsidR="00CE7164" w:rsidRDefault="00E36637" w:rsidP="00CE7164">
            <w:pPr>
              <w:autoSpaceDE w:val="0"/>
              <w:autoSpaceDN w:val="0"/>
              <w:adjustRightInd w:val="0"/>
              <w:rPr>
                <w:rFonts w:ascii="Verdana" w:hAnsi="Verdana" w:cs="Verdana"/>
                <w:color w:val="000000"/>
                <w:sz w:val="18"/>
                <w:szCs w:val="18"/>
              </w:rPr>
            </w:pPr>
            <w:sdt>
              <w:sdtPr>
                <w:rPr>
                  <w:lang w:val="en-US"/>
                </w:rPr>
                <w:id w:val="1360622626"/>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7A5CC7">
              <w:rPr>
                <w:lang w:val="en-US"/>
              </w:rPr>
              <w:t xml:space="preserve"> Other: </w:t>
            </w:r>
            <w:r w:rsidR="00CE7164">
              <w:rPr>
                <w:rFonts w:ascii="Verdana" w:hAnsi="Verdana" w:cs="Verdana"/>
                <w:color w:val="000000"/>
                <w:sz w:val="18"/>
                <w:szCs w:val="18"/>
              </w:rPr>
              <w:t>In first instance, we will keep the data accessible on two different servers. One copy is stored on</w:t>
            </w:r>
          </w:p>
          <w:p w:rsidR="00CE7164" w:rsidRDefault="00CE7164" w:rsidP="00CE7164">
            <w:pPr>
              <w:autoSpaceDE w:val="0"/>
              <w:autoSpaceDN w:val="0"/>
              <w:adjustRightInd w:val="0"/>
              <w:rPr>
                <w:rFonts w:ascii="Verdana" w:hAnsi="Verdana" w:cs="Verdana"/>
                <w:color w:val="000000"/>
                <w:sz w:val="18"/>
                <w:szCs w:val="18"/>
              </w:rPr>
            </w:pPr>
            <w:r>
              <w:rPr>
                <w:rFonts w:ascii="Verdana" w:hAnsi="Verdana" w:cs="Verdana"/>
                <w:color w:val="000000"/>
                <w:sz w:val="18"/>
                <w:szCs w:val="18"/>
              </w:rPr>
              <w:t>our own servers, another one on the KU Leuven servers. We have ample storage and back-up</w:t>
            </w:r>
          </w:p>
          <w:p w:rsidR="00CE7164" w:rsidRDefault="00CE7164" w:rsidP="00CE7164">
            <w:pPr>
              <w:autoSpaceDE w:val="0"/>
              <w:autoSpaceDN w:val="0"/>
              <w:adjustRightInd w:val="0"/>
              <w:rPr>
                <w:rFonts w:ascii="Verdana" w:hAnsi="Verdana" w:cs="Verdana"/>
                <w:color w:val="000000"/>
                <w:sz w:val="18"/>
                <w:szCs w:val="18"/>
              </w:rPr>
            </w:pPr>
            <w:r>
              <w:rPr>
                <w:rFonts w:ascii="Verdana" w:hAnsi="Verdana" w:cs="Verdana"/>
                <w:color w:val="000000"/>
                <w:sz w:val="18"/>
                <w:szCs w:val="18"/>
              </w:rPr>
              <w:t>capacity (&gt; 100TB). In addition, we currently use 50TB from the KU Leuven servers, which can be</w:t>
            </w:r>
          </w:p>
          <w:p w:rsidR="00BC2885" w:rsidRPr="00BC2885" w:rsidRDefault="00CE7164" w:rsidP="00CE7164">
            <w:pPr>
              <w:autoSpaceDE w:val="0"/>
              <w:autoSpaceDN w:val="0"/>
              <w:adjustRightInd w:val="0"/>
              <w:rPr>
                <w:lang w:val="en-US"/>
              </w:rPr>
            </w:pPr>
            <w:r>
              <w:rPr>
                <w:rFonts w:ascii="Verdana" w:hAnsi="Verdana" w:cs="Verdana"/>
                <w:color w:val="000000"/>
                <w:sz w:val="18"/>
                <w:szCs w:val="18"/>
              </w:rPr>
              <w:t xml:space="preserve">expanded easily and readily. </w:t>
            </w:r>
          </w:p>
        </w:tc>
      </w:tr>
      <w:tr w:rsidR="002300DE" w:rsidRPr="00F42A6F" w:rsidTr="00436EB9">
        <w:trPr>
          <w:cantSplit/>
          <w:trHeight w:val="269"/>
        </w:trPr>
        <w:tc>
          <w:tcPr>
            <w:tcW w:w="4962" w:type="dxa"/>
          </w:tcPr>
          <w:p w:rsidR="0008393F" w:rsidRDefault="00C67569" w:rsidP="00877A71">
            <w:r w:rsidRPr="002B78E0">
              <w:lastRenderedPageBreak/>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E3663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E3663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E36637" w:rsidP="00F04613">
            <w:pPr>
              <w:rPr>
                <w:lang w:val="en-US"/>
              </w:rPr>
            </w:pPr>
            <w:sdt>
              <w:sdtPr>
                <w:rPr>
                  <w:lang w:val="en-US"/>
                </w:rPr>
                <w:id w:val="844759602"/>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F04613">
              <w:rPr>
                <w:lang w:val="en-US"/>
              </w:rPr>
              <w:t xml:space="preserve"> Other (specify) </w:t>
            </w:r>
          </w:p>
          <w:p w:rsidR="00CE7164" w:rsidRDefault="00CE7164" w:rsidP="00CE7164">
            <w:pPr>
              <w:autoSpaceDE w:val="0"/>
              <w:autoSpaceDN w:val="0"/>
              <w:adjustRightInd w:val="0"/>
              <w:rPr>
                <w:rFonts w:ascii="Verdana" w:hAnsi="Verdana" w:cs="Verdana"/>
                <w:color w:val="000000"/>
                <w:sz w:val="18"/>
                <w:szCs w:val="18"/>
              </w:rPr>
            </w:pPr>
            <w:r>
              <w:rPr>
                <w:rFonts w:ascii="Verdana" w:hAnsi="Verdana" w:cs="Verdana"/>
                <w:color w:val="000000"/>
                <w:sz w:val="18"/>
                <w:szCs w:val="18"/>
              </w:rPr>
              <w:t>After analysis, we make a double copy on hard drives which are stored in two physically separated location.</w:t>
            </w:r>
          </w:p>
          <w:p w:rsidR="00CE7164" w:rsidRDefault="00CE7164" w:rsidP="00CE7164">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We will also take advantage of the European Brain infrastructure (EBRAINS) to store data after publication of the results. </w:t>
            </w:r>
          </w:p>
          <w:p w:rsidR="002300DE" w:rsidRPr="00CE7164" w:rsidRDefault="002300DE" w:rsidP="00C67569">
            <w:pPr>
              <w:rPr>
                <w:rFonts w:ascii="MS Gothic" w:eastAsia="MS Gothic" w:hAnsi="MS Gothic"/>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E3663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C271CA" w:rsidRPr="00436EB9">
              <w:rPr>
                <w:lang w:val="en-US"/>
              </w:rPr>
              <w:t xml:space="preserve"> Yes</w:t>
            </w:r>
          </w:p>
          <w:p w:rsidR="00C271CA" w:rsidRPr="00436EB9" w:rsidRDefault="00E3663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E36637"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EB125A" w:rsidRDefault="00CE7164" w:rsidP="00C271CA">
            <w:pPr>
              <w:rPr>
                <w:rFonts w:ascii="MS Gothic" w:eastAsia="MS Gothic" w:hAnsi="MS Gothic"/>
                <w:lang w:val="en-US"/>
              </w:rPr>
            </w:pPr>
            <w:r>
              <w:rPr>
                <w:rFonts w:ascii="MS Gothic" w:eastAsia="MS Gothic" w:hAnsi="MS Gothic"/>
                <w:lang w:val="en-US"/>
              </w:rPr>
              <w:t xml:space="preserve">Only researchers that will receive access by our local ICT administrator (Wouter Depuydt will have access to the data. Access will be granted after discussion with the PIs of the grant </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Default="00CE7164" w:rsidP="00C271CA">
            <w:pPr>
              <w:rPr>
                <w:rFonts w:ascii="MS Gothic" w:eastAsia="MS Gothic" w:hAnsi="MS Gothic"/>
                <w:lang w:val="en-US"/>
              </w:rPr>
            </w:pPr>
            <w:r>
              <w:rPr>
                <w:rFonts w:ascii="MS Gothic" w:eastAsia="MS Gothic" w:hAnsi="MS Gothic"/>
                <w:lang w:val="en-US"/>
              </w:rPr>
              <w:t>During the research project: expected costs are 20k Euro. They will be covered by the project</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E3663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E3663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Pr="008033A4" w:rsidRDefault="002300DE" w:rsidP="005321D4">
            <w:pPr>
              <w:pStyle w:val="paragraph"/>
              <w:spacing w:before="0" w:beforeAutospacing="0" w:after="0" w:afterAutospacing="0"/>
              <w:textAlignment w:val="baseline"/>
              <w:rPr>
                <w:b/>
                <w:bCs/>
                <w:lang w:val="en-US"/>
              </w:rPr>
            </w:pPr>
          </w:p>
          <w:p w:rsidR="005321D4" w:rsidRPr="008033A4"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p w:rsidR="00405AAD" w:rsidRDefault="00405AAD" w:rsidP="000C4BF5"/>
          <w:p w:rsidR="00405AAD" w:rsidRPr="00405AAD" w:rsidRDefault="00E36637"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E3663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E36637"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00A37797" w:rsidRPr="00436EB9" w:rsidRDefault="00E3663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rsidR="00A37797" w:rsidRPr="00436EB9" w:rsidRDefault="00E36637"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CE716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1912CB">
              <w:rPr>
                <w:lang w:val="en-US"/>
              </w:rPr>
              <w:t xml:space="preserve"> We always retain at least one (raw data 2) local copies of the data on HDs</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1912CB" w:rsidRDefault="001912CB" w:rsidP="5D59270C">
            <w:pPr>
              <w:rPr>
                <w:bCs/>
              </w:rPr>
            </w:pPr>
            <w:r w:rsidRPr="001912CB">
              <w:rPr>
                <w:bCs/>
              </w:rPr>
              <w:t xml:space="preserve">20k Euro. </w:t>
            </w:r>
            <w:r>
              <w:rPr>
                <w:bCs/>
              </w:rPr>
              <w:t>By future grants, if they can be secured</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lastRenderedPageBreak/>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E36637" w:rsidP="004D37B4">
            <w:sdt>
              <w:sdtPr>
                <w:rPr>
                  <w:lang w:val="en-US"/>
                </w:rPr>
                <w:id w:val="-1392488952"/>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4D37B4">
              <w:t xml:space="preserve"> Yes, </w:t>
            </w:r>
            <w:r w:rsidR="00870FB5">
              <w:t>as open data</w:t>
            </w:r>
          </w:p>
          <w:p w:rsidR="00870FB5" w:rsidRDefault="00E36637" w:rsidP="004D37B4">
            <w:sdt>
              <w:sdtPr>
                <w:rPr>
                  <w:lang w:val="en-US"/>
                </w:rPr>
                <w:id w:val="-768703336"/>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4D37B4">
              <w:t xml:space="preserve"> Yes, </w:t>
            </w:r>
            <w:r w:rsidR="00870FB5">
              <w:t>as embargoed data (temporary restriction)</w:t>
            </w:r>
          </w:p>
          <w:p w:rsidR="004D37B4" w:rsidRDefault="00E36637" w:rsidP="004D37B4">
            <w:sdt>
              <w:sdtPr>
                <w:rPr>
                  <w:lang w:val="en-US"/>
                </w:rPr>
                <w:id w:val="468630886"/>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E3663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rsidR="004D37B4" w:rsidRDefault="00E3663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1912CB" w:rsidP="004D37B4">
            <w:r>
              <w:t>Data will be shared upon request but after publication</w:t>
            </w:r>
          </w:p>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E3663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E3663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E3663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E3663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E3663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E3663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E36637"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E36637" w:rsidP="00DC64A0">
            <w:pPr>
              <w:rPr>
                <w:lang w:val="en-US"/>
              </w:rPr>
            </w:pPr>
            <w:sdt>
              <w:sdtPr>
                <w:rPr>
                  <w:lang w:val="en-US"/>
                </w:rPr>
                <w:id w:val="21834835"/>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DC64A0">
              <w:rPr>
                <w:lang w:val="en-US"/>
              </w:rPr>
              <w:t xml:space="preserve"> Other data repository (specify)</w:t>
            </w:r>
            <w:r w:rsidR="001912CB">
              <w:rPr>
                <w:lang w:val="en-US"/>
              </w:rPr>
              <w:t>: EBRAINS</w:t>
            </w:r>
          </w:p>
          <w:p w:rsidR="00DC64A0" w:rsidRDefault="00E36637"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lastRenderedPageBreak/>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E3663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E3663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E3663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E3663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E36637"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rsidR="00BB45C3" w:rsidRDefault="00E36637"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rsidR="00BB45C3" w:rsidRDefault="00E36637"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E3663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E3663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E3663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E36637" w:rsidP="00331EA7">
            <w:pPr>
              <w:rPr>
                <w:bCs/>
              </w:rPr>
            </w:pPr>
            <w:sdt>
              <w:sdtPr>
                <w:rPr>
                  <w:lang w:val="en-US"/>
                </w:rPr>
                <w:id w:val="-2029402696"/>
                <w14:checkbox>
                  <w14:checked w14:val="1"/>
                  <w14:checkedState w14:val="2612" w14:font="MS Gothic"/>
                  <w14:uncheckedState w14:val="2610" w14:font="MS Gothic"/>
                </w14:checkbox>
              </w:sdtPr>
              <w:sdtEndPr/>
              <w:sdtContent>
                <w:r w:rsidR="001912CB">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1912CB" w:rsidRDefault="001912CB" w:rsidP="5D59270C">
            <w:pPr>
              <w:rPr>
                <w:bCs/>
              </w:rPr>
            </w:pPr>
            <w:r>
              <w:rPr>
                <w:bCs/>
              </w:rPr>
              <w:t xml:space="preserve">If transfer costs are </w:t>
            </w:r>
            <w:proofErr w:type="gramStart"/>
            <w:r>
              <w:rPr>
                <w:bCs/>
              </w:rPr>
              <w:t>require</w:t>
            </w:r>
            <w:proofErr w:type="gramEnd"/>
            <w:r>
              <w:rPr>
                <w:bCs/>
              </w:rPr>
              <w:t xml:space="preserve"> it seems fair that those who aim to use the data are paying for the costs. Typically, </w:t>
            </w:r>
            <w:proofErr w:type="spellStart"/>
            <w:r>
              <w:rPr>
                <w:bCs/>
              </w:rPr>
              <w:t>filetransfer</w:t>
            </w:r>
            <w:proofErr w:type="spellEnd"/>
            <w:r>
              <w:rPr>
                <w:bCs/>
              </w:rPr>
              <w:t xml:space="preserve"> (e.g. via </w:t>
            </w:r>
            <w:proofErr w:type="spellStart"/>
            <w:r>
              <w:rPr>
                <w:bCs/>
              </w:rPr>
              <w:t>BelNet</w:t>
            </w:r>
            <w:proofErr w:type="spellEnd"/>
            <w:r>
              <w:rPr>
                <w:bCs/>
              </w:rPr>
              <w:t xml:space="preserve">) doesn’t require additional costs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1912CB" w:rsidRDefault="001912CB" w:rsidP="001912CB">
            <w:pPr>
              <w:autoSpaceDE w:val="0"/>
              <w:autoSpaceDN w:val="0"/>
              <w:adjustRightInd w:val="0"/>
              <w:rPr>
                <w:rFonts w:ascii="Verdana" w:hAnsi="Verdana" w:cs="Verdana"/>
                <w:color w:val="000000"/>
                <w:sz w:val="18"/>
                <w:szCs w:val="18"/>
              </w:rPr>
            </w:pPr>
            <w:r>
              <w:rPr>
                <w:rFonts w:ascii="Verdana" w:hAnsi="Verdana" w:cs="Verdana"/>
                <w:color w:val="000000"/>
                <w:sz w:val="18"/>
                <w:szCs w:val="18"/>
              </w:rPr>
              <w:t>Wim Vanduffel, Rufin Vogels, Koen Nelissen, Sebastian Haesler with the assistance of Wouter Depuydt.</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F621F9" w:rsidP="00877A71">
            <w:r w:rsidRPr="00C40606">
              <w:lastRenderedPageBreak/>
              <w:t>Who will manage data storage and backup during the research project?</w:t>
            </w:r>
          </w:p>
        </w:tc>
        <w:tc>
          <w:tcPr>
            <w:tcW w:w="10631" w:type="dxa"/>
          </w:tcPr>
          <w:p w:rsidR="002300DE" w:rsidRPr="001912CB" w:rsidRDefault="001912CB" w:rsidP="6320600B">
            <w:pPr>
              <w:rPr>
                <w:bCs/>
              </w:rPr>
            </w:pPr>
            <w:r w:rsidRPr="001912CB">
              <w:rPr>
                <w:bCs/>
              </w:rPr>
              <w:t>Wouter Depuydt</w:t>
            </w:r>
          </w:p>
        </w:tc>
      </w:tr>
      <w:tr w:rsidR="001912CB" w:rsidRPr="00F42A6F" w:rsidTr="00436EB9">
        <w:trPr>
          <w:cantSplit/>
          <w:trHeight w:val="269"/>
        </w:trPr>
        <w:tc>
          <w:tcPr>
            <w:tcW w:w="4962" w:type="dxa"/>
          </w:tcPr>
          <w:p w:rsidR="001912CB" w:rsidRDefault="001912CB" w:rsidP="001912CB">
            <w:r w:rsidRPr="00C40606">
              <w:t>Who will manage data preservation and sharing?</w:t>
            </w:r>
          </w:p>
        </w:tc>
        <w:tc>
          <w:tcPr>
            <w:tcW w:w="10631" w:type="dxa"/>
          </w:tcPr>
          <w:p w:rsidR="001912CB" w:rsidRDefault="001912CB" w:rsidP="001912CB">
            <w:pPr>
              <w:autoSpaceDE w:val="0"/>
              <w:autoSpaceDN w:val="0"/>
              <w:adjustRightInd w:val="0"/>
              <w:rPr>
                <w:rFonts w:ascii="Verdana" w:hAnsi="Verdana" w:cs="Verdana"/>
                <w:color w:val="000000"/>
                <w:sz w:val="18"/>
                <w:szCs w:val="18"/>
              </w:rPr>
            </w:pPr>
            <w:r>
              <w:rPr>
                <w:rFonts w:ascii="Verdana" w:hAnsi="Verdana" w:cs="Verdana"/>
                <w:color w:val="000000"/>
                <w:sz w:val="18"/>
                <w:szCs w:val="18"/>
              </w:rPr>
              <w:t>Wim Vanduffel, Rufin Vogels, Koen Nelissen, Sebastian Haesler with the assistance of Wouter Depuydt.</w:t>
            </w:r>
          </w:p>
          <w:p w:rsidR="001912CB" w:rsidRPr="00C57639" w:rsidRDefault="001912CB" w:rsidP="001912CB">
            <w:pPr>
              <w:rPr>
                <w:b/>
                <w:bCs/>
              </w:rPr>
            </w:pPr>
          </w:p>
        </w:tc>
      </w:tr>
      <w:tr w:rsidR="001912CB" w:rsidRPr="00F42A6F" w:rsidTr="00436EB9">
        <w:trPr>
          <w:cantSplit/>
          <w:trHeight w:val="269"/>
        </w:trPr>
        <w:tc>
          <w:tcPr>
            <w:tcW w:w="4962" w:type="dxa"/>
          </w:tcPr>
          <w:p w:rsidR="001912CB" w:rsidRPr="00D712D9" w:rsidRDefault="001912CB" w:rsidP="001912CB">
            <w:pPr>
              <w:rPr>
                <w:i/>
              </w:rPr>
            </w:pPr>
            <w:r w:rsidRPr="00C40606">
              <w:t>Who will update and implement this DMP?</w:t>
            </w:r>
          </w:p>
        </w:tc>
        <w:tc>
          <w:tcPr>
            <w:tcW w:w="10631" w:type="dxa"/>
          </w:tcPr>
          <w:p w:rsidR="001912CB" w:rsidRDefault="001912CB" w:rsidP="001912CB">
            <w:pPr>
              <w:autoSpaceDE w:val="0"/>
              <w:autoSpaceDN w:val="0"/>
              <w:adjustRightInd w:val="0"/>
              <w:rPr>
                <w:rFonts w:ascii="Verdana" w:hAnsi="Verdana" w:cs="Verdana"/>
                <w:color w:val="000000"/>
                <w:sz w:val="18"/>
                <w:szCs w:val="18"/>
              </w:rPr>
            </w:pPr>
            <w:r>
              <w:rPr>
                <w:rFonts w:ascii="Verdana" w:hAnsi="Verdana" w:cs="Verdana"/>
                <w:color w:val="000000"/>
                <w:sz w:val="18"/>
                <w:szCs w:val="18"/>
              </w:rPr>
              <w:t>Wim Vanduffel, Rufin Vogels, Koen Nelissen, Sebastian Haesler with the assistance of Wouter Depuydt.</w:t>
            </w:r>
          </w:p>
          <w:p w:rsidR="001912CB" w:rsidRPr="00C57639" w:rsidRDefault="001912CB" w:rsidP="001912CB">
            <w:pPr>
              <w:rPr>
                <w:b/>
                <w:bCs/>
              </w:rPr>
            </w:pP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637" w:rsidRDefault="00E36637" w:rsidP="00CE49D2">
      <w:r>
        <w:separator/>
      </w:r>
    </w:p>
  </w:endnote>
  <w:endnote w:type="continuationSeparator" w:id="0">
    <w:p w:rsidR="00E36637" w:rsidRDefault="00E3663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sana-Math">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rsidR="00D11EAA" w:rsidRDefault="00D11EAA" w:rsidP="00321EE3">
        <w:pPr>
          <w:pStyle w:val="Footer"/>
          <w:jc w:val="center"/>
        </w:pPr>
      </w:p>
      <w:p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637" w:rsidRDefault="00E36637" w:rsidP="00CE49D2">
      <w:r>
        <w:separator/>
      </w:r>
    </w:p>
  </w:footnote>
  <w:footnote w:type="continuationSeparator" w:id="0">
    <w:p w:rsidR="00E36637" w:rsidRDefault="00E36637" w:rsidP="00CE49D2">
      <w:r>
        <w:continuationSeparator/>
      </w:r>
    </w:p>
  </w:footnote>
  <w:footnote w:id="1">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12CB"/>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62D"/>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4E02"/>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3A4"/>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629"/>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164"/>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63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A27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3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8033A4"/>
    <w:rPr>
      <w:rFonts w:asciiTheme="majorHAnsi" w:eastAsiaTheme="majorEastAsia" w:hAnsiTheme="majorHAnsi" w:cstheme="majorBidi"/>
      <w:color w:val="1F3763" w:themeColor="accent1" w:themeShade="7F"/>
    </w:rPr>
  </w:style>
  <w:style w:type="paragraph" w:customStyle="1" w:styleId="Default">
    <w:name w:val="Default"/>
    <w:rsid w:val="008033A4"/>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50639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2-9399-343X"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C14/21/111</Project_x0020_Ref.>
    <Code xmlns="d2b4f59a-05ce-4744-9d1c-9dd30147ee09">3M210349</Code>
    <FundingCallID xmlns="d2b4f59a-05ce-4744-9d1c-9dd30147ee09">39305</FundingCallID>
    <_dlc_DocId xmlns="d2b4f59a-05ce-4744-9d1c-9dd30147ee09">P4FNSWA4HVKW-73199252-19740</_dlc_DocId>
    <_dlc_DocIdUrl xmlns="d2b4f59a-05ce-4744-9d1c-9dd30147ee09">
      <Url>https://www.groupware.kuleuven.be/sites/dmpmt/_layouts/15/DocIdRedir.aspx?ID=P4FNSWA4HVKW-73199252-19740</Url>
      <Description>P4FNSWA4HVKW-73199252-19740</Description>
    </_dlc_DocIdUrl>
    <TypeDoc xmlns="de64d03d-2dbc-4782-9fbf-1d8df1c50cf7">Initial</TypeDoc>
    <FormID xmlns="d2b4f59a-05ce-4744-9d1c-9dd30147ee09">1986</FormID>
  </documentManagement>
</p:properties>
</file>

<file path=customXml/itemProps1.xml><?xml version="1.0" encoding="utf-8"?>
<ds:datastoreItem xmlns:ds="http://schemas.openxmlformats.org/officeDocument/2006/customXml" ds:itemID="{C6D962DD-CC8B-42F2-8678-1D88C48148CC}">
  <ds:schemaRefs>
    <ds:schemaRef ds:uri="http://schemas.openxmlformats.org/officeDocument/2006/bibliography"/>
  </ds:schemaRefs>
</ds:datastoreItem>
</file>

<file path=customXml/itemProps2.xml><?xml version="1.0" encoding="utf-8"?>
<ds:datastoreItem xmlns:ds="http://schemas.openxmlformats.org/officeDocument/2006/customXml" ds:itemID="{60DE9AF8-E0A7-48AC-8135-E670E4B5BF7B}"/>
</file>

<file path=customXml/itemProps3.xml><?xml version="1.0" encoding="utf-8"?>
<ds:datastoreItem xmlns:ds="http://schemas.openxmlformats.org/officeDocument/2006/customXml" ds:itemID="{0D9EDB07-8AE1-4273-9C47-EF93F00E5020}"/>
</file>

<file path=customXml/itemProps4.xml><?xml version="1.0" encoding="utf-8"?>
<ds:datastoreItem xmlns:ds="http://schemas.openxmlformats.org/officeDocument/2006/customXml" ds:itemID="{38838BD6-8D3B-4F7B-BD08-945B16882A9C}"/>
</file>

<file path=customXml/itemProps5.xml><?xml version="1.0" encoding="utf-8"?>
<ds:datastoreItem xmlns:ds="http://schemas.openxmlformats.org/officeDocument/2006/customXml" ds:itemID="{E2F4443A-F126-42A8-B272-9B2BBF40323D}"/>
</file>

<file path=docProps/app.xml><?xml version="1.0" encoding="utf-8"?>
<Properties xmlns="http://schemas.openxmlformats.org/officeDocument/2006/extended-properties" xmlns:vt="http://schemas.openxmlformats.org/officeDocument/2006/docPropsVTypes">
  <Template>Normal.dotm</Template>
  <TotalTime>0</TotalTime>
  <Pages>12</Pages>
  <Words>2531</Words>
  <Characters>14432</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2024-08-23T08:49:00Z</dcterms:created>
  <dcterms:modified xsi:type="dcterms:W3CDTF">2024-08-23T08:49:00Z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8771a371-1513-4d0e-bd45-5eedbb5472b7</vt:lpwstr>
  </property>
</Properties>
</file>