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customXml/itemProps4.xml" ContentType="application/vnd.openxmlformats-officedocument.customXmlProperties+xml"/>
  <Override PartName="/word/webSettings.xml" ContentType="application/vnd.openxmlformats-officedocument.wordprocessingml.webSettings+xml"/>
  <Override PartName="/customXml/itemProps3.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CBDAC" w14:textId="77777777" w:rsidR="0728289E" w:rsidRPr="00CE49D2" w:rsidRDefault="00964E11" w:rsidP="6320600B">
      <w:pPr>
        <w:pStyle w:val="Heading1"/>
        <w:spacing w:after="160" w:line="259" w:lineRule="auto"/>
      </w:pPr>
      <w:r w:rsidRPr="00CE49D2">
        <w:t>FWO DMP</w:t>
      </w:r>
      <w:r w:rsidR="00CE49D2" w:rsidRPr="00CE49D2">
        <w:t xml:space="preserve"> Template</w:t>
      </w:r>
    </w:p>
    <w:p w14:paraId="269CBDAD" w14:textId="77777777" w:rsidR="009F5B28" w:rsidRPr="009F5B28" w:rsidRDefault="00CE49D2" w:rsidP="009F5B28">
      <w:pPr>
        <w:spacing w:after="120"/>
        <w:rPr>
          <w:rFonts w:cstheme="minorHAnsi"/>
        </w:rPr>
      </w:pPr>
      <w:r>
        <w:t xml:space="preserve">Project supervisors (from </w:t>
      </w:r>
      <w:r w:rsidR="009F5B28">
        <w:t xml:space="preserve">application round </w:t>
      </w:r>
      <w:r>
        <w:t>2018</w:t>
      </w:r>
      <w:r w:rsidR="009F5B28">
        <w:t xml:space="preserve"> onwards</w:t>
      </w:r>
      <w:r>
        <w:t xml:space="preserve">) and fellows (from </w:t>
      </w:r>
      <w:r w:rsidR="009F5B28">
        <w:t xml:space="preserve">application round </w:t>
      </w:r>
      <w:r>
        <w:t>2020</w:t>
      </w:r>
      <w:r w:rsidR="009F5B28">
        <w:t xml:space="preserve"> onwards</w:t>
      </w:r>
      <w:r>
        <w:t xml:space="preserve">) will, upon being awarded their project or fellowship, be invited to develop their answers to the data management related questions into a DMP. The FWO expects a </w:t>
      </w:r>
      <w:r w:rsidR="00877514">
        <w:rPr>
          <w:b/>
        </w:rPr>
        <w:t xml:space="preserve">completed DMP </w:t>
      </w:r>
      <w:r w:rsidRPr="00CE49D2">
        <w:rPr>
          <w:b/>
        </w:rPr>
        <w:t xml:space="preserve">no later than 6 months after the </w:t>
      </w:r>
      <w:r w:rsidR="00870E5A" w:rsidRPr="00646E0C">
        <w:rPr>
          <w:b/>
        </w:rPr>
        <w:t>official</w:t>
      </w:r>
      <w:r w:rsidR="00870E5A">
        <w:rPr>
          <w:b/>
        </w:rPr>
        <w:t xml:space="preserve"> </w:t>
      </w:r>
      <w:r w:rsidRPr="00CE49D2">
        <w:rPr>
          <w:b/>
        </w:rPr>
        <w:t>start date</w:t>
      </w:r>
      <w:r>
        <w:t xml:space="preserve"> of the project or fellowship.</w:t>
      </w:r>
      <w:r w:rsidR="009F5B28">
        <w:t xml:space="preserve"> </w:t>
      </w:r>
      <w:r w:rsidR="009F5B28" w:rsidRPr="009F5B28">
        <w:rPr>
          <w:rFonts w:cstheme="minorHAnsi"/>
        </w:rPr>
        <w:t xml:space="preserve">The DMP should not be submitted to FWO but to the research co-ordination office of the host institute; FWO may request the DMP in a </w:t>
      </w:r>
      <w:r w:rsidR="009F5B28" w:rsidRPr="009F5B28">
        <w:t>random check.</w:t>
      </w:r>
      <w:r w:rsidR="00AE0BF5">
        <w:t xml:space="preserve"> </w:t>
      </w:r>
    </w:p>
    <w:p w14:paraId="269CBDAE" w14:textId="77777777" w:rsidR="009F5B28" w:rsidRDefault="00AE0BF5" w:rsidP="00AE0BF5">
      <w:pPr>
        <w:rPr>
          <w:rFonts w:ascii="Calibri" w:eastAsia="Calibri" w:hAnsi="Calibri" w:cs="Calibri"/>
        </w:rPr>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rPr>
          <w:rFonts w:ascii="Calibri" w:eastAsia="Calibri" w:hAnsi="Calibri" w:cs="Calibri"/>
        </w:rPr>
        <w:t xml:space="preserve">Both the DMP </w:t>
      </w:r>
      <w:r w:rsidR="000B379A">
        <w:rPr>
          <w:rFonts w:ascii="Calibri" w:eastAsia="Calibri" w:hAnsi="Calibri" w:cs="Calibri"/>
        </w:rPr>
        <w:t xml:space="preserve">submitted </w:t>
      </w:r>
      <w:r w:rsidRPr="0035345E">
        <w:rPr>
          <w:rFonts w:ascii="Calibri" w:eastAsia="Calibri" w:hAnsi="Calibri" w:cs="Calibri"/>
        </w:rPr>
        <w:t>within the first 6 months after the start date and the final DMP may use this template.</w:t>
      </w:r>
    </w:p>
    <w:p w14:paraId="269CBDAF" w14:textId="77777777" w:rsidR="00E20180" w:rsidRPr="00AE0BF5" w:rsidRDefault="00E20180" w:rsidP="00AE0BF5">
      <w:pPr>
        <w:rPr>
          <w:rFonts w:cstheme="minorHAnsi"/>
        </w:rPr>
      </w:pPr>
    </w:p>
    <w:p w14:paraId="269CBDB0" w14:textId="77777777" w:rsidR="5BB2912E" w:rsidRPr="0035345E" w:rsidRDefault="5BB2912E"/>
    <w:tbl>
      <w:tblPr>
        <w:tblStyle w:val="TableGrid"/>
        <w:tblW w:w="15593" w:type="dxa"/>
        <w:tblInd w:w="-714" w:type="dxa"/>
        <w:tblLayout w:type="fixed"/>
        <w:tblLook w:val="04A0" w:firstRow="1" w:lastRow="0" w:firstColumn="1" w:lastColumn="0" w:noHBand="0" w:noVBand="1"/>
      </w:tblPr>
      <w:tblGrid>
        <w:gridCol w:w="4962"/>
        <w:gridCol w:w="10631"/>
      </w:tblGrid>
      <w:tr w:rsidR="00650192" w14:paraId="269CBDB3" w14:textId="77777777" w:rsidTr="005E32FD">
        <w:trPr>
          <w:cantSplit/>
        </w:trPr>
        <w:tc>
          <w:tcPr>
            <w:tcW w:w="15593" w:type="dxa"/>
            <w:gridSpan w:val="2"/>
            <w:shd w:val="clear" w:color="auto" w:fill="5B9BD5" w:themeFill="accent5"/>
          </w:tcPr>
          <w:p w14:paraId="269CBDB1" w14:textId="77777777" w:rsidR="00145CC7" w:rsidRPr="00AB71F6" w:rsidRDefault="6320600B" w:rsidP="6320600B">
            <w:pPr>
              <w:pStyle w:val="ListParagraph"/>
              <w:numPr>
                <w:ilvl w:val="0"/>
                <w:numId w:val="22"/>
              </w:numPr>
              <w:jc w:val="center"/>
              <w:rPr>
                <w:b/>
                <w:bCs/>
                <w:lang w:val="nl-BE"/>
              </w:rPr>
            </w:pPr>
            <w:r w:rsidRPr="6320600B">
              <w:rPr>
                <w:b/>
                <w:bCs/>
                <w:lang w:val="nl-BE"/>
              </w:rPr>
              <w:t>General Information</w:t>
            </w:r>
          </w:p>
          <w:p w14:paraId="269CBDB2" w14:textId="77777777" w:rsidR="00650192" w:rsidRPr="00265950" w:rsidRDefault="00650192" w:rsidP="00650192">
            <w:pPr>
              <w:pStyle w:val="ListParagraph"/>
              <w:ind w:left="1080"/>
              <w:rPr>
                <w:b/>
                <w:lang w:val="nl-BE"/>
              </w:rPr>
            </w:pPr>
          </w:p>
        </w:tc>
      </w:tr>
      <w:tr w:rsidR="002300DE" w14:paraId="269CBDB6" w14:textId="77777777" w:rsidTr="00436EB9">
        <w:trPr>
          <w:cantSplit/>
          <w:trHeight w:val="269"/>
        </w:trPr>
        <w:tc>
          <w:tcPr>
            <w:tcW w:w="4962" w:type="dxa"/>
          </w:tcPr>
          <w:p w14:paraId="269CBDB4" w14:textId="77777777" w:rsidR="002300DE" w:rsidRDefault="002300DE" w:rsidP="5D59270C">
            <w:pPr>
              <w:rPr>
                <w:lang w:val="nl-BE"/>
              </w:rPr>
            </w:pPr>
            <w:r w:rsidRPr="5D59270C">
              <w:rPr>
                <w:lang w:val="nl-BE"/>
              </w:rPr>
              <w:t xml:space="preserve">Name applicant </w:t>
            </w:r>
          </w:p>
        </w:tc>
        <w:tc>
          <w:tcPr>
            <w:tcW w:w="10631" w:type="dxa"/>
          </w:tcPr>
          <w:p w14:paraId="269CBDB5" w14:textId="3E7A1C76" w:rsidR="002300DE" w:rsidRPr="00E90822" w:rsidRDefault="00F30466" w:rsidP="6320600B">
            <w:pPr>
              <w:rPr>
                <w:b/>
                <w:bCs/>
              </w:rPr>
            </w:pPr>
            <w:r w:rsidRPr="00E90822">
              <w:rPr>
                <w:b/>
                <w:bCs/>
              </w:rPr>
              <w:t>Philip Moons</w:t>
            </w:r>
            <w:r w:rsidR="00E90822" w:rsidRPr="00E90822">
              <w:rPr>
                <w:b/>
                <w:bCs/>
              </w:rPr>
              <w:t xml:space="preserve"> (Department of P</w:t>
            </w:r>
            <w:r w:rsidR="00E90822">
              <w:rPr>
                <w:b/>
                <w:bCs/>
              </w:rPr>
              <w:t>ublic Health and Primary Care)</w:t>
            </w:r>
          </w:p>
        </w:tc>
      </w:tr>
      <w:tr w:rsidR="002300DE" w14:paraId="269CBDB9" w14:textId="77777777" w:rsidTr="00436EB9">
        <w:trPr>
          <w:cantSplit/>
          <w:trHeight w:val="633"/>
        </w:trPr>
        <w:tc>
          <w:tcPr>
            <w:tcW w:w="4962" w:type="dxa"/>
          </w:tcPr>
          <w:p w14:paraId="269CBDB7" w14:textId="77777777" w:rsidR="002300DE" w:rsidRDefault="002300DE" w:rsidP="5D59270C">
            <w:pPr>
              <w:rPr>
                <w:lang w:val="nl-BE"/>
              </w:rPr>
            </w:pPr>
            <w:r w:rsidRPr="5D59270C">
              <w:rPr>
                <w:lang w:val="nl-BE"/>
              </w:rPr>
              <w:t>FWO Project Number &amp; Title</w:t>
            </w:r>
          </w:p>
        </w:tc>
        <w:tc>
          <w:tcPr>
            <w:tcW w:w="10631" w:type="dxa"/>
          </w:tcPr>
          <w:p w14:paraId="3EA3D485" w14:textId="1804032A" w:rsidR="00F30466" w:rsidRDefault="00F30466" w:rsidP="00F30466">
            <w:pPr>
              <w:autoSpaceDE w:val="0"/>
              <w:autoSpaceDN w:val="0"/>
              <w:adjustRightInd w:val="0"/>
              <w:rPr>
                <w:rFonts w:ascii="Arial" w:hAnsi="Arial" w:cs="Arial"/>
                <w:sz w:val="20"/>
                <w:szCs w:val="20"/>
              </w:rPr>
            </w:pPr>
            <w:r w:rsidRPr="00F30466">
              <w:rPr>
                <w:rFonts w:ascii="Arial" w:hAnsi="Arial" w:cs="Arial"/>
                <w:sz w:val="20"/>
                <w:szCs w:val="20"/>
              </w:rPr>
              <w:t>G072022N</w:t>
            </w:r>
          </w:p>
          <w:p w14:paraId="2CBA3CCE" w14:textId="77777777" w:rsidR="002300DE" w:rsidRDefault="00F30466" w:rsidP="00F30466">
            <w:pPr>
              <w:autoSpaceDE w:val="0"/>
              <w:autoSpaceDN w:val="0"/>
              <w:adjustRightInd w:val="0"/>
              <w:rPr>
                <w:rFonts w:ascii="Arial" w:hAnsi="Arial" w:cs="Arial"/>
                <w:sz w:val="20"/>
                <w:szCs w:val="20"/>
              </w:rPr>
            </w:pPr>
            <w:r w:rsidRPr="00F30466">
              <w:rPr>
                <w:rFonts w:ascii="Arial" w:hAnsi="Arial" w:cs="Arial"/>
                <w:sz w:val="20"/>
                <w:szCs w:val="20"/>
              </w:rPr>
              <w:t>Paving the way to precision medicine in childhood-onset diseases: A</w:t>
            </w:r>
            <w:r>
              <w:rPr>
                <w:rFonts w:ascii="Arial" w:hAnsi="Arial" w:cs="Arial"/>
                <w:sz w:val="20"/>
                <w:szCs w:val="20"/>
              </w:rPr>
              <w:t xml:space="preserve"> </w:t>
            </w:r>
            <w:r w:rsidRPr="00F30466">
              <w:rPr>
                <w:rFonts w:ascii="Arial" w:hAnsi="Arial" w:cs="Arial"/>
                <w:sz w:val="20"/>
                <w:szCs w:val="20"/>
              </w:rPr>
              <w:t>lifespan perspective on accelerated aging using the epigenetic clock</w:t>
            </w:r>
          </w:p>
          <w:p w14:paraId="269CBDB8" w14:textId="1FE19913" w:rsidR="00570AAC" w:rsidRPr="00F30466" w:rsidRDefault="00570AAC" w:rsidP="00F30466">
            <w:pPr>
              <w:autoSpaceDE w:val="0"/>
              <w:autoSpaceDN w:val="0"/>
              <w:adjustRightInd w:val="0"/>
              <w:rPr>
                <w:b/>
                <w:bCs/>
              </w:rPr>
            </w:pPr>
          </w:p>
        </w:tc>
      </w:tr>
      <w:tr w:rsidR="002300DE" w:rsidRPr="00D455C0" w14:paraId="269CBDC1" w14:textId="77777777" w:rsidTr="00436EB9">
        <w:trPr>
          <w:cantSplit/>
          <w:trHeight w:val="269"/>
        </w:trPr>
        <w:tc>
          <w:tcPr>
            <w:tcW w:w="4962" w:type="dxa"/>
          </w:tcPr>
          <w:p w14:paraId="269CBDBA" w14:textId="77777777" w:rsidR="002300DE" w:rsidRDefault="002300DE" w:rsidP="5D59270C">
            <w:pPr>
              <w:rPr>
                <w:lang w:val="nl-BE"/>
              </w:rPr>
            </w:pPr>
            <w:r w:rsidRPr="5D59270C">
              <w:rPr>
                <w:lang w:val="nl-BE"/>
              </w:rPr>
              <w:t>Affiliation</w:t>
            </w:r>
          </w:p>
        </w:tc>
        <w:tc>
          <w:tcPr>
            <w:tcW w:w="10631" w:type="dxa"/>
          </w:tcPr>
          <w:p w14:paraId="269CBDBB" w14:textId="6626EE7A" w:rsidR="002300DE" w:rsidRPr="00250516" w:rsidRDefault="007E14A9" w:rsidP="00250516">
            <w:pPr>
              <w:rPr>
                <w:lang w:val="nl-BE"/>
              </w:rPr>
            </w:pPr>
            <w:sdt>
              <w:sdtPr>
                <w:rPr>
                  <w:lang w:val="nl-BE"/>
                </w:rPr>
                <w:id w:val="-2133221"/>
                <w14:checkbox>
                  <w14:checked w14:val="1"/>
                  <w14:checkedState w14:val="2612" w14:font="MS Gothic"/>
                  <w14:uncheckedState w14:val="2610" w14:font="MS Gothic"/>
                </w14:checkbox>
              </w:sdtPr>
              <w:sdtEndPr/>
              <w:sdtContent>
                <w:r w:rsidR="00F30466">
                  <w:rPr>
                    <w:rFonts w:ascii="MS Gothic" w:eastAsia="MS Gothic" w:hAnsi="MS Gothic" w:hint="eastAsia"/>
                    <w:lang w:val="nl-BE"/>
                  </w:rPr>
                  <w:t>☒</w:t>
                </w:r>
              </w:sdtContent>
            </w:sdt>
            <w:r w:rsidR="00250516">
              <w:rPr>
                <w:lang w:val="nl-BE"/>
              </w:rPr>
              <w:t xml:space="preserve"> </w:t>
            </w:r>
            <w:r w:rsidR="00250516" w:rsidRPr="00250516">
              <w:rPr>
                <w:lang w:val="nl-BE"/>
              </w:rPr>
              <w:t xml:space="preserve">KU Leuven </w:t>
            </w:r>
          </w:p>
          <w:p w14:paraId="269CBDBC" w14:textId="77777777" w:rsidR="00250516" w:rsidRPr="00250516" w:rsidRDefault="007E14A9" w:rsidP="00250516">
            <w:pPr>
              <w:rPr>
                <w:lang w:val="nl-BE"/>
              </w:rPr>
            </w:pPr>
            <w:sdt>
              <w:sdtPr>
                <w:rPr>
                  <w:lang w:val="nl-BE"/>
                </w:rPr>
                <w:id w:val="-1187048423"/>
                <w14:checkbox>
                  <w14:checked w14:val="0"/>
                  <w14:checkedState w14:val="2612" w14:font="MS Gothic"/>
                  <w14:uncheckedState w14:val="2610" w14:font="MS Gothic"/>
                </w14:checkbox>
              </w:sdtPr>
              <w:sdtEndPr/>
              <w:sdtContent>
                <w:r w:rsidR="00250516">
                  <w:rPr>
                    <w:rFonts w:ascii="MS Gothic" w:eastAsia="MS Gothic" w:hAnsi="MS Gothic" w:hint="eastAsia"/>
                    <w:lang w:val="nl-BE"/>
                  </w:rPr>
                  <w:t>☐</w:t>
                </w:r>
              </w:sdtContent>
            </w:sdt>
            <w:r w:rsidR="00250516" w:rsidRPr="00250516">
              <w:rPr>
                <w:lang w:val="nl-BE"/>
              </w:rPr>
              <w:t xml:space="preserve"> Universiteit Antwerpen</w:t>
            </w:r>
          </w:p>
          <w:p w14:paraId="269CBDBD" w14:textId="77777777" w:rsidR="00250516" w:rsidRPr="00250516" w:rsidRDefault="007E14A9" w:rsidP="00250516">
            <w:pPr>
              <w:rPr>
                <w:lang w:val="nl-BE"/>
              </w:rPr>
            </w:pPr>
            <w:sdt>
              <w:sdtPr>
                <w:rPr>
                  <w:lang w:val="nl-BE"/>
                </w:rPr>
                <w:id w:val="1303731327"/>
                <w14:checkbox>
                  <w14:checked w14:val="0"/>
                  <w14:checkedState w14:val="2612" w14:font="MS Gothic"/>
                  <w14:uncheckedState w14:val="2610" w14:font="MS Gothic"/>
                </w14:checkbox>
              </w:sdtPr>
              <w:sdtEndPr/>
              <w:sdtContent>
                <w:r w:rsidR="00250516">
                  <w:rPr>
                    <w:rFonts w:ascii="MS Gothic" w:eastAsia="MS Gothic" w:hAnsi="MS Gothic" w:hint="eastAsia"/>
                    <w:lang w:val="nl-BE"/>
                  </w:rPr>
                  <w:t>☐</w:t>
                </w:r>
              </w:sdtContent>
            </w:sdt>
            <w:r w:rsidR="00250516" w:rsidRPr="00250516">
              <w:rPr>
                <w:lang w:val="nl-BE"/>
              </w:rPr>
              <w:t xml:space="preserve"> Universiteit Gent</w:t>
            </w:r>
          </w:p>
          <w:p w14:paraId="269CBDBE" w14:textId="77777777" w:rsidR="00250516" w:rsidRDefault="007E14A9" w:rsidP="00250516">
            <w:pPr>
              <w:rPr>
                <w:lang w:val="nl-BE"/>
              </w:rPr>
            </w:pPr>
            <w:sdt>
              <w:sdtPr>
                <w:rPr>
                  <w:lang w:val="nl-BE"/>
                </w:rPr>
                <w:id w:val="-967425470"/>
                <w14:checkbox>
                  <w14:checked w14:val="0"/>
                  <w14:checkedState w14:val="2612" w14:font="MS Gothic"/>
                  <w14:uncheckedState w14:val="2610" w14:font="MS Gothic"/>
                </w14:checkbox>
              </w:sdtPr>
              <w:sdtEndPr/>
              <w:sdtContent>
                <w:r w:rsidR="00250516">
                  <w:rPr>
                    <w:rFonts w:ascii="MS Gothic" w:eastAsia="MS Gothic" w:hAnsi="MS Gothic" w:hint="eastAsia"/>
                    <w:lang w:val="nl-BE"/>
                  </w:rPr>
                  <w:t>☐</w:t>
                </w:r>
              </w:sdtContent>
            </w:sdt>
            <w:r w:rsidR="00250516" w:rsidRPr="00250516">
              <w:rPr>
                <w:lang w:val="nl-BE"/>
              </w:rPr>
              <w:t xml:space="preserve"> Universiteit Hasselt </w:t>
            </w:r>
          </w:p>
          <w:p w14:paraId="269CBDBF" w14:textId="77777777" w:rsidR="00250516" w:rsidRDefault="007E14A9" w:rsidP="00250516">
            <w:pPr>
              <w:rPr>
                <w:lang w:val="nl-BE"/>
              </w:rPr>
            </w:pPr>
            <w:sdt>
              <w:sdtPr>
                <w:rPr>
                  <w:lang w:val="nl-BE"/>
                </w:rPr>
                <w:id w:val="652791500"/>
                <w14:checkbox>
                  <w14:checked w14:val="0"/>
                  <w14:checkedState w14:val="2612" w14:font="MS Gothic"/>
                  <w14:uncheckedState w14:val="2610" w14:font="MS Gothic"/>
                </w14:checkbox>
              </w:sdtPr>
              <w:sdtEndPr/>
              <w:sdtContent>
                <w:r w:rsidR="00250516">
                  <w:rPr>
                    <w:rFonts w:ascii="MS Gothic" w:eastAsia="MS Gothic" w:hAnsi="MS Gothic" w:hint="eastAsia"/>
                    <w:lang w:val="nl-BE"/>
                  </w:rPr>
                  <w:t>☐</w:t>
                </w:r>
              </w:sdtContent>
            </w:sdt>
            <w:r w:rsidR="00250516">
              <w:rPr>
                <w:lang w:val="nl-BE"/>
              </w:rPr>
              <w:t xml:space="preserve"> Vrije Universiteit Brussel</w:t>
            </w:r>
          </w:p>
          <w:p w14:paraId="269CBDC0" w14:textId="77777777" w:rsidR="00250516" w:rsidRPr="00250516" w:rsidRDefault="007E14A9" w:rsidP="00250516">
            <w:pPr>
              <w:rPr>
                <w:lang w:val="nl-BE"/>
              </w:rPr>
            </w:pPr>
            <w:sdt>
              <w:sdtPr>
                <w:rPr>
                  <w:lang w:val="nl-BE"/>
                </w:rPr>
                <w:id w:val="-1438212389"/>
                <w14:checkbox>
                  <w14:checked w14:val="0"/>
                  <w14:checkedState w14:val="2612" w14:font="MS Gothic"/>
                  <w14:uncheckedState w14:val="2610" w14:font="MS Gothic"/>
                </w14:checkbox>
              </w:sdtPr>
              <w:sdtEndPr/>
              <w:sdtContent>
                <w:r w:rsidR="00250516">
                  <w:rPr>
                    <w:rFonts w:ascii="MS Gothic" w:eastAsia="MS Gothic" w:hAnsi="MS Gothic" w:hint="eastAsia"/>
                    <w:lang w:val="nl-BE"/>
                  </w:rPr>
                  <w:t>☐</w:t>
                </w:r>
              </w:sdtContent>
            </w:sdt>
            <w:r w:rsidR="00250516">
              <w:rPr>
                <w:lang w:val="nl-BE"/>
              </w:rPr>
              <w:t xml:space="preserve"> Other: </w:t>
            </w:r>
          </w:p>
        </w:tc>
      </w:tr>
      <w:tr w:rsidR="00650192" w14:paraId="269CBDC4" w14:textId="77777777" w:rsidTr="005E32FD">
        <w:trPr>
          <w:cantSplit/>
          <w:trHeight w:val="269"/>
        </w:trPr>
        <w:tc>
          <w:tcPr>
            <w:tcW w:w="15593" w:type="dxa"/>
            <w:gridSpan w:val="2"/>
            <w:shd w:val="clear" w:color="auto" w:fill="5B9BD5" w:themeFill="accent5"/>
          </w:tcPr>
          <w:p w14:paraId="269CBDC2" w14:textId="77777777" w:rsidR="00B519BA" w:rsidRPr="00AB71F6" w:rsidRDefault="5D59270C" w:rsidP="5D59270C">
            <w:pPr>
              <w:pStyle w:val="ListParagraph"/>
              <w:numPr>
                <w:ilvl w:val="0"/>
                <w:numId w:val="22"/>
              </w:numPr>
              <w:jc w:val="center"/>
              <w:rPr>
                <w:b/>
                <w:bCs/>
                <w:lang w:val="nl-BE"/>
              </w:rPr>
            </w:pPr>
            <w:r w:rsidRPr="5D59270C">
              <w:rPr>
                <w:b/>
                <w:bCs/>
                <w:lang w:val="nl-BE"/>
              </w:rPr>
              <w:t>Data description</w:t>
            </w:r>
          </w:p>
          <w:p w14:paraId="269CBDC3" w14:textId="77777777" w:rsidR="00650192" w:rsidRPr="0025638E" w:rsidRDefault="00650192" w:rsidP="00650192">
            <w:pPr>
              <w:pStyle w:val="ListParagraph"/>
              <w:ind w:left="1080"/>
              <w:rPr>
                <w:b/>
                <w:lang w:val="nl-BE"/>
              </w:rPr>
            </w:pPr>
          </w:p>
        </w:tc>
      </w:tr>
      <w:tr w:rsidR="002300DE" w:rsidRPr="00F42A6F" w14:paraId="269CBDC8" w14:textId="77777777" w:rsidTr="00436EB9">
        <w:trPr>
          <w:cantSplit/>
          <w:trHeight w:val="269"/>
        </w:trPr>
        <w:tc>
          <w:tcPr>
            <w:tcW w:w="4962" w:type="dxa"/>
          </w:tcPr>
          <w:p w14:paraId="269CBDC5" w14:textId="77777777" w:rsidR="002300DE" w:rsidRPr="00F42A6F" w:rsidRDefault="002300DE" w:rsidP="0025638E">
            <w:r>
              <w:t xml:space="preserve">Will you generate/collect new data and/or make use of existing data? </w:t>
            </w:r>
          </w:p>
        </w:tc>
        <w:tc>
          <w:tcPr>
            <w:tcW w:w="10631" w:type="dxa"/>
          </w:tcPr>
          <w:p w14:paraId="269CBDC6" w14:textId="02E4D89D" w:rsidR="002300DE" w:rsidRPr="00250516" w:rsidRDefault="007E14A9" w:rsidP="001A6D63">
            <w:pPr>
              <w:rPr>
                <w:lang w:val="en-US"/>
              </w:rPr>
            </w:pPr>
            <w:sdt>
              <w:sdtPr>
                <w:rPr>
                  <w:lang w:val="en-US"/>
                </w:rPr>
                <w:id w:val="-1837914260"/>
                <w14:checkbox>
                  <w14:checked w14:val="1"/>
                  <w14:checkedState w14:val="2612" w14:font="MS Gothic"/>
                  <w14:uncheckedState w14:val="2610" w14:font="MS Gothic"/>
                </w14:checkbox>
              </w:sdtPr>
              <w:sdtEndPr/>
              <w:sdtContent>
                <w:r w:rsidR="00B85C77">
                  <w:rPr>
                    <w:rFonts w:ascii="MS Gothic" w:eastAsia="MS Gothic" w:hAnsi="MS Gothic" w:hint="eastAsia"/>
                    <w:lang w:val="en-US"/>
                  </w:rPr>
                  <w:t>☒</w:t>
                </w:r>
              </w:sdtContent>
            </w:sdt>
            <w:r w:rsidR="00250516">
              <w:rPr>
                <w:lang w:val="en-US"/>
              </w:rPr>
              <w:t xml:space="preserve"> </w:t>
            </w:r>
            <w:r w:rsidR="00250516" w:rsidRPr="00250516">
              <w:rPr>
                <w:lang w:val="en-US"/>
              </w:rPr>
              <w:t>Generate new data</w:t>
            </w:r>
          </w:p>
          <w:p w14:paraId="269CBDC7" w14:textId="3CEE1017" w:rsidR="00250516" w:rsidRPr="000E6129" w:rsidRDefault="007E14A9" w:rsidP="001A6D63">
            <w:sdt>
              <w:sdtPr>
                <w:rPr>
                  <w:lang w:val="en-US"/>
                </w:rPr>
                <w:id w:val="-1773621054"/>
                <w14:checkbox>
                  <w14:checked w14:val="1"/>
                  <w14:checkedState w14:val="2612" w14:font="MS Gothic"/>
                  <w14:uncheckedState w14:val="2610" w14:font="MS Gothic"/>
                </w14:checkbox>
              </w:sdtPr>
              <w:sdtEndPr/>
              <w:sdtContent>
                <w:r w:rsidR="0098218E">
                  <w:rPr>
                    <w:rFonts w:ascii="MS Gothic" w:eastAsia="MS Gothic" w:hAnsi="MS Gothic" w:hint="eastAsia"/>
                    <w:lang w:val="en-US"/>
                  </w:rPr>
                  <w:t>☒</w:t>
                </w:r>
              </w:sdtContent>
            </w:sdt>
            <w:r w:rsidR="00250516" w:rsidRPr="00250516">
              <w:rPr>
                <w:lang w:val="en-US"/>
              </w:rPr>
              <w:t xml:space="preserve"> Reuse existing data</w:t>
            </w:r>
          </w:p>
        </w:tc>
      </w:tr>
      <w:tr w:rsidR="002300DE" w:rsidRPr="00F42A6F" w14:paraId="269CBDCE" w14:textId="77777777" w:rsidTr="00436EB9">
        <w:trPr>
          <w:cantSplit/>
          <w:trHeight w:val="269"/>
        </w:trPr>
        <w:tc>
          <w:tcPr>
            <w:tcW w:w="4962" w:type="dxa"/>
          </w:tcPr>
          <w:p w14:paraId="269CBDC9" w14:textId="77777777" w:rsidR="002300DE" w:rsidRDefault="002300DE">
            <w:r>
              <w:lastRenderedPageBreak/>
              <w:t>Describe the origin, type and format of the data (per dataset) and its (estimated) volume</w:t>
            </w:r>
          </w:p>
          <w:p w14:paraId="269CBDCA" w14:textId="77777777" w:rsidR="00CA2D12" w:rsidRPr="00CA2D12" w:rsidRDefault="00CA2D12">
            <w:pPr>
              <w:rPr>
                <w:sz w:val="12"/>
              </w:rPr>
            </w:pPr>
          </w:p>
          <w:p w14:paraId="269CBDCB" w14:textId="77777777" w:rsidR="00CA2D12" w:rsidRPr="00CA2D12" w:rsidRDefault="00CA2D12" w:rsidP="00CA2D12">
            <w:pPr>
              <w:rPr>
                <w:i/>
                <w:sz w:val="22"/>
              </w:rPr>
            </w:pPr>
            <w:r w:rsidRPr="00CA2D12">
              <w:rPr>
                <w:i/>
                <w:sz w:val="22"/>
              </w:rPr>
              <w:t xml:space="preserve">If you </w:t>
            </w:r>
            <w:r w:rsidRPr="00CA2D12">
              <w:rPr>
                <w:b/>
                <w:bCs/>
                <w:i/>
                <w:sz w:val="22"/>
              </w:rPr>
              <w:t>reuse</w:t>
            </w:r>
            <w:r w:rsidRPr="00CA2D12">
              <w:rPr>
                <w:i/>
                <w:sz w:val="22"/>
              </w:rPr>
              <w:t xml:space="preserve"> existing data, specify the </w:t>
            </w:r>
            <w:r w:rsidRPr="00CA2D12">
              <w:rPr>
                <w:b/>
                <w:bCs/>
                <w:i/>
                <w:sz w:val="22"/>
              </w:rPr>
              <w:t>source</w:t>
            </w:r>
            <w:r w:rsidRPr="00CA2D12">
              <w:rPr>
                <w:i/>
                <w:sz w:val="22"/>
              </w:rPr>
              <w:t xml:space="preserve"> of these data. </w:t>
            </w:r>
          </w:p>
          <w:p w14:paraId="269CBDCC" w14:textId="77777777" w:rsidR="00250516" w:rsidRDefault="00CA2D12" w:rsidP="00CA2D12">
            <w:r w:rsidRPr="00CA2D12">
              <w:rPr>
                <w:i/>
                <w:sz w:val="22"/>
              </w:rPr>
              <w:t xml:space="preserve">Distinguish data </w:t>
            </w:r>
            <w:r w:rsidRPr="00CA2D12">
              <w:rPr>
                <w:b/>
                <w:bCs/>
                <w:i/>
                <w:sz w:val="22"/>
              </w:rPr>
              <w:t>types</w:t>
            </w:r>
            <w:r w:rsidRPr="00CA2D12">
              <w:rPr>
                <w:i/>
                <w:sz w:val="22"/>
              </w:rPr>
              <w:t xml:space="preserve"> (the kind of content) from data </w:t>
            </w:r>
            <w:r w:rsidRPr="00CA2D12">
              <w:rPr>
                <w:b/>
                <w:bCs/>
                <w:i/>
                <w:sz w:val="22"/>
              </w:rPr>
              <w:t>formats</w:t>
            </w:r>
            <w:r w:rsidRPr="00CA2D12">
              <w:rPr>
                <w:i/>
                <w:sz w:val="22"/>
              </w:rPr>
              <w:t xml:space="preserve"> (the technical format).</w:t>
            </w:r>
          </w:p>
        </w:tc>
        <w:tc>
          <w:tcPr>
            <w:tcW w:w="10631" w:type="dxa"/>
          </w:tcPr>
          <w:p w14:paraId="0D79BC6C" w14:textId="4AD59D43" w:rsidR="0098218E" w:rsidRDefault="00570AAC" w:rsidP="6320600B">
            <w:pPr>
              <w:rPr>
                <w:bCs/>
              </w:rPr>
            </w:pPr>
            <w:r w:rsidRPr="00570AAC">
              <w:rPr>
                <w:bCs/>
              </w:rPr>
              <w:t>The project</w:t>
            </w:r>
            <w:r>
              <w:rPr>
                <w:bCs/>
              </w:rPr>
              <w:t xml:space="preserve"> consists of three studies</w:t>
            </w:r>
            <w:r w:rsidR="00AB77A9">
              <w:rPr>
                <w:bCs/>
              </w:rPr>
              <w:t xml:space="preserve">, in which observational data </w:t>
            </w:r>
            <w:r w:rsidR="0098218E">
              <w:rPr>
                <w:bCs/>
              </w:rPr>
              <w:t xml:space="preserve">and biomarkers are collected. </w:t>
            </w:r>
            <w:r w:rsidR="009367D2">
              <w:rPr>
                <w:bCs/>
              </w:rPr>
              <w:t>The population under study are persons with congenital heart disease (CHD) and their mothers.</w:t>
            </w:r>
            <w:r w:rsidR="00D60375">
              <w:rPr>
                <w:bCs/>
              </w:rPr>
              <w:t xml:space="preserve"> Study 3 is nested in Study 2, as additional data are collected in a subgroup of patients included in Study 2.</w:t>
            </w:r>
          </w:p>
          <w:p w14:paraId="4AAE12CF" w14:textId="77777777" w:rsidR="0098218E" w:rsidRDefault="0098218E" w:rsidP="6320600B">
            <w:pPr>
              <w:rPr>
                <w:bCs/>
              </w:rPr>
            </w:pPr>
          </w:p>
          <w:p w14:paraId="457D23D2" w14:textId="77777777" w:rsidR="0067278B" w:rsidRDefault="0067278B" w:rsidP="0098218E">
            <w:pPr>
              <w:jc w:val="both"/>
              <w:rPr>
                <w:rFonts w:cstheme="minorHAnsi"/>
                <w:b/>
                <w:lang w:val="en-US"/>
              </w:rPr>
            </w:pPr>
            <w:r w:rsidRPr="003A1EAD">
              <w:rPr>
                <w:rFonts w:cstheme="minorHAnsi"/>
                <w:b/>
                <w:lang w:val="en-US"/>
              </w:rPr>
              <w:t xml:space="preserve">STUDY 1: NEWBORNS WITH CHD </w:t>
            </w:r>
          </w:p>
          <w:p w14:paraId="00B4CADC" w14:textId="0BCCA907" w:rsidR="0098218E" w:rsidRPr="003A1EAD" w:rsidRDefault="0098218E" w:rsidP="0098218E">
            <w:pPr>
              <w:jc w:val="both"/>
              <w:rPr>
                <w:rFonts w:cstheme="minorHAnsi"/>
                <w:lang w:val="en-US"/>
              </w:rPr>
            </w:pPr>
            <w:r w:rsidRPr="003A1EAD">
              <w:rPr>
                <w:rFonts w:cstheme="minorHAnsi"/>
                <w:b/>
                <w:u w:val="single"/>
                <w:lang w:val="en-US"/>
              </w:rPr>
              <w:t>Aims:</w:t>
            </w:r>
            <w:r w:rsidRPr="003A1EAD">
              <w:rPr>
                <w:rFonts w:cstheme="minorHAnsi"/>
                <w:lang w:val="en-US"/>
              </w:rPr>
              <w:t xml:space="preserve"> To (</w:t>
            </w:r>
            <w:proofErr w:type="spellStart"/>
            <w:r w:rsidRPr="003A1EAD">
              <w:rPr>
                <w:rFonts w:cstheme="minorHAnsi"/>
                <w:lang w:val="en-US"/>
              </w:rPr>
              <w:t>i</w:t>
            </w:r>
            <w:proofErr w:type="spellEnd"/>
            <w:r w:rsidRPr="003A1EAD">
              <w:rPr>
                <w:rFonts w:cstheme="minorHAnsi"/>
                <w:lang w:val="en-US"/>
              </w:rPr>
              <w:t>) compare telomere length in newborns with or without CHD; and (ii) to assess pregnancy-related/clinical and mother-related (behavioral, psychological, social) predictors of telomere length in newborns with CHD.</w:t>
            </w:r>
          </w:p>
          <w:p w14:paraId="08DD8C16" w14:textId="38650AC8" w:rsidR="0098218E" w:rsidRPr="003A1EAD" w:rsidRDefault="0098218E" w:rsidP="0098218E">
            <w:pPr>
              <w:jc w:val="both"/>
              <w:rPr>
                <w:rFonts w:cstheme="minorHAnsi"/>
                <w:lang w:val="en-US"/>
              </w:rPr>
            </w:pPr>
            <w:r w:rsidRPr="003A1EAD">
              <w:rPr>
                <w:rFonts w:cstheme="minorHAnsi"/>
                <w:b/>
                <w:u w:val="single"/>
                <w:lang w:val="en-US"/>
              </w:rPr>
              <w:t>Subjects:</w:t>
            </w:r>
            <w:r w:rsidRPr="003A1EAD">
              <w:rPr>
                <w:rFonts w:cstheme="minorHAnsi"/>
                <w:b/>
                <w:lang w:val="en-US"/>
              </w:rPr>
              <w:t xml:space="preserve"> </w:t>
            </w:r>
            <w:r w:rsidRPr="003A1EAD">
              <w:rPr>
                <w:rFonts w:cstheme="minorHAnsi"/>
                <w:lang w:val="en-US"/>
              </w:rPr>
              <w:t xml:space="preserve">Consecutive newborns with CHD, who are diagnosed </w:t>
            </w:r>
            <w:r>
              <w:rPr>
                <w:rFonts w:cstheme="minorHAnsi"/>
                <w:lang w:val="en-US"/>
              </w:rPr>
              <w:t>and/or treated</w:t>
            </w:r>
            <w:r w:rsidRPr="003A1EAD">
              <w:rPr>
                <w:rFonts w:cstheme="minorHAnsi"/>
                <w:lang w:val="en-US"/>
              </w:rPr>
              <w:t xml:space="preserve"> in the University Hospitals of Leuven or Ghent University Hospital</w:t>
            </w:r>
            <w:r>
              <w:rPr>
                <w:rFonts w:cstheme="minorHAnsi"/>
                <w:lang w:val="en-US"/>
              </w:rPr>
              <w:t xml:space="preserve"> in their first week of life</w:t>
            </w:r>
            <w:r w:rsidRPr="003A1EAD">
              <w:rPr>
                <w:rFonts w:cstheme="minorHAnsi"/>
                <w:lang w:val="en-US"/>
              </w:rPr>
              <w:t xml:space="preserve">, are eligible for inclusion. Data on telomere length of healthy newborns will be retrieved from the ENVIRONAGE study, which includes data of more than 2000 newborns in Flanders </w:t>
            </w:r>
            <w:r w:rsidRPr="003A1EAD">
              <w:rPr>
                <w:rFonts w:cstheme="minorHAnsi"/>
                <w:i/>
                <w:iCs/>
                <w:lang w:val="en-US"/>
              </w:rPr>
              <w:t xml:space="preserve">(T. </w:t>
            </w:r>
            <w:proofErr w:type="spellStart"/>
            <w:r w:rsidRPr="003A1EAD">
              <w:rPr>
                <w:rFonts w:cstheme="minorHAnsi"/>
                <w:i/>
                <w:iCs/>
                <w:lang w:val="en-US"/>
              </w:rPr>
              <w:t>Nawrot</w:t>
            </w:r>
            <w:proofErr w:type="spellEnd"/>
            <w:r>
              <w:rPr>
                <w:rFonts w:cstheme="minorHAnsi"/>
                <w:i/>
                <w:iCs/>
                <w:lang w:val="en-US"/>
              </w:rPr>
              <w:t>: University Hasselt</w:t>
            </w:r>
            <w:r w:rsidRPr="003A1EAD">
              <w:rPr>
                <w:rFonts w:cstheme="minorHAnsi"/>
                <w:i/>
                <w:iCs/>
                <w:lang w:val="en-US"/>
              </w:rPr>
              <w:t>)</w:t>
            </w:r>
            <w:r w:rsidRPr="003A1EAD">
              <w:rPr>
                <w:rFonts w:cstheme="minorHAnsi"/>
                <w:lang w:val="en-US"/>
              </w:rPr>
              <w:t>.</w:t>
            </w:r>
            <w:r w:rsidRPr="003A1EAD" w:rsidDel="00186F9A">
              <w:rPr>
                <w:rFonts w:cstheme="minorHAnsi"/>
                <w:lang w:val="en-US"/>
              </w:rPr>
              <w:t xml:space="preserve"> </w:t>
            </w:r>
          </w:p>
          <w:p w14:paraId="5EDAEEAA" w14:textId="77777777" w:rsidR="002432BA" w:rsidRPr="003A1EAD" w:rsidRDefault="002432BA" w:rsidP="002432BA">
            <w:pPr>
              <w:jc w:val="both"/>
              <w:rPr>
                <w:rFonts w:cstheme="minorHAnsi"/>
                <w:b/>
                <w:u w:val="single"/>
                <w:lang w:val="en-US"/>
              </w:rPr>
            </w:pPr>
            <w:r w:rsidRPr="003A1EAD">
              <w:rPr>
                <w:rFonts w:cstheme="minorHAnsi"/>
                <w:b/>
                <w:u w:val="single"/>
                <w:lang w:val="en-US"/>
              </w:rPr>
              <w:t xml:space="preserve">Variables and measurements: </w:t>
            </w:r>
          </w:p>
          <w:p w14:paraId="1002DF7B" w14:textId="312FB13E" w:rsidR="002432BA" w:rsidRPr="003A1EAD" w:rsidRDefault="002432BA" w:rsidP="002432BA">
            <w:pPr>
              <w:jc w:val="both"/>
              <w:rPr>
                <w:rFonts w:cstheme="minorHAnsi"/>
                <w:lang w:val="en-US"/>
              </w:rPr>
            </w:pPr>
            <w:r w:rsidRPr="003A1EAD">
              <w:rPr>
                <w:rFonts w:cstheme="minorHAnsi"/>
                <w:b/>
                <w:i/>
                <w:lang w:val="en-US"/>
              </w:rPr>
              <w:t>Biomarker:</w:t>
            </w:r>
            <w:r w:rsidRPr="003A1EAD">
              <w:rPr>
                <w:rFonts w:cstheme="minorHAnsi"/>
                <w:lang w:val="en-US"/>
              </w:rPr>
              <w:t xml:space="preserve"> Telomere length will be determined on leukocyte DNA, using quantitative polymerase chain reaction (qPCR). Telomere length will be expressed as the ratio of telomere copy number to single-copy gene number (T/S ratio). </w:t>
            </w:r>
            <w:r w:rsidR="009367D2">
              <w:rPr>
                <w:rFonts w:cstheme="minorHAnsi"/>
                <w:lang w:val="en-US"/>
              </w:rPr>
              <w:t>Blood for this study will be drawn during routine ven</w:t>
            </w:r>
            <w:r w:rsidR="005226E4">
              <w:rPr>
                <w:rFonts w:cstheme="minorHAnsi"/>
                <w:lang w:val="en-US"/>
              </w:rPr>
              <w:t>i</w:t>
            </w:r>
            <w:r w:rsidR="009367D2">
              <w:rPr>
                <w:rFonts w:cstheme="minorHAnsi"/>
                <w:lang w:val="en-US"/>
              </w:rPr>
              <w:t>punct</w:t>
            </w:r>
            <w:r w:rsidR="005226E4">
              <w:rPr>
                <w:rFonts w:cstheme="minorHAnsi"/>
                <w:lang w:val="en-US"/>
              </w:rPr>
              <w:t>ure</w:t>
            </w:r>
            <w:r w:rsidR="009367D2">
              <w:rPr>
                <w:rFonts w:cstheme="minorHAnsi"/>
                <w:lang w:val="en-US"/>
              </w:rPr>
              <w:t xml:space="preserve">. </w:t>
            </w:r>
            <w:r w:rsidRPr="003A1EAD">
              <w:rPr>
                <w:rFonts w:cstheme="minorHAnsi"/>
                <w:lang w:val="en-US"/>
              </w:rPr>
              <w:t>The procedure is identical to the one used in ENVIRONAGE.</w:t>
            </w:r>
            <w:r w:rsidR="0067278B" w:rsidRPr="003A1EAD">
              <w:rPr>
                <w:rFonts w:cstheme="minorHAnsi"/>
                <w:lang w:val="en-US"/>
              </w:rPr>
              <w:t xml:space="preserve"> </w:t>
            </w:r>
          </w:p>
          <w:p w14:paraId="59441E7D" w14:textId="3B210F96" w:rsidR="002432BA" w:rsidRPr="003A1EAD" w:rsidRDefault="002432BA" w:rsidP="002432BA">
            <w:pPr>
              <w:jc w:val="both"/>
              <w:rPr>
                <w:rFonts w:cstheme="minorHAnsi"/>
                <w:lang w:val="en-US"/>
              </w:rPr>
            </w:pPr>
            <w:r w:rsidRPr="003A1EAD">
              <w:rPr>
                <w:rFonts w:cstheme="minorHAnsi"/>
                <w:b/>
                <w:i/>
                <w:lang w:val="en-US"/>
              </w:rPr>
              <w:t xml:space="preserve">Predictors: </w:t>
            </w:r>
            <w:r w:rsidRPr="003A1EAD">
              <w:rPr>
                <w:rFonts w:cstheme="minorHAnsi"/>
                <w:lang w:val="en-US"/>
              </w:rPr>
              <w:t>The following variables are measured as predictors because they have been found to be of potential importance in previous research.</w:t>
            </w:r>
            <w:r w:rsidR="0067278B" w:rsidRPr="003A1EAD">
              <w:rPr>
                <w:rFonts w:cstheme="minorHAnsi"/>
                <w:lang w:val="en-US"/>
              </w:rPr>
              <w:t xml:space="preserve"> </w:t>
            </w:r>
          </w:p>
          <w:tbl>
            <w:tblPr>
              <w:tblStyle w:val="TableGrid"/>
              <w:tblW w:w="0" w:type="auto"/>
              <w:tblLayout w:type="fixed"/>
              <w:tblLook w:val="04A0" w:firstRow="1" w:lastRow="0" w:firstColumn="1" w:lastColumn="0" w:noHBand="0" w:noVBand="1"/>
            </w:tblPr>
            <w:tblGrid>
              <w:gridCol w:w="1592"/>
              <w:gridCol w:w="5528"/>
              <w:gridCol w:w="3260"/>
            </w:tblGrid>
            <w:tr w:rsidR="002432BA" w:rsidRPr="003A1EAD" w14:paraId="2F9F4468" w14:textId="77777777" w:rsidTr="00F65036">
              <w:tc>
                <w:tcPr>
                  <w:tcW w:w="1592" w:type="dxa"/>
                </w:tcPr>
                <w:p w14:paraId="25529314" w14:textId="77777777" w:rsidR="002432BA" w:rsidRPr="003A1EAD" w:rsidRDefault="002432BA" w:rsidP="002432BA">
                  <w:pPr>
                    <w:rPr>
                      <w:rFonts w:cstheme="minorHAnsi"/>
                      <w:i/>
                      <w:lang w:val="en-US"/>
                    </w:rPr>
                  </w:pPr>
                  <w:r w:rsidRPr="003A1EAD">
                    <w:rPr>
                      <w:rFonts w:cstheme="minorHAnsi"/>
                      <w:i/>
                      <w:lang w:val="en-US"/>
                    </w:rPr>
                    <w:t>Factors</w:t>
                  </w:r>
                </w:p>
              </w:tc>
              <w:tc>
                <w:tcPr>
                  <w:tcW w:w="5528" w:type="dxa"/>
                </w:tcPr>
                <w:p w14:paraId="6BE12ECB" w14:textId="77777777" w:rsidR="002432BA" w:rsidRPr="003A1EAD" w:rsidRDefault="002432BA" w:rsidP="002432BA">
                  <w:pPr>
                    <w:rPr>
                      <w:rFonts w:cstheme="minorHAnsi"/>
                      <w:i/>
                      <w:lang w:val="en-US"/>
                    </w:rPr>
                  </w:pPr>
                  <w:r w:rsidRPr="003A1EAD">
                    <w:rPr>
                      <w:rFonts w:cstheme="minorHAnsi"/>
                      <w:i/>
                      <w:lang w:val="en-US"/>
                    </w:rPr>
                    <w:t>Variables</w:t>
                  </w:r>
                </w:p>
              </w:tc>
              <w:tc>
                <w:tcPr>
                  <w:tcW w:w="3260" w:type="dxa"/>
                </w:tcPr>
                <w:p w14:paraId="38CD1B5B" w14:textId="77777777" w:rsidR="002432BA" w:rsidRPr="003A1EAD" w:rsidRDefault="002432BA" w:rsidP="002432BA">
                  <w:pPr>
                    <w:rPr>
                      <w:rFonts w:cstheme="minorHAnsi"/>
                      <w:i/>
                      <w:lang w:val="en-US"/>
                    </w:rPr>
                  </w:pPr>
                  <w:r w:rsidRPr="003A1EAD">
                    <w:rPr>
                      <w:rFonts w:cstheme="minorHAnsi"/>
                      <w:i/>
                      <w:lang w:val="en-US"/>
                    </w:rPr>
                    <w:t>Measurement/source</w:t>
                  </w:r>
                </w:p>
              </w:tc>
            </w:tr>
            <w:tr w:rsidR="002432BA" w:rsidRPr="003A1EAD" w14:paraId="614DEBF7" w14:textId="77777777" w:rsidTr="00F65036">
              <w:tc>
                <w:tcPr>
                  <w:tcW w:w="1592" w:type="dxa"/>
                  <w:vMerge w:val="restart"/>
                </w:tcPr>
                <w:p w14:paraId="0C10152A" w14:textId="77777777" w:rsidR="002432BA" w:rsidRPr="003A1EAD" w:rsidRDefault="002432BA" w:rsidP="002432BA">
                  <w:pPr>
                    <w:rPr>
                      <w:rFonts w:cstheme="minorHAnsi"/>
                      <w:lang w:val="en-US"/>
                    </w:rPr>
                  </w:pPr>
                  <w:r w:rsidRPr="003A1EAD">
                    <w:rPr>
                      <w:rFonts w:cstheme="minorHAnsi"/>
                      <w:lang w:val="en-US"/>
                    </w:rPr>
                    <w:t>Pregnancy- related/ Clinical</w:t>
                  </w:r>
                </w:p>
              </w:tc>
              <w:tc>
                <w:tcPr>
                  <w:tcW w:w="5528" w:type="dxa"/>
                </w:tcPr>
                <w:p w14:paraId="60089564" w14:textId="77777777" w:rsidR="002432BA" w:rsidRPr="003A1EAD" w:rsidRDefault="002432BA" w:rsidP="002432BA">
                  <w:pPr>
                    <w:pStyle w:val="ListParagraph"/>
                    <w:numPr>
                      <w:ilvl w:val="0"/>
                      <w:numId w:val="28"/>
                    </w:numPr>
                    <w:ind w:left="169" w:hanging="218"/>
                    <w:contextualSpacing w:val="0"/>
                    <w:rPr>
                      <w:rFonts w:cstheme="minorHAnsi"/>
                      <w:lang w:val="en-US"/>
                    </w:rPr>
                  </w:pPr>
                  <w:r w:rsidRPr="003A1EAD">
                    <w:rPr>
                      <w:rFonts w:cstheme="minorHAnsi"/>
                      <w:lang w:val="en-US"/>
                    </w:rPr>
                    <w:t>Gestational age</w:t>
                  </w:r>
                  <w:r>
                    <w:rPr>
                      <w:rFonts w:cstheme="minorHAnsi"/>
                      <w:lang w:val="en-US"/>
                    </w:rPr>
                    <w:t xml:space="preserve"> and weight</w:t>
                  </w:r>
                </w:p>
                <w:p w14:paraId="445812D1" w14:textId="77777777" w:rsidR="002432BA" w:rsidRPr="003A1EAD" w:rsidRDefault="002432BA" w:rsidP="002432BA">
                  <w:pPr>
                    <w:pStyle w:val="ListParagraph"/>
                    <w:numPr>
                      <w:ilvl w:val="0"/>
                      <w:numId w:val="28"/>
                    </w:numPr>
                    <w:ind w:left="169" w:hanging="218"/>
                    <w:contextualSpacing w:val="0"/>
                    <w:rPr>
                      <w:rFonts w:cstheme="minorHAnsi"/>
                      <w:lang w:val="en-US"/>
                    </w:rPr>
                  </w:pPr>
                  <w:r w:rsidRPr="003A1EAD">
                    <w:rPr>
                      <w:rFonts w:cstheme="minorHAnsi"/>
                      <w:lang w:val="en-US"/>
                    </w:rPr>
                    <w:t>Type of heart defect on the newborn</w:t>
                  </w:r>
                </w:p>
                <w:p w14:paraId="01D6AE93" w14:textId="77777777" w:rsidR="002432BA" w:rsidRPr="003A1EAD" w:rsidRDefault="002432BA" w:rsidP="002432BA">
                  <w:pPr>
                    <w:pStyle w:val="ListParagraph"/>
                    <w:numPr>
                      <w:ilvl w:val="0"/>
                      <w:numId w:val="28"/>
                    </w:numPr>
                    <w:ind w:left="169" w:hanging="218"/>
                    <w:contextualSpacing w:val="0"/>
                    <w:rPr>
                      <w:rFonts w:cstheme="minorHAnsi"/>
                      <w:lang w:val="en-US"/>
                    </w:rPr>
                  </w:pPr>
                  <w:r w:rsidRPr="003A1EAD">
                    <w:rPr>
                      <w:rFonts w:cstheme="minorHAnsi"/>
                      <w:lang w:val="en-US"/>
                    </w:rPr>
                    <w:t>Medical complications of pregnancy/ delivery</w:t>
                  </w:r>
                </w:p>
                <w:p w14:paraId="23F3FE4B" w14:textId="77777777" w:rsidR="002432BA" w:rsidRPr="003A1EAD" w:rsidRDefault="002432BA" w:rsidP="002432BA">
                  <w:pPr>
                    <w:pStyle w:val="ListParagraph"/>
                    <w:numPr>
                      <w:ilvl w:val="0"/>
                      <w:numId w:val="28"/>
                    </w:numPr>
                    <w:ind w:left="169" w:hanging="218"/>
                    <w:contextualSpacing w:val="0"/>
                    <w:rPr>
                      <w:rFonts w:cstheme="minorHAnsi"/>
                      <w:lang w:val="en-US"/>
                    </w:rPr>
                  </w:pPr>
                  <w:r w:rsidRPr="003A1EAD">
                    <w:rPr>
                      <w:rFonts w:cstheme="minorHAnsi"/>
                      <w:lang w:val="en-US"/>
                    </w:rPr>
                    <w:t>Neonatal complications</w:t>
                  </w:r>
                </w:p>
              </w:tc>
              <w:tc>
                <w:tcPr>
                  <w:tcW w:w="3260" w:type="dxa"/>
                </w:tcPr>
                <w:p w14:paraId="626F4243" w14:textId="77777777" w:rsidR="002432BA" w:rsidRPr="003A1EAD" w:rsidRDefault="002432BA" w:rsidP="002432BA">
                  <w:pPr>
                    <w:rPr>
                      <w:rFonts w:cstheme="minorHAnsi"/>
                      <w:lang w:val="en-US"/>
                    </w:rPr>
                  </w:pPr>
                  <w:r w:rsidRPr="003A1EAD">
                    <w:rPr>
                      <w:rFonts w:cstheme="minorHAnsi"/>
                      <w:lang w:val="en-US"/>
                    </w:rPr>
                    <w:t>Medical patient records</w:t>
                  </w:r>
                </w:p>
              </w:tc>
            </w:tr>
            <w:tr w:rsidR="002432BA" w:rsidRPr="003A1EAD" w14:paraId="263D7A28" w14:textId="77777777" w:rsidTr="00F65036">
              <w:tc>
                <w:tcPr>
                  <w:tcW w:w="1592" w:type="dxa"/>
                  <w:vMerge/>
                </w:tcPr>
                <w:p w14:paraId="05624497" w14:textId="77777777" w:rsidR="002432BA" w:rsidRPr="003A1EAD" w:rsidRDefault="002432BA" w:rsidP="002432BA">
                  <w:pPr>
                    <w:rPr>
                      <w:rFonts w:cstheme="minorHAnsi"/>
                      <w:lang w:val="en-US"/>
                    </w:rPr>
                  </w:pPr>
                </w:p>
              </w:tc>
              <w:tc>
                <w:tcPr>
                  <w:tcW w:w="5528" w:type="dxa"/>
                </w:tcPr>
                <w:p w14:paraId="25EE10E0" w14:textId="77777777" w:rsidR="002432BA" w:rsidRPr="003A1EAD" w:rsidRDefault="002432BA" w:rsidP="002432BA">
                  <w:pPr>
                    <w:pStyle w:val="ListParagraph"/>
                    <w:numPr>
                      <w:ilvl w:val="0"/>
                      <w:numId w:val="28"/>
                    </w:numPr>
                    <w:ind w:left="169" w:hanging="218"/>
                    <w:contextualSpacing w:val="0"/>
                    <w:rPr>
                      <w:rFonts w:cstheme="minorHAnsi"/>
                      <w:lang w:val="en-US"/>
                    </w:rPr>
                  </w:pPr>
                  <w:r w:rsidRPr="003A1EAD">
                    <w:rPr>
                      <w:rFonts w:cstheme="minorHAnsi"/>
                      <w:lang w:val="en-US"/>
                    </w:rPr>
                    <w:t>Timing and nature of recognition of pregnancy</w:t>
                  </w:r>
                </w:p>
                <w:p w14:paraId="390A27CF" w14:textId="77777777" w:rsidR="002432BA" w:rsidRPr="003A1EAD" w:rsidRDefault="002432BA" w:rsidP="002432BA">
                  <w:pPr>
                    <w:pStyle w:val="ListParagraph"/>
                    <w:numPr>
                      <w:ilvl w:val="0"/>
                      <w:numId w:val="28"/>
                    </w:numPr>
                    <w:ind w:left="169" w:hanging="218"/>
                    <w:contextualSpacing w:val="0"/>
                    <w:rPr>
                      <w:rFonts w:cstheme="minorHAnsi"/>
                      <w:lang w:val="en-US"/>
                    </w:rPr>
                  </w:pPr>
                  <w:r w:rsidRPr="003A1EAD">
                    <w:rPr>
                      <w:rFonts w:cstheme="minorHAnsi"/>
                      <w:lang w:val="en-US"/>
                    </w:rPr>
                    <w:t>Weight changes</w:t>
                  </w:r>
                </w:p>
                <w:p w14:paraId="55A60026" w14:textId="77777777" w:rsidR="002432BA" w:rsidRPr="003A1EAD" w:rsidRDefault="002432BA" w:rsidP="002432BA">
                  <w:pPr>
                    <w:pStyle w:val="ListParagraph"/>
                    <w:numPr>
                      <w:ilvl w:val="0"/>
                      <w:numId w:val="28"/>
                    </w:numPr>
                    <w:ind w:left="169" w:hanging="218"/>
                    <w:contextualSpacing w:val="0"/>
                    <w:rPr>
                      <w:rFonts w:cstheme="minorHAnsi"/>
                      <w:lang w:val="en-US"/>
                    </w:rPr>
                  </w:pPr>
                  <w:r w:rsidRPr="003A1EAD">
                    <w:rPr>
                      <w:rFonts w:cstheme="minorHAnsi"/>
                      <w:lang w:val="en-US"/>
                    </w:rPr>
                    <w:t>Blood pressure</w:t>
                  </w:r>
                </w:p>
                <w:p w14:paraId="5C608460" w14:textId="77777777" w:rsidR="002432BA" w:rsidRPr="003A1EAD" w:rsidRDefault="002432BA" w:rsidP="002432BA">
                  <w:pPr>
                    <w:pStyle w:val="ListParagraph"/>
                    <w:numPr>
                      <w:ilvl w:val="0"/>
                      <w:numId w:val="28"/>
                    </w:numPr>
                    <w:ind w:left="169" w:hanging="218"/>
                    <w:contextualSpacing w:val="0"/>
                    <w:rPr>
                      <w:rFonts w:cstheme="minorHAnsi"/>
                      <w:lang w:val="en-US"/>
                    </w:rPr>
                  </w:pPr>
                  <w:r w:rsidRPr="003A1EAD">
                    <w:rPr>
                      <w:rFonts w:cstheme="minorHAnsi"/>
                      <w:lang w:val="en-US"/>
                    </w:rPr>
                    <w:t>Vitamin and medication intake</w:t>
                  </w:r>
                </w:p>
                <w:p w14:paraId="7DC33728" w14:textId="77777777" w:rsidR="002432BA" w:rsidRPr="003A1EAD" w:rsidRDefault="002432BA" w:rsidP="002432BA">
                  <w:pPr>
                    <w:pStyle w:val="ListParagraph"/>
                    <w:numPr>
                      <w:ilvl w:val="0"/>
                      <w:numId w:val="28"/>
                    </w:numPr>
                    <w:ind w:left="169" w:hanging="218"/>
                    <w:contextualSpacing w:val="0"/>
                    <w:rPr>
                      <w:rFonts w:cstheme="minorHAnsi"/>
                      <w:lang w:val="en-US"/>
                    </w:rPr>
                  </w:pPr>
                  <w:r w:rsidRPr="003A1EAD">
                    <w:rPr>
                      <w:rFonts w:cstheme="minorHAnsi"/>
                      <w:lang w:val="en-US"/>
                    </w:rPr>
                    <w:t>Symptoms of illnesses</w:t>
                  </w:r>
                </w:p>
              </w:tc>
              <w:tc>
                <w:tcPr>
                  <w:tcW w:w="3260" w:type="dxa"/>
                </w:tcPr>
                <w:p w14:paraId="4527E308" w14:textId="01981A94" w:rsidR="002432BA" w:rsidRPr="003A1EAD" w:rsidRDefault="0096309B" w:rsidP="002432BA">
                  <w:pPr>
                    <w:rPr>
                      <w:rFonts w:cstheme="minorHAnsi"/>
                      <w:lang w:val="en-US"/>
                    </w:rPr>
                  </w:pPr>
                  <w:r w:rsidRPr="003A1EAD">
                    <w:rPr>
                      <w:rFonts w:cstheme="minorHAnsi"/>
                      <w:lang w:val="en-US"/>
                    </w:rPr>
                    <w:t>Modified life history calendar methodology</w:t>
                  </w:r>
                </w:p>
              </w:tc>
            </w:tr>
            <w:tr w:rsidR="002432BA" w:rsidRPr="003A1EAD" w14:paraId="07830767" w14:textId="77777777" w:rsidTr="00F65036">
              <w:tc>
                <w:tcPr>
                  <w:tcW w:w="1592" w:type="dxa"/>
                  <w:vMerge/>
                </w:tcPr>
                <w:p w14:paraId="1F84189D" w14:textId="77777777" w:rsidR="002432BA" w:rsidRPr="003A1EAD" w:rsidRDefault="002432BA" w:rsidP="002432BA">
                  <w:pPr>
                    <w:rPr>
                      <w:rFonts w:cstheme="minorHAnsi"/>
                      <w:lang w:val="en-US"/>
                    </w:rPr>
                  </w:pPr>
                </w:p>
              </w:tc>
              <w:tc>
                <w:tcPr>
                  <w:tcW w:w="5528" w:type="dxa"/>
                </w:tcPr>
                <w:p w14:paraId="29B10ED6" w14:textId="77777777" w:rsidR="002432BA" w:rsidRPr="003A1EAD" w:rsidRDefault="002432BA" w:rsidP="002432BA">
                  <w:pPr>
                    <w:pStyle w:val="ListParagraph"/>
                    <w:numPr>
                      <w:ilvl w:val="0"/>
                      <w:numId w:val="28"/>
                    </w:numPr>
                    <w:ind w:left="169" w:hanging="218"/>
                    <w:contextualSpacing w:val="0"/>
                    <w:rPr>
                      <w:rFonts w:cstheme="minorHAnsi"/>
                      <w:lang w:val="en-US"/>
                    </w:rPr>
                  </w:pPr>
                  <w:r w:rsidRPr="003A1EAD">
                    <w:rPr>
                      <w:rFonts w:cstheme="minorHAnsi"/>
                      <w:lang w:val="en-US"/>
                    </w:rPr>
                    <w:t>Maternal leukocyte telomere length</w:t>
                  </w:r>
                </w:p>
              </w:tc>
              <w:tc>
                <w:tcPr>
                  <w:tcW w:w="3260" w:type="dxa"/>
                </w:tcPr>
                <w:p w14:paraId="0892EC61" w14:textId="77777777" w:rsidR="002432BA" w:rsidRPr="003A1EAD" w:rsidRDefault="002432BA" w:rsidP="002432BA">
                  <w:pPr>
                    <w:rPr>
                      <w:rFonts w:cstheme="minorHAnsi"/>
                      <w:lang w:val="en-US"/>
                    </w:rPr>
                  </w:pPr>
                  <w:r w:rsidRPr="003A1EAD">
                    <w:rPr>
                      <w:rFonts w:cstheme="minorHAnsi"/>
                      <w:lang w:val="en-US"/>
                    </w:rPr>
                    <w:t>qPCR</w:t>
                  </w:r>
                </w:p>
              </w:tc>
            </w:tr>
            <w:tr w:rsidR="002432BA" w:rsidRPr="00B13EA5" w14:paraId="18A82065" w14:textId="77777777" w:rsidTr="00F65036">
              <w:tc>
                <w:tcPr>
                  <w:tcW w:w="1592" w:type="dxa"/>
                </w:tcPr>
                <w:p w14:paraId="48BFBCCE" w14:textId="77777777" w:rsidR="002432BA" w:rsidRPr="003A1EAD" w:rsidRDefault="002432BA" w:rsidP="002432BA">
                  <w:pPr>
                    <w:rPr>
                      <w:rFonts w:cstheme="minorHAnsi"/>
                      <w:lang w:val="en-US"/>
                    </w:rPr>
                  </w:pPr>
                  <w:r w:rsidRPr="003A1EAD">
                    <w:rPr>
                      <w:rFonts w:cstheme="minorHAnsi"/>
                      <w:lang w:val="en-US"/>
                    </w:rPr>
                    <w:lastRenderedPageBreak/>
                    <w:t>Behavioral</w:t>
                  </w:r>
                </w:p>
              </w:tc>
              <w:tc>
                <w:tcPr>
                  <w:tcW w:w="5528" w:type="dxa"/>
                </w:tcPr>
                <w:p w14:paraId="7EBB0220" w14:textId="77777777" w:rsidR="002432BA" w:rsidRPr="003A1EAD" w:rsidRDefault="002432BA" w:rsidP="002432BA">
                  <w:pPr>
                    <w:pStyle w:val="ListParagraph"/>
                    <w:numPr>
                      <w:ilvl w:val="0"/>
                      <w:numId w:val="28"/>
                    </w:numPr>
                    <w:ind w:left="169" w:hanging="218"/>
                    <w:contextualSpacing w:val="0"/>
                    <w:rPr>
                      <w:rFonts w:cstheme="minorHAnsi"/>
                      <w:lang w:val="en-US"/>
                    </w:rPr>
                  </w:pPr>
                  <w:r w:rsidRPr="003A1EAD">
                    <w:rPr>
                      <w:rFonts w:cstheme="minorHAnsi"/>
                      <w:lang w:val="en-US"/>
                    </w:rPr>
                    <w:t>Maternal smoking during pregnancy</w:t>
                  </w:r>
                </w:p>
                <w:p w14:paraId="674D76EA" w14:textId="77777777" w:rsidR="002432BA" w:rsidRPr="003A1EAD" w:rsidRDefault="002432BA" w:rsidP="002432BA">
                  <w:pPr>
                    <w:pStyle w:val="ListParagraph"/>
                    <w:numPr>
                      <w:ilvl w:val="0"/>
                      <w:numId w:val="28"/>
                    </w:numPr>
                    <w:ind w:left="169" w:hanging="218"/>
                    <w:contextualSpacing w:val="0"/>
                    <w:rPr>
                      <w:rFonts w:cstheme="minorHAnsi"/>
                      <w:lang w:val="en-US"/>
                    </w:rPr>
                  </w:pPr>
                  <w:r w:rsidRPr="003A1EAD">
                    <w:rPr>
                      <w:rFonts w:cstheme="minorHAnsi"/>
                      <w:lang w:val="en-US"/>
                    </w:rPr>
                    <w:t>Maternal alcohol consumption during pregnancy</w:t>
                  </w:r>
                </w:p>
                <w:p w14:paraId="21D7E16D" w14:textId="77777777" w:rsidR="002432BA" w:rsidRPr="003A1EAD" w:rsidRDefault="002432BA" w:rsidP="002432BA">
                  <w:pPr>
                    <w:pStyle w:val="ListParagraph"/>
                    <w:numPr>
                      <w:ilvl w:val="0"/>
                      <w:numId w:val="28"/>
                    </w:numPr>
                    <w:ind w:left="169" w:hanging="218"/>
                    <w:contextualSpacing w:val="0"/>
                    <w:rPr>
                      <w:rFonts w:cstheme="minorHAnsi"/>
                      <w:lang w:val="en-US"/>
                    </w:rPr>
                  </w:pPr>
                  <w:r w:rsidRPr="003A1EAD">
                    <w:rPr>
                      <w:rFonts w:cstheme="minorHAnsi"/>
                      <w:lang w:val="en-US"/>
                    </w:rPr>
                    <w:t>Maternal physical activities during pregnancy</w:t>
                  </w:r>
                </w:p>
              </w:tc>
              <w:tc>
                <w:tcPr>
                  <w:tcW w:w="3260" w:type="dxa"/>
                  <w:vMerge w:val="restart"/>
                </w:tcPr>
                <w:p w14:paraId="71EFD415" w14:textId="12AD8098" w:rsidR="002432BA" w:rsidRPr="003A1EAD" w:rsidRDefault="002432BA" w:rsidP="002432BA">
                  <w:pPr>
                    <w:rPr>
                      <w:rFonts w:cstheme="minorHAnsi"/>
                      <w:lang w:val="en-US"/>
                    </w:rPr>
                  </w:pPr>
                  <w:r w:rsidRPr="003A1EAD">
                    <w:rPr>
                      <w:rFonts w:cstheme="minorHAnsi"/>
                      <w:lang w:val="en-US"/>
                    </w:rPr>
                    <w:t>Modified life history calendar methodology</w:t>
                  </w:r>
                </w:p>
              </w:tc>
            </w:tr>
            <w:tr w:rsidR="002432BA" w:rsidRPr="00B13EA5" w14:paraId="17D7E44D" w14:textId="77777777" w:rsidTr="00F65036">
              <w:tc>
                <w:tcPr>
                  <w:tcW w:w="1592" w:type="dxa"/>
                </w:tcPr>
                <w:p w14:paraId="04EF726D" w14:textId="77777777" w:rsidR="002432BA" w:rsidRPr="003A1EAD" w:rsidRDefault="002432BA" w:rsidP="002432BA">
                  <w:pPr>
                    <w:rPr>
                      <w:rFonts w:cstheme="minorHAnsi"/>
                      <w:lang w:val="en-US"/>
                    </w:rPr>
                  </w:pPr>
                  <w:r w:rsidRPr="003A1EAD">
                    <w:rPr>
                      <w:rFonts w:cstheme="minorHAnsi"/>
                      <w:lang w:val="en-US"/>
                    </w:rPr>
                    <w:t>Psychological</w:t>
                  </w:r>
                </w:p>
              </w:tc>
              <w:tc>
                <w:tcPr>
                  <w:tcW w:w="5528" w:type="dxa"/>
                </w:tcPr>
                <w:p w14:paraId="710567C2" w14:textId="77777777" w:rsidR="002432BA" w:rsidRPr="003A1EAD" w:rsidRDefault="002432BA" w:rsidP="002432BA">
                  <w:pPr>
                    <w:pStyle w:val="ListParagraph"/>
                    <w:numPr>
                      <w:ilvl w:val="0"/>
                      <w:numId w:val="28"/>
                    </w:numPr>
                    <w:ind w:left="169" w:hanging="218"/>
                    <w:contextualSpacing w:val="0"/>
                    <w:rPr>
                      <w:rFonts w:cstheme="minorHAnsi"/>
                      <w:lang w:val="en-US"/>
                    </w:rPr>
                  </w:pPr>
                  <w:r w:rsidRPr="003A1EAD">
                    <w:rPr>
                      <w:rFonts w:cstheme="minorHAnsi"/>
                      <w:lang w:val="en-US"/>
                    </w:rPr>
                    <w:t>Maternal stress during pregnancy</w:t>
                  </w:r>
                </w:p>
                <w:p w14:paraId="776A6519" w14:textId="77777777" w:rsidR="002432BA" w:rsidRPr="003A1EAD" w:rsidRDefault="002432BA" w:rsidP="002432BA">
                  <w:pPr>
                    <w:pStyle w:val="ListParagraph"/>
                    <w:numPr>
                      <w:ilvl w:val="0"/>
                      <w:numId w:val="28"/>
                    </w:numPr>
                    <w:ind w:left="169" w:hanging="218"/>
                    <w:contextualSpacing w:val="0"/>
                    <w:rPr>
                      <w:rFonts w:cstheme="minorHAnsi"/>
                      <w:lang w:val="en-US"/>
                    </w:rPr>
                  </w:pPr>
                  <w:r w:rsidRPr="003A1EAD">
                    <w:rPr>
                      <w:rFonts w:cstheme="minorHAnsi"/>
                      <w:lang w:val="en-US"/>
                    </w:rPr>
                    <w:t>Maternal anxiety and depression during pregnancy</w:t>
                  </w:r>
                </w:p>
              </w:tc>
              <w:tc>
                <w:tcPr>
                  <w:tcW w:w="3260" w:type="dxa"/>
                  <w:vMerge/>
                </w:tcPr>
                <w:p w14:paraId="47B57860" w14:textId="77777777" w:rsidR="002432BA" w:rsidRPr="003A1EAD" w:rsidRDefault="002432BA" w:rsidP="002432BA">
                  <w:pPr>
                    <w:rPr>
                      <w:rFonts w:cstheme="minorHAnsi"/>
                      <w:lang w:val="en-US"/>
                    </w:rPr>
                  </w:pPr>
                </w:p>
              </w:tc>
            </w:tr>
            <w:tr w:rsidR="002432BA" w:rsidRPr="003A1EAD" w14:paraId="34AAACA2" w14:textId="77777777" w:rsidTr="00F65036">
              <w:tc>
                <w:tcPr>
                  <w:tcW w:w="1592" w:type="dxa"/>
                </w:tcPr>
                <w:p w14:paraId="505E2740" w14:textId="77777777" w:rsidR="002432BA" w:rsidRPr="003A1EAD" w:rsidRDefault="002432BA" w:rsidP="002432BA">
                  <w:pPr>
                    <w:rPr>
                      <w:rFonts w:cstheme="minorHAnsi"/>
                      <w:lang w:val="en-US"/>
                    </w:rPr>
                  </w:pPr>
                  <w:r w:rsidRPr="003A1EAD">
                    <w:rPr>
                      <w:rFonts w:cstheme="minorHAnsi"/>
                      <w:lang w:val="en-US"/>
                    </w:rPr>
                    <w:t>Social</w:t>
                  </w:r>
                </w:p>
              </w:tc>
              <w:tc>
                <w:tcPr>
                  <w:tcW w:w="5528" w:type="dxa"/>
                </w:tcPr>
                <w:p w14:paraId="4714B4D1" w14:textId="77777777" w:rsidR="002432BA" w:rsidRPr="003A1EAD" w:rsidRDefault="002432BA" w:rsidP="002432BA">
                  <w:pPr>
                    <w:pStyle w:val="ListParagraph"/>
                    <w:numPr>
                      <w:ilvl w:val="0"/>
                      <w:numId w:val="28"/>
                    </w:numPr>
                    <w:ind w:left="169" w:hanging="218"/>
                    <w:contextualSpacing w:val="0"/>
                    <w:rPr>
                      <w:rFonts w:cstheme="minorHAnsi"/>
                      <w:lang w:val="en-US"/>
                    </w:rPr>
                  </w:pPr>
                  <w:r w:rsidRPr="003A1EAD">
                    <w:rPr>
                      <w:rFonts w:cstheme="minorHAnsi"/>
                      <w:lang w:val="en-US"/>
                    </w:rPr>
                    <w:t>Educational status of mother</w:t>
                  </w:r>
                </w:p>
                <w:p w14:paraId="0069855B" w14:textId="77777777" w:rsidR="002432BA" w:rsidRPr="003A1EAD" w:rsidRDefault="002432BA" w:rsidP="002432BA">
                  <w:pPr>
                    <w:pStyle w:val="ListParagraph"/>
                    <w:numPr>
                      <w:ilvl w:val="0"/>
                      <w:numId w:val="28"/>
                    </w:numPr>
                    <w:ind w:left="169" w:hanging="218"/>
                    <w:contextualSpacing w:val="0"/>
                    <w:rPr>
                      <w:rFonts w:cstheme="minorHAnsi"/>
                      <w:lang w:val="en-US"/>
                    </w:rPr>
                  </w:pPr>
                  <w:r w:rsidRPr="003A1EAD">
                    <w:rPr>
                      <w:rFonts w:cstheme="minorHAnsi"/>
                      <w:lang w:val="en-US"/>
                    </w:rPr>
                    <w:t>Family composition</w:t>
                  </w:r>
                </w:p>
                <w:p w14:paraId="6B2D95D9" w14:textId="77777777" w:rsidR="002432BA" w:rsidRPr="003A1EAD" w:rsidRDefault="002432BA" w:rsidP="002432BA">
                  <w:pPr>
                    <w:pStyle w:val="ListParagraph"/>
                    <w:numPr>
                      <w:ilvl w:val="0"/>
                      <w:numId w:val="28"/>
                    </w:numPr>
                    <w:ind w:left="169" w:hanging="218"/>
                    <w:contextualSpacing w:val="0"/>
                    <w:rPr>
                      <w:rFonts w:cstheme="minorHAnsi"/>
                      <w:lang w:val="en-US"/>
                    </w:rPr>
                  </w:pPr>
                  <w:r w:rsidRPr="003A1EAD">
                    <w:rPr>
                      <w:rFonts w:cstheme="minorHAnsi"/>
                      <w:lang w:val="en-US"/>
                    </w:rPr>
                    <w:t>Neighborhood income</w:t>
                  </w:r>
                </w:p>
              </w:tc>
              <w:tc>
                <w:tcPr>
                  <w:tcW w:w="3260" w:type="dxa"/>
                  <w:vMerge/>
                </w:tcPr>
                <w:p w14:paraId="4EDAA2F7" w14:textId="77777777" w:rsidR="002432BA" w:rsidRPr="003A1EAD" w:rsidRDefault="002432BA" w:rsidP="002432BA">
                  <w:pPr>
                    <w:rPr>
                      <w:rFonts w:cstheme="minorHAnsi"/>
                      <w:lang w:val="en-US"/>
                    </w:rPr>
                  </w:pPr>
                </w:p>
              </w:tc>
            </w:tr>
          </w:tbl>
          <w:p w14:paraId="15B861AF" w14:textId="77777777" w:rsidR="0098218E" w:rsidRPr="0098218E" w:rsidRDefault="0098218E" w:rsidP="6320600B">
            <w:pPr>
              <w:rPr>
                <w:bCs/>
                <w:lang w:val="en-US"/>
              </w:rPr>
            </w:pPr>
          </w:p>
          <w:p w14:paraId="316EA753" w14:textId="68C62A32" w:rsidR="0067278B" w:rsidRPr="003A1EAD" w:rsidRDefault="0067278B" w:rsidP="0067278B">
            <w:pPr>
              <w:jc w:val="both"/>
              <w:rPr>
                <w:rFonts w:cstheme="minorHAnsi"/>
                <w:b/>
                <w:lang w:val="en-US"/>
              </w:rPr>
            </w:pPr>
            <w:r w:rsidRPr="003A1EAD">
              <w:rPr>
                <w:rFonts w:cstheme="minorHAnsi"/>
                <w:b/>
                <w:lang w:val="en-US"/>
              </w:rPr>
              <w:t>STUDY 2: (YOUNG) ADULTS WITH CHD</w:t>
            </w:r>
          </w:p>
          <w:p w14:paraId="7D15E52E" w14:textId="77777777" w:rsidR="0067278B" w:rsidRPr="003A1EAD" w:rsidRDefault="0067278B" w:rsidP="0067278B">
            <w:pPr>
              <w:jc w:val="both"/>
              <w:rPr>
                <w:rFonts w:cstheme="minorHAnsi"/>
                <w:lang w:val="en-US"/>
              </w:rPr>
            </w:pPr>
            <w:r w:rsidRPr="003A1EAD">
              <w:rPr>
                <w:rFonts w:cstheme="minorHAnsi"/>
                <w:b/>
                <w:u w:val="single"/>
                <w:lang w:val="en-US"/>
              </w:rPr>
              <w:t>Aims:</w:t>
            </w:r>
            <w:r w:rsidRPr="003A1EAD">
              <w:rPr>
                <w:rFonts w:cstheme="minorHAnsi"/>
                <w:lang w:val="en-US"/>
              </w:rPr>
              <w:t xml:space="preserve"> To (</w:t>
            </w:r>
            <w:proofErr w:type="spellStart"/>
            <w:r w:rsidRPr="003A1EAD">
              <w:rPr>
                <w:rFonts w:cstheme="minorHAnsi"/>
                <w:lang w:val="en-US"/>
              </w:rPr>
              <w:t>i</w:t>
            </w:r>
            <w:proofErr w:type="spellEnd"/>
            <w:r w:rsidRPr="003A1EAD">
              <w:rPr>
                <w:rFonts w:cstheme="minorHAnsi"/>
                <w:lang w:val="en-US"/>
              </w:rPr>
              <w:t>) compare telomere length in age strata of (young) adults with or without CHD; (ii) to assess clinical, behavioral, psychological, and social predictors of telomere length in patients with CHD; and (iii) to explore the relationship with functional outcomes, such as frailty and cognition.</w:t>
            </w:r>
          </w:p>
          <w:p w14:paraId="0C7839A7" w14:textId="154DB0B6" w:rsidR="0067278B" w:rsidRPr="003A1EAD" w:rsidRDefault="0067278B" w:rsidP="0067278B">
            <w:pPr>
              <w:jc w:val="both"/>
              <w:rPr>
                <w:rFonts w:cstheme="minorHAnsi"/>
                <w:highlight w:val="yellow"/>
                <w:lang w:val="en-US"/>
              </w:rPr>
            </w:pPr>
            <w:r w:rsidRPr="003A1EAD">
              <w:rPr>
                <w:rFonts w:cstheme="minorHAnsi"/>
                <w:b/>
                <w:u w:val="single"/>
                <w:lang w:val="en-US"/>
              </w:rPr>
              <w:t>Subjects:</w:t>
            </w:r>
            <w:r w:rsidRPr="003A1EAD">
              <w:rPr>
                <w:rFonts w:cstheme="minorHAnsi"/>
                <w:b/>
                <w:lang w:val="en-US"/>
              </w:rPr>
              <w:t xml:space="preserve"> </w:t>
            </w:r>
            <w:r w:rsidRPr="003A1EAD">
              <w:rPr>
                <w:rFonts w:cstheme="minorHAnsi"/>
                <w:lang w:val="en-US"/>
              </w:rPr>
              <w:t>An age-stratified random sample of (young) adults with CHD, followed-up at the University Hospitals of Leuven and Ghent University Hospital. Age strata for this study are: 18-24y; 25-34y; 35-44y; 45-54y; 55+. Data on healthy individuals will be retrieved from the blood donation service of the Belgian Red Cross-Flanders.</w:t>
            </w:r>
          </w:p>
          <w:p w14:paraId="7B486B18" w14:textId="77777777" w:rsidR="0067278B" w:rsidRPr="003A1EAD" w:rsidRDefault="0067278B" w:rsidP="0067278B">
            <w:pPr>
              <w:jc w:val="both"/>
              <w:rPr>
                <w:rFonts w:cstheme="minorHAnsi"/>
                <w:b/>
                <w:u w:val="single"/>
                <w:lang w:val="en-US"/>
              </w:rPr>
            </w:pPr>
            <w:r w:rsidRPr="003A1EAD">
              <w:rPr>
                <w:rFonts w:cstheme="minorHAnsi"/>
                <w:b/>
                <w:u w:val="single"/>
                <w:lang w:val="en-US"/>
              </w:rPr>
              <w:t xml:space="preserve">Variables and measurements: </w:t>
            </w:r>
          </w:p>
          <w:p w14:paraId="24417719" w14:textId="77777777" w:rsidR="0067278B" w:rsidRPr="003A1EAD" w:rsidRDefault="0067278B" w:rsidP="0067278B">
            <w:pPr>
              <w:jc w:val="both"/>
              <w:rPr>
                <w:rFonts w:cstheme="minorHAnsi"/>
                <w:lang w:val="en-US"/>
              </w:rPr>
            </w:pPr>
            <w:r w:rsidRPr="003A1EAD">
              <w:rPr>
                <w:rFonts w:cstheme="minorHAnsi"/>
                <w:b/>
                <w:i/>
                <w:lang w:val="en-US"/>
              </w:rPr>
              <w:t>Biomarker:</w:t>
            </w:r>
            <w:r w:rsidRPr="003A1EAD">
              <w:rPr>
                <w:rFonts w:cstheme="minorHAnsi"/>
                <w:lang w:val="en-US"/>
              </w:rPr>
              <w:t xml:space="preserve"> Telomere length will be determined on leukocyte DNA of peripheral blood, using quantitative polymerase chain reaction (qPCR). Telomere length will be expressed as the ratio of telomere copy number to single-copy gene number (T/S ratio). The procedure is identical to study1.</w:t>
            </w:r>
          </w:p>
          <w:p w14:paraId="7E82CBD3" w14:textId="77777777" w:rsidR="0067278B" w:rsidRPr="003A1EAD" w:rsidRDefault="0067278B" w:rsidP="0067278B">
            <w:pPr>
              <w:jc w:val="both"/>
              <w:rPr>
                <w:rFonts w:cstheme="minorHAnsi"/>
                <w:lang w:val="en-US"/>
              </w:rPr>
            </w:pPr>
            <w:r w:rsidRPr="003A1EAD">
              <w:rPr>
                <w:rFonts w:cstheme="minorHAnsi"/>
                <w:b/>
                <w:i/>
                <w:lang w:val="en-US"/>
              </w:rPr>
              <w:t xml:space="preserve">Predictors: </w:t>
            </w:r>
            <w:r w:rsidRPr="003A1EAD">
              <w:rPr>
                <w:rFonts w:cstheme="minorHAnsi"/>
                <w:lang w:val="en-US"/>
              </w:rPr>
              <w:t>The following variables are measured as predictors.</w:t>
            </w:r>
          </w:p>
          <w:tbl>
            <w:tblPr>
              <w:tblStyle w:val="TableGrid"/>
              <w:tblW w:w="0" w:type="auto"/>
              <w:tblLayout w:type="fixed"/>
              <w:tblLook w:val="04A0" w:firstRow="1" w:lastRow="0" w:firstColumn="1" w:lastColumn="0" w:noHBand="0" w:noVBand="1"/>
            </w:tblPr>
            <w:tblGrid>
              <w:gridCol w:w="1592"/>
              <w:gridCol w:w="5528"/>
              <w:gridCol w:w="3260"/>
            </w:tblGrid>
            <w:tr w:rsidR="0067278B" w:rsidRPr="003A1EAD" w14:paraId="309C1E3F" w14:textId="77777777" w:rsidTr="00F65036">
              <w:tc>
                <w:tcPr>
                  <w:tcW w:w="1592" w:type="dxa"/>
                </w:tcPr>
                <w:p w14:paraId="7AD2645F" w14:textId="77777777" w:rsidR="0067278B" w:rsidRPr="003A1EAD" w:rsidRDefault="0067278B" w:rsidP="0067278B">
                  <w:pPr>
                    <w:rPr>
                      <w:rFonts w:cstheme="minorHAnsi"/>
                      <w:i/>
                      <w:lang w:val="en-US"/>
                    </w:rPr>
                  </w:pPr>
                  <w:r w:rsidRPr="003A1EAD">
                    <w:rPr>
                      <w:rFonts w:cstheme="minorHAnsi"/>
                      <w:i/>
                      <w:lang w:val="en-US"/>
                    </w:rPr>
                    <w:t>Factors</w:t>
                  </w:r>
                </w:p>
              </w:tc>
              <w:tc>
                <w:tcPr>
                  <w:tcW w:w="5528" w:type="dxa"/>
                </w:tcPr>
                <w:p w14:paraId="74618120" w14:textId="77777777" w:rsidR="0067278B" w:rsidRPr="003A1EAD" w:rsidRDefault="0067278B" w:rsidP="0067278B">
                  <w:pPr>
                    <w:rPr>
                      <w:rFonts w:cstheme="minorHAnsi"/>
                      <w:i/>
                      <w:lang w:val="en-US"/>
                    </w:rPr>
                  </w:pPr>
                  <w:r w:rsidRPr="003A1EAD">
                    <w:rPr>
                      <w:rFonts w:cstheme="minorHAnsi"/>
                      <w:i/>
                      <w:lang w:val="en-US"/>
                    </w:rPr>
                    <w:t>Variables</w:t>
                  </w:r>
                </w:p>
              </w:tc>
              <w:tc>
                <w:tcPr>
                  <w:tcW w:w="3260" w:type="dxa"/>
                </w:tcPr>
                <w:p w14:paraId="5BA3A920" w14:textId="77777777" w:rsidR="0067278B" w:rsidRPr="003A1EAD" w:rsidRDefault="0067278B" w:rsidP="0067278B">
                  <w:pPr>
                    <w:rPr>
                      <w:rFonts w:cstheme="minorHAnsi"/>
                      <w:i/>
                      <w:lang w:val="en-US"/>
                    </w:rPr>
                  </w:pPr>
                  <w:r w:rsidRPr="003A1EAD">
                    <w:rPr>
                      <w:rFonts w:cstheme="minorHAnsi"/>
                      <w:i/>
                      <w:lang w:val="en-US"/>
                    </w:rPr>
                    <w:t>Measurement/source</w:t>
                  </w:r>
                </w:p>
              </w:tc>
            </w:tr>
            <w:tr w:rsidR="0067278B" w:rsidRPr="003A1EAD" w14:paraId="51A2B671" w14:textId="77777777" w:rsidTr="00F65036">
              <w:tc>
                <w:tcPr>
                  <w:tcW w:w="1592" w:type="dxa"/>
                </w:tcPr>
                <w:p w14:paraId="704126C2" w14:textId="77777777" w:rsidR="0067278B" w:rsidRPr="003A1EAD" w:rsidRDefault="0067278B" w:rsidP="0067278B">
                  <w:pPr>
                    <w:rPr>
                      <w:rFonts w:cstheme="minorHAnsi"/>
                      <w:lang w:val="en-US"/>
                    </w:rPr>
                  </w:pPr>
                  <w:r w:rsidRPr="003A1EAD">
                    <w:rPr>
                      <w:rFonts w:cstheme="minorHAnsi"/>
                      <w:lang w:val="en-US"/>
                    </w:rPr>
                    <w:t>Clinical</w:t>
                  </w:r>
                </w:p>
              </w:tc>
              <w:tc>
                <w:tcPr>
                  <w:tcW w:w="5528" w:type="dxa"/>
                </w:tcPr>
                <w:p w14:paraId="0E78D272" w14:textId="77777777" w:rsidR="0067278B" w:rsidRPr="003A1EAD" w:rsidRDefault="0067278B" w:rsidP="0067278B">
                  <w:pPr>
                    <w:pStyle w:val="ListParagraph"/>
                    <w:numPr>
                      <w:ilvl w:val="0"/>
                      <w:numId w:val="28"/>
                    </w:numPr>
                    <w:ind w:left="169" w:hanging="218"/>
                    <w:contextualSpacing w:val="0"/>
                    <w:rPr>
                      <w:rFonts w:cstheme="minorHAnsi"/>
                      <w:lang w:val="en-US"/>
                    </w:rPr>
                  </w:pPr>
                  <w:r w:rsidRPr="003A1EAD">
                    <w:rPr>
                      <w:rFonts w:cstheme="minorHAnsi"/>
                      <w:lang w:val="en-US"/>
                    </w:rPr>
                    <w:t>Type of heart defect</w:t>
                  </w:r>
                </w:p>
                <w:p w14:paraId="4C2E1D87" w14:textId="77777777" w:rsidR="0067278B" w:rsidRDefault="0067278B" w:rsidP="0067278B">
                  <w:pPr>
                    <w:pStyle w:val="ListParagraph"/>
                    <w:numPr>
                      <w:ilvl w:val="0"/>
                      <w:numId w:val="28"/>
                    </w:numPr>
                    <w:ind w:left="169" w:hanging="218"/>
                    <w:contextualSpacing w:val="0"/>
                    <w:rPr>
                      <w:rFonts w:cstheme="minorHAnsi"/>
                      <w:lang w:val="en-US"/>
                    </w:rPr>
                  </w:pPr>
                  <w:r w:rsidRPr="003A1EAD">
                    <w:rPr>
                      <w:rFonts w:cstheme="minorHAnsi"/>
                      <w:lang w:val="en-US"/>
                    </w:rPr>
                    <w:t>Past and current treatments</w:t>
                  </w:r>
                </w:p>
                <w:p w14:paraId="202FB423" w14:textId="77777777" w:rsidR="0067278B" w:rsidRDefault="0067278B" w:rsidP="0067278B">
                  <w:pPr>
                    <w:pStyle w:val="ListParagraph"/>
                    <w:numPr>
                      <w:ilvl w:val="0"/>
                      <w:numId w:val="28"/>
                    </w:numPr>
                    <w:ind w:left="169" w:hanging="218"/>
                    <w:contextualSpacing w:val="0"/>
                    <w:rPr>
                      <w:rFonts w:cstheme="minorHAnsi"/>
                      <w:lang w:val="en-US"/>
                    </w:rPr>
                  </w:pPr>
                  <w:r>
                    <w:rPr>
                      <w:rFonts w:cstheme="minorHAnsi"/>
                      <w:lang w:val="en-US"/>
                    </w:rPr>
                    <w:t>Arterial hypertension</w:t>
                  </w:r>
                </w:p>
                <w:p w14:paraId="611E725D" w14:textId="77777777" w:rsidR="0067278B" w:rsidRPr="003A1EAD" w:rsidRDefault="0067278B" w:rsidP="0067278B">
                  <w:pPr>
                    <w:pStyle w:val="ListParagraph"/>
                    <w:numPr>
                      <w:ilvl w:val="0"/>
                      <w:numId w:val="28"/>
                    </w:numPr>
                    <w:ind w:left="169" w:hanging="218"/>
                    <w:contextualSpacing w:val="0"/>
                    <w:rPr>
                      <w:rFonts w:cstheme="minorHAnsi"/>
                      <w:lang w:val="en-US"/>
                    </w:rPr>
                  </w:pPr>
                  <w:r>
                    <w:rPr>
                      <w:rFonts w:cstheme="minorHAnsi"/>
                      <w:lang w:val="en-US"/>
                    </w:rPr>
                    <w:t>Body Mass Index</w:t>
                  </w:r>
                </w:p>
                <w:p w14:paraId="681636D8" w14:textId="77777777" w:rsidR="0067278B" w:rsidRPr="003A1EAD" w:rsidRDefault="0067278B" w:rsidP="0067278B">
                  <w:pPr>
                    <w:pStyle w:val="ListParagraph"/>
                    <w:numPr>
                      <w:ilvl w:val="0"/>
                      <w:numId w:val="28"/>
                    </w:numPr>
                    <w:ind w:left="169" w:hanging="218"/>
                    <w:contextualSpacing w:val="0"/>
                    <w:rPr>
                      <w:rFonts w:cstheme="minorHAnsi"/>
                      <w:lang w:val="en-US"/>
                    </w:rPr>
                  </w:pPr>
                  <w:r w:rsidRPr="003A1EAD">
                    <w:rPr>
                      <w:rFonts w:cstheme="minorHAnsi"/>
                      <w:lang w:val="en-US"/>
                    </w:rPr>
                    <w:t>Cumulative dose of low-ionizing radiation</w:t>
                  </w:r>
                </w:p>
                <w:p w14:paraId="3742ED3D" w14:textId="06F37420" w:rsidR="0067278B" w:rsidRPr="003A1EAD" w:rsidRDefault="0067278B" w:rsidP="0067278B">
                  <w:pPr>
                    <w:pStyle w:val="ListParagraph"/>
                    <w:numPr>
                      <w:ilvl w:val="0"/>
                      <w:numId w:val="28"/>
                    </w:numPr>
                    <w:ind w:left="169" w:hanging="218"/>
                    <w:contextualSpacing w:val="0"/>
                    <w:rPr>
                      <w:rFonts w:cstheme="minorHAnsi"/>
                      <w:lang w:val="en-US"/>
                    </w:rPr>
                  </w:pPr>
                  <w:r w:rsidRPr="003A1EAD">
                    <w:rPr>
                      <w:rFonts w:cstheme="minorHAnsi"/>
                      <w:lang w:val="en-US"/>
                    </w:rPr>
                    <w:t>Co-morbidities (</w:t>
                  </w:r>
                  <w:proofErr w:type="spellStart"/>
                  <w:r w:rsidRPr="003A1EAD">
                    <w:rPr>
                      <w:rFonts w:cstheme="minorHAnsi"/>
                      <w:lang w:val="en-US"/>
                    </w:rPr>
                    <w:t>Charlson</w:t>
                  </w:r>
                  <w:proofErr w:type="spellEnd"/>
                  <w:r w:rsidRPr="003A1EAD">
                    <w:rPr>
                      <w:rFonts w:cstheme="minorHAnsi"/>
                      <w:lang w:val="en-US"/>
                    </w:rPr>
                    <w:t xml:space="preserve"> comorbidity index)</w:t>
                  </w:r>
                  <w:r w:rsidR="009367D2" w:rsidRPr="003A1EAD">
                    <w:rPr>
                      <w:rFonts w:cstheme="minorHAnsi"/>
                      <w:lang w:val="en-US"/>
                    </w:rPr>
                    <w:t xml:space="preserve"> </w:t>
                  </w:r>
                </w:p>
              </w:tc>
              <w:tc>
                <w:tcPr>
                  <w:tcW w:w="3260" w:type="dxa"/>
                </w:tcPr>
                <w:p w14:paraId="1D93FECD" w14:textId="77777777" w:rsidR="0067278B" w:rsidRPr="003A1EAD" w:rsidRDefault="0067278B" w:rsidP="0067278B">
                  <w:pPr>
                    <w:rPr>
                      <w:rFonts w:cstheme="minorHAnsi"/>
                      <w:lang w:val="en-US"/>
                    </w:rPr>
                  </w:pPr>
                  <w:r w:rsidRPr="003A1EAD">
                    <w:rPr>
                      <w:rFonts w:cstheme="minorHAnsi"/>
                      <w:lang w:val="en-US"/>
                    </w:rPr>
                    <w:t>Medical patient records</w:t>
                  </w:r>
                </w:p>
              </w:tc>
            </w:tr>
            <w:tr w:rsidR="00F65036" w:rsidRPr="00B13EA5" w14:paraId="0D968269" w14:textId="77777777" w:rsidTr="00F65036">
              <w:tc>
                <w:tcPr>
                  <w:tcW w:w="1592" w:type="dxa"/>
                </w:tcPr>
                <w:p w14:paraId="2F3C2BAF" w14:textId="77777777" w:rsidR="00F65036" w:rsidRPr="003A1EAD" w:rsidRDefault="00F65036" w:rsidP="0067278B">
                  <w:pPr>
                    <w:rPr>
                      <w:rFonts w:cstheme="minorHAnsi"/>
                      <w:lang w:val="en-US"/>
                    </w:rPr>
                  </w:pPr>
                </w:p>
              </w:tc>
              <w:tc>
                <w:tcPr>
                  <w:tcW w:w="5528" w:type="dxa"/>
                </w:tcPr>
                <w:p w14:paraId="3264A321" w14:textId="28CF4674" w:rsidR="00F65036" w:rsidRPr="003A1EAD" w:rsidRDefault="00F65036" w:rsidP="0067278B">
                  <w:pPr>
                    <w:pStyle w:val="ListParagraph"/>
                    <w:numPr>
                      <w:ilvl w:val="0"/>
                      <w:numId w:val="28"/>
                    </w:numPr>
                    <w:ind w:left="169" w:hanging="218"/>
                    <w:contextualSpacing w:val="0"/>
                    <w:rPr>
                      <w:rFonts w:cstheme="minorHAnsi"/>
                      <w:lang w:val="en-US"/>
                    </w:rPr>
                  </w:pPr>
                  <w:r>
                    <w:rPr>
                      <w:rFonts w:cstheme="minorHAnsi"/>
                      <w:lang w:val="en-US"/>
                    </w:rPr>
                    <w:t>Retinal microvasculature</w:t>
                  </w:r>
                </w:p>
              </w:tc>
              <w:tc>
                <w:tcPr>
                  <w:tcW w:w="3260" w:type="dxa"/>
                </w:tcPr>
                <w:p w14:paraId="59D2F890" w14:textId="748B54AF" w:rsidR="00F65036" w:rsidRPr="003A1EAD" w:rsidRDefault="00F65036" w:rsidP="0067278B">
                  <w:pPr>
                    <w:rPr>
                      <w:rFonts w:cstheme="minorHAnsi"/>
                      <w:lang w:val="en-US"/>
                    </w:rPr>
                  </w:pPr>
                  <w:r>
                    <w:rPr>
                      <w:rFonts w:cstheme="minorHAnsi"/>
                      <w:lang w:val="en-US"/>
                    </w:rPr>
                    <w:t>Retinal imaging</w:t>
                  </w:r>
                </w:p>
              </w:tc>
            </w:tr>
            <w:tr w:rsidR="0067278B" w:rsidRPr="00B13EA5" w14:paraId="3D5F4ABA" w14:textId="77777777" w:rsidTr="00F65036">
              <w:tc>
                <w:tcPr>
                  <w:tcW w:w="1592" w:type="dxa"/>
                </w:tcPr>
                <w:p w14:paraId="6A3E0130" w14:textId="77777777" w:rsidR="0067278B" w:rsidRPr="003A1EAD" w:rsidRDefault="0067278B" w:rsidP="0067278B">
                  <w:pPr>
                    <w:rPr>
                      <w:rFonts w:cstheme="minorHAnsi"/>
                      <w:lang w:val="en-US"/>
                    </w:rPr>
                  </w:pPr>
                  <w:r w:rsidRPr="003A1EAD">
                    <w:rPr>
                      <w:rFonts w:cstheme="minorHAnsi"/>
                      <w:lang w:val="en-US"/>
                    </w:rPr>
                    <w:t>Behavioral</w:t>
                  </w:r>
                </w:p>
              </w:tc>
              <w:tc>
                <w:tcPr>
                  <w:tcW w:w="5528" w:type="dxa"/>
                </w:tcPr>
                <w:p w14:paraId="67C07D1B" w14:textId="77777777" w:rsidR="0067278B" w:rsidRPr="003A1EAD" w:rsidRDefault="0067278B" w:rsidP="0067278B">
                  <w:pPr>
                    <w:pStyle w:val="ListParagraph"/>
                    <w:numPr>
                      <w:ilvl w:val="0"/>
                      <w:numId w:val="28"/>
                    </w:numPr>
                    <w:ind w:left="169" w:hanging="218"/>
                    <w:contextualSpacing w:val="0"/>
                    <w:rPr>
                      <w:rFonts w:cstheme="minorHAnsi"/>
                      <w:lang w:val="en-US"/>
                    </w:rPr>
                  </w:pPr>
                  <w:r w:rsidRPr="003A1EAD">
                    <w:rPr>
                      <w:rFonts w:cstheme="minorHAnsi"/>
                      <w:lang w:val="en-US"/>
                    </w:rPr>
                    <w:t>Smoking history</w:t>
                  </w:r>
                </w:p>
                <w:p w14:paraId="5E8C5983" w14:textId="77777777" w:rsidR="0067278B" w:rsidRPr="003A1EAD" w:rsidRDefault="0067278B" w:rsidP="0067278B">
                  <w:pPr>
                    <w:pStyle w:val="ListParagraph"/>
                    <w:numPr>
                      <w:ilvl w:val="0"/>
                      <w:numId w:val="28"/>
                    </w:numPr>
                    <w:ind w:left="169" w:hanging="218"/>
                    <w:contextualSpacing w:val="0"/>
                    <w:rPr>
                      <w:rFonts w:cstheme="minorHAnsi"/>
                      <w:lang w:val="en-US"/>
                    </w:rPr>
                  </w:pPr>
                  <w:r w:rsidRPr="003A1EAD">
                    <w:rPr>
                      <w:rFonts w:cstheme="minorHAnsi"/>
                      <w:lang w:val="en-US"/>
                    </w:rPr>
                    <w:t>Alcohol consumption history</w:t>
                  </w:r>
                </w:p>
                <w:p w14:paraId="4952D539" w14:textId="77777777" w:rsidR="0067278B" w:rsidRPr="003A1EAD" w:rsidRDefault="0067278B" w:rsidP="0067278B">
                  <w:pPr>
                    <w:pStyle w:val="ListParagraph"/>
                    <w:numPr>
                      <w:ilvl w:val="0"/>
                      <w:numId w:val="28"/>
                    </w:numPr>
                    <w:ind w:left="169" w:hanging="218"/>
                    <w:contextualSpacing w:val="0"/>
                    <w:rPr>
                      <w:rFonts w:cstheme="minorHAnsi"/>
                      <w:lang w:val="en-US"/>
                    </w:rPr>
                  </w:pPr>
                  <w:r w:rsidRPr="003A1EAD">
                    <w:rPr>
                      <w:rFonts w:cstheme="minorHAnsi"/>
                      <w:lang w:val="en-US"/>
                    </w:rPr>
                    <w:t>Fruit and vegetable consumption history</w:t>
                  </w:r>
                </w:p>
                <w:p w14:paraId="09CAD55C" w14:textId="77777777" w:rsidR="0067278B" w:rsidRPr="003A1EAD" w:rsidRDefault="0067278B" w:rsidP="0067278B">
                  <w:pPr>
                    <w:pStyle w:val="ListParagraph"/>
                    <w:numPr>
                      <w:ilvl w:val="0"/>
                      <w:numId w:val="28"/>
                    </w:numPr>
                    <w:ind w:left="169" w:hanging="218"/>
                    <w:contextualSpacing w:val="0"/>
                    <w:rPr>
                      <w:rFonts w:cstheme="minorHAnsi"/>
                      <w:lang w:val="en-US"/>
                    </w:rPr>
                  </w:pPr>
                  <w:r w:rsidRPr="003A1EAD">
                    <w:rPr>
                      <w:rFonts w:cstheme="minorHAnsi"/>
                      <w:lang w:val="en-US"/>
                    </w:rPr>
                    <w:t>Physical activities history</w:t>
                  </w:r>
                </w:p>
              </w:tc>
              <w:tc>
                <w:tcPr>
                  <w:tcW w:w="3260" w:type="dxa"/>
                  <w:vMerge w:val="restart"/>
                </w:tcPr>
                <w:p w14:paraId="4567E23E" w14:textId="5DCAC195" w:rsidR="0067278B" w:rsidRPr="003A1EAD" w:rsidRDefault="0067278B" w:rsidP="0067278B">
                  <w:pPr>
                    <w:rPr>
                      <w:rFonts w:cstheme="minorHAnsi"/>
                      <w:lang w:val="en-US"/>
                    </w:rPr>
                  </w:pPr>
                  <w:r w:rsidRPr="003A1EAD">
                    <w:rPr>
                      <w:rFonts w:cstheme="minorHAnsi"/>
                      <w:lang w:val="en-US"/>
                    </w:rPr>
                    <w:t>Modified life history calendar methodology</w:t>
                  </w:r>
                </w:p>
              </w:tc>
            </w:tr>
            <w:tr w:rsidR="0067278B" w:rsidRPr="00B13EA5" w14:paraId="637C88D0" w14:textId="77777777" w:rsidTr="00F65036">
              <w:tc>
                <w:tcPr>
                  <w:tcW w:w="1592" w:type="dxa"/>
                </w:tcPr>
                <w:p w14:paraId="0BC2921F" w14:textId="77777777" w:rsidR="0067278B" w:rsidRPr="003A1EAD" w:rsidRDefault="0067278B" w:rsidP="0067278B">
                  <w:pPr>
                    <w:rPr>
                      <w:rFonts w:cstheme="minorHAnsi"/>
                      <w:lang w:val="en-US"/>
                    </w:rPr>
                  </w:pPr>
                  <w:r w:rsidRPr="003A1EAD">
                    <w:rPr>
                      <w:rFonts w:cstheme="minorHAnsi"/>
                      <w:lang w:val="en-US"/>
                    </w:rPr>
                    <w:t>Psychological</w:t>
                  </w:r>
                </w:p>
              </w:tc>
              <w:tc>
                <w:tcPr>
                  <w:tcW w:w="5528" w:type="dxa"/>
                </w:tcPr>
                <w:p w14:paraId="426C6CDA" w14:textId="77777777" w:rsidR="0067278B" w:rsidRPr="003A1EAD" w:rsidRDefault="0067278B" w:rsidP="0067278B">
                  <w:pPr>
                    <w:pStyle w:val="ListParagraph"/>
                    <w:numPr>
                      <w:ilvl w:val="0"/>
                      <w:numId w:val="28"/>
                    </w:numPr>
                    <w:ind w:left="169" w:hanging="218"/>
                    <w:contextualSpacing w:val="0"/>
                    <w:rPr>
                      <w:rFonts w:cstheme="minorHAnsi"/>
                      <w:lang w:val="en-US"/>
                    </w:rPr>
                  </w:pPr>
                  <w:r w:rsidRPr="003A1EAD">
                    <w:rPr>
                      <w:rFonts w:cstheme="minorHAnsi"/>
                      <w:lang w:val="en-US"/>
                    </w:rPr>
                    <w:t>Anxiety and depression history</w:t>
                  </w:r>
                </w:p>
                <w:p w14:paraId="5498CCDF" w14:textId="77777777" w:rsidR="0067278B" w:rsidRPr="003A1EAD" w:rsidRDefault="0067278B" w:rsidP="0067278B">
                  <w:pPr>
                    <w:pStyle w:val="ListParagraph"/>
                    <w:numPr>
                      <w:ilvl w:val="0"/>
                      <w:numId w:val="28"/>
                    </w:numPr>
                    <w:ind w:left="169" w:hanging="218"/>
                    <w:contextualSpacing w:val="0"/>
                    <w:rPr>
                      <w:rFonts w:cstheme="minorHAnsi"/>
                      <w:lang w:val="en-US"/>
                    </w:rPr>
                  </w:pPr>
                  <w:r w:rsidRPr="003A1EAD">
                    <w:rPr>
                      <w:rFonts w:cstheme="minorHAnsi"/>
                      <w:lang w:val="en-US"/>
                    </w:rPr>
                    <w:t>Loneliness history</w:t>
                  </w:r>
                </w:p>
                <w:p w14:paraId="04F87383" w14:textId="77777777" w:rsidR="0067278B" w:rsidRPr="003A1EAD" w:rsidRDefault="0067278B" w:rsidP="0067278B">
                  <w:pPr>
                    <w:pStyle w:val="ListParagraph"/>
                    <w:numPr>
                      <w:ilvl w:val="0"/>
                      <w:numId w:val="28"/>
                    </w:numPr>
                    <w:ind w:left="169" w:hanging="218"/>
                    <w:contextualSpacing w:val="0"/>
                    <w:rPr>
                      <w:rFonts w:cstheme="minorHAnsi"/>
                      <w:lang w:val="en-US"/>
                    </w:rPr>
                  </w:pPr>
                  <w:r w:rsidRPr="003A1EAD">
                    <w:rPr>
                      <w:rFonts w:cstheme="minorHAnsi"/>
                      <w:lang w:val="en-US"/>
                    </w:rPr>
                    <w:t>Post-traumatic stress disorder history</w:t>
                  </w:r>
                </w:p>
              </w:tc>
              <w:tc>
                <w:tcPr>
                  <w:tcW w:w="3260" w:type="dxa"/>
                  <w:vMerge/>
                </w:tcPr>
                <w:p w14:paraId="4A741CAA" w14:textId="77777777" w:rsidR="0067278B" w:rsidRPr="003A1EAD" w:rsidRDefault="0067278B" w:rsidP="0067278B">
                  <w:pPr>
                    <w:rPr>
                      <w:rFonts w:cstheme="minorHAnsi"/>
                      <w:lang w:val="en-US"/>
                    </w:rPr>
                  </w:pPr>
                </w:p>
              </w:tc>
            </w:tr>
            <w:tr w:rsidR="0067278B" w:rsidRPr="003A1EAD" w14:paraId="6422E0ED" w14:textId="77777777" w:rsidTr="00F65036">
              <w:tc>
                <w:tcPr>
                  <w:tcW w:w="1592" w:type="dxa"/>
                </w:tcPr>
                <w:p w14:paraId="3B997259" w14:textId="77777777" w:rsidR="0067278B" w:rsidRPr="003A1EAD" w:rsidRDefault="0067278B" w:rsidP="0067278B">
                  <w:pPr>
                    <w:rPr>
                      <w:rFonts w:cstheme="minorHAnsi"/>
                      <w:lang w:val="en-US"/>
                    </w:rPr>
                  </w:pPr>
                  <w:r w:rsidRPr="003A1EAD">
                    <w:rPr>
                      <w:rFonts w:cstheme="minorHAnsi"/>
                      <w:lang w:val="en-US"/>
                    </w:rPr>
                    <w:t>Social</w:t>
                  </w:r>
                </w:p>
              </w:tc>
              <w:tc>
                <w:tcPr>
                  <w:tcW w:w="5528" w:type="dxa"/>
                </w:tcPr>
                <w:p w14:paraId="08C4918F" w14:textId="77777777" w:rsidR="0067278B" w:rsidRPr="003A1EAD" w:rsidRDefault="0067278B" w:rsidP="0067278B">
                  <w:pPr>
                    <w:pStyle w:val="ListParagraph"/>
                    <w:numPr>
                      <w:ilvl w:val="0"/>
                      <w:numId w:val="28"/>
                    </w:numPr>
                    <w:ind w:left="169" w:hanging="218"/>
                    <w:contextualSpacing w:val="0"/>
                    <w:rPr>
                      <w:rFonts w:cstheme="minorHAnsi"/>
                      <w:lang w:val="en-US"/>
                    </w:rPr>
                  </w:pPr>
                  <w:r w:rsidRPr="003A1EAD">
                    <w:rPr>
                      <w:rFonts w:cstheme="minorHAnsi"/>
                      <w:lang w:val="en-US"/>
                    </w:rPr>
                    <w:t>Educational status history</w:t>
                  </w:r>
                </w:p>
                <w:p w14:paraId="7810CA87" w14:textId="77777777" w:rsidR="0067278B" w:rsidRPr="003A1EAD" w:rsidRDefault="0067278B" w:rsidP="0067278B">
                  <w:pPr>
                    <w:pStyle w:val="ListParagraph"/>
                    <w:numPr>
                      <w:ilvl w:val="0"/>
                      <w:numId w:val="28"/>
                    </w:numPr>
                    <w:ind w:left="169" w:hanging="218"/>
                    <w:contextualSpacing w:val="0"/>
                    <w:rPr>
                      <w:rFonts w:cstheme="minorHAnsi"/>
                      <w:lang w:val="en-US"/>
                    </w:rPr>
                  </w:pPr>
                  <w:r w:rsidRPr="003A1EAD">
                    <w:rPr>
                      <w:rFonts w:cstheme="minorHAnsi"/>
                      <w:lang w:val="en-US"/>
                    </w:rPr>
                    <w:t>Family composition history</w:t>
                  </w:r>
                </w:p>
                <w:p w14:paraId="373683FF" w14:textId="77777777" w:rsidR="0067278B" w:rsidRPr="003A1EAD" w:rsidRDefault="0067278B" w:rsidP="0067278B">
                  <w:pPr>
                    <w:pStyle w:val="ListParagraph"/>
                    <w:numPr>
                      <w:ilvl w:val="0"/>
                      <w:numId w:val="28"/>
                    </w:numPr>
                    <w:ind w:left="169" w:hanging="218"/>
                    <w:contextualSpacing w:val="0"/>
                    <w:rPr>
                      <w:rFonts w:cstheme="minorHAnsi"/>
                      <w:lang w:val="en-US"/>
                    </w:rPr>
                  </w:pPr>
                  <w:r w:rsidRPr="003A1EAD">
                    <w:rPr>
                      <w:rFonts w:cstheme="minorHAnsi"/>
                      <w:lang w:val="en-US"/>
                    </w:rPr>
                    <w:t>Neighborhood income history</w:t>
                  </w:r>
                </w:p>
              </w:tc>
              <w:tc>
                <w:tcPr>
                  <w:tcW w:w="3260" w:type="dxa"/>
                  <w:vMerge/>
                </w:tcPr>
                <w:p w14:paraId="4172974B" w14:textId="77777777" w:rsidR="0067278B" w:rsidRPr="003A1EAD" w:rsidRDefault="0067278B" w:rsidP="0067278B">
                  <w:pPr>
                    <w:rPr>
                      <w:rFonts w:cstheme="minorHAnsi"/>
                      <w:lang w:val="en-US"/>
                    </w:rPr>
                  </w:pPr>
                </w:p>
              </w:tc>
            </w:tr>
          </w:tbl>
          <w:p w14:paraId="291BC548" w14:textId="394C998B" w:rsidR="0067278B" w:rsidRPr="003D6A38" w:rsidRDefault="0067278B" w:rsidP="0067278B">
            <w:pPr>
              <w:pStyle w:val="Default"/>
              <w:rPr>
                <w:rFonts w:asciiTheme="minorHAnsi" w:hAnsiTheme="minorHAnsi" w:cstheme="minorHAnsi"/>
                <w:lang w:val="en-US"/>
              </w:rPr>
            </w:pPr>
            <w:r w:rsidRPr="003D6A38">
              <w:rPr>
                <w:rFonts w:asciiTheme="minorHAnsi" w:hAnsiTheme="minorHAnsi" w:cstheme="minorHAnsi"/>
                <w:b/>
                <w:i/>
                <w:lang w:val="en-US"/>
              </w:rPr>
              <w:t>Functional outcomes:</w:t>
            </w:r>
            <w:r w:rsidRPr="003D6A38">
              <w:rPr>
                <w:rFonts w:asciiTheme="minorHAnsi" w:hAnsiTheme="minorHAnsi" w:cstheme="minorHAnsi"/>
                <w:lang w:val="en-US"/>
              </w:rPr>
              <w:t xml:space="preserve"> The frailty phenotype and cognitive functioning are assessed as functional outcomes of aging. The frailty phenotype, operationalized by Fried, is the most commonly used approach for assessing frailty in patients with chronic disorders. Based on the presence or absence of 5 components (unintentional weight loss; exhaustion; low physical activity level; weakness assessed with handgrip dynamo-meter; slow walking speed operationalized by time to walk 5 meters) patients are categorized as: non-frail (i.e., score 0/5), pre-frail (i.e., score 1-2/5) or frail (i.e., score ≥3/5). Cognitive functioning is assessed using the Montréal Cognitive Assessment Screener (MOCA). The MOCA is a well-established instrument and its validity to be used in CHD has been demonstrated. The MOCA assesses visual–spatial skills; executive functions; short-term memory recall; attention, concentration, working memory; language; and orientation to time and place.</w:t>
            </w:r>
            <w:r w:rsidR="0099551E" w:rsidRPr="003D6A38">
              <w:rPr>
                <w:rFonts w:asciiTheme="minorHAnsi" w:hAnsiTheme="minorHAnsi" w:cstheme="minorHAnsi"/>
                <w:lang w:val="en-US"/>
              </w:rPr>
              <w:t xml:space="preserve"> </w:t>
            </w:r>
          </w:p>
          <w:p w14:paraId="77508540" w14:textId="77777777" w:rsidR="0098218E" w:rsidRPr="003D6A38" w:rsidRDefault="0098218E" w:rsidP="6320600B">
            <w:pPr>
              <w:rPr>
                <w:bCs/>
              </w:rPr>
            </w:pPr>
          </w:p>
          <w:p w14:paraId="26957210" w14:textId="3C1347B2" w:rsidR="00332C51" w:rsidRPr="003D6A38" w:rsidRDefault="00332C51" w:rsidP="00332C51">
            <w:pPr>
              <w:jc w:val="both"/>
              <w:rPr>
                <w:rFonts w:cstheme="minorHAnsi"/>
                <w:b/>
                <w:lang w:val="en-US"/>
              </w:rPr>
            </w:pPr>
            <w:r w:rsidRPr="003D6A38">
              <w:rPr>
                <w:rFonts w:cstheme="minorHAnsi"/>
                <w:b/>
                <w:lang w:val="en-US"/>
              </w:rPr>
              <w:t>STUDY 3: EPIGENETIC CLOCK IN ADULTS WITH CHD</w:t>
            </w:r>
          </w:p>
          <w:p w14:paraId="4E4594A2" w14:textId="77777777" w:rsidR="00332C51" w:rsidRPr="003A1EAD" w:rsidRDefault="00332C51" w:rsidP="00332C51">
            <w:pPr>
              <w:jc w:val="both"/>
              <w:rPr>
                <w:rFonts w:cstheme="minorHAnsi"/>
                <w:lang w:val="en-US"/>
              </w:rPr>
            </w:pPr>
            <w:r w:rsidRPr="003D6A38">
              <w:rPr>
                <w:rFonts w:cstheme="minorHAnsi"/>
                <w:b/>
                <w:u w:val="single"/>
                <w:lang w:val="en-US"/>
              </w:rPr>
              <w:t>Aims:</w:t>
            </w:r>
            <w:r w:rsidRPr="003D6A38">
              <w:rPr>
                <w:rFonts w:cstheme="minorHAnsi"/>
                <w:lang w:val="en-US"/>
              </w:rPr>
              <w:t xml:space="preserve"> To (</w:t>
            </w:r>
            <w:proofErr w:type="spellStart"/>
            <w:r w:rsidRPr="003D6A38">
              <w:rPr>
                <w:rFonts w:cstheme="minorHAnsi"/>
                <w:lang w:val="en-US"/>
              </w:rPr>
              <w:t>i</w:t>
            </w:r>
            <w:proofErr w:type="spellEnd"/>
            <w:r w:rsidRPr="003D6A38">
              <w:rPr>
                <w:rFonts w:cstheme="minorHAnsi"/>
                <w:lang w:val="en-US"/>
              </w:rPr>
              <w:t xml:space="preserve">) assess the biological </w:t>
            </w:r>
            <w:r w:rsidRPr="003A1EAD">
              <w:rPr>
                <w:rFonts w:cstheme="minorHAnsi"/>
                <w:lang w:val="en-US"/>
              </w:rPr>
              <w:t>age by measuring DNA methylation in mild, moderate and complex heart defects, with or without complications, and (ii) determine if the disparity between biological and chronological age is a function of anatomical complexity and functional status of the patients.</w:t>
            </w:r>
          </w:p>
          <w:p w14:paraId="1599B30E" w14:textId="77777777" w:rsidR="00332C51" w:rsidRPr="003A1EAD" w:rsidRDefault="00332C51" w:rsidP="00332C51">
            <w:pPr>
              <w:jc w:val="both"/>
              <w:rPr>
                <w:rFonts w:cstheme="minorHAnsi"/>
                <w:lang w:val="en-US"/>
              </w:rPr>
            </w:pPr>
            <w:r w:rsidRPr="003A1EAD">
              <w:rPr>
                <w:rFonts w:cstheme="minorHAnsi"/>
                <w:b/>
                <w:u w:val="single"/>
                <w:lang w:val="en-US"/>
              </w:rPr>
              <w:t>Subjects:</w:t>
            </w:r>
            <w:r w:rsidRPr="003A1EAD">
              <w:rPr>
                <w:rFonts w:cstheme="minorHAnsi"/>
                <w:b/>
                <w:lang w:val="en-US"/>
              </w:rPr>
              <w:t xml:space="preserve"> </w:t>
            </w:r>
            <w:r w:rsidRPr="003A1EAD">
              <w:rPr>
                <w:rFonts w:cstheme="minorHAnsi"/>
                <w:lang w:val="en-US"/>
              </w:rPr>
              <w:t xml:space="preserve">At the University Hospitals of Leuven and Ghent University Hospital, patients with selected complex (Fontan operation; Systemic right ventricle), moderate (Tetralogy of Fallot; Coarctation of the aorta), and mild heart defects (isolated atrial septal defect; isolated ventricular septal defect) are eligible. </w:t>
            </w:r>
            <w:r w:rsidRPr="003A1EAD">
              <w:rPr>
                <w:rFonts w:cstheme="minorHAnsi"/>
                <w:lang w:val="en-US"/>
              </w:rPr>
              <w:lastRenderedPageBreak/>
              <w:t>For each type of heart defect, 10 patients with complications and 10 patients in good health are enrolled. The overall sample will comprise 120 patients, who will be part of study 2 as well.</w:t>
            </w:r>
          </w:p>
          <w:p w14:paraId="4476D117" w14:textId="77777777" w:rsidR="00332C51" w:rsidRPr="003A1EAD" w:rsidRDefault="00332C51" w:rsidP="00332C51">
            <w:pPr>
              <w:jc w:val="both"/>
              <w:rPr>
                <w:rFonts w:cstheme="minorHAnsi"/>
                <w:b/>
                <w:u w:val="single"/>
                <w:lang w:val="en-US"/>
              </w:rPr>
            </w:pPr>
            <w:r w:rsidRPr="003A1EAD">
              <w:rPr>
                <w:rFonts w:cstheme="minorHAnsi"/>
                <w:b/>
                <w:u w:val="single"/>
                <w:lang w:val="en-US"/>
              </w:rPr>
              <w:t xml:space="preserve">Variables and measurements: </w:t>
            </w:r>
          </w:p>
          <w:p w14:paraId="1D403141" w14:textId="77777777" w:rsidR="00332C51" w:rsidRPr="003A1EAD" w:rsidRDefault="00332C51" w:rsidP="00332C51">
            <w:pPr>
              <w:jc w:val="both"/>
              <w:rPr>
                <w:rFonts w:cstheme="minorHAnsi"/>
                <w:lang w:val="en-US"/>
              </w:rPr>
            </w:pPr>
            <w:r w:rsidRPr="003A1EAD">
              <w:rPr>
                <w:rFonts w:cstheme="minorHAnsi"/>
                <w:b/>
                <w:i/>
                <w:lang w:val="en-US"/>
              </w:rPr>
              <w:t>Biomarkers:</w:t>
            </w:r>
            <w:r w:rsidRPr="003A1EAD">
              <w:rPr>
                <w:rFonts w:cstheme="minorHAnsi"/>
                <w:lang w:val="en-US"/>
              </w:rPr>
              <w:t xml:space="preserve"> </w:t>
            </w:r>
          </w:p>
          <w:p w14:paraId="42AE528B" w14:textId="77777777" w:rsidR="00332C51" w:rsidRPr="003A1EAD" w:rsidRDefault="00332C51" w:rsidP="00332C51">
            <w:pPr>
              <w:pStyle w:val="ListParagraph"/>
              <w:numPr>
                <w:ilvl w:val="0"/>
                <w:numId w:val="28"/>
              </w:numPr>
              <w:contextualSpacing w:val="0"/>
              <w:jc w:val="both"/>
              <w:rPr>
                <w:rFonts w:cstheme="minorHAnsi"/>
                <w:lang w:val="en-US"/>
              </w:rPr>
            </w:pPr>
            <w:r w:rsidRPr="003A1EAD">
              <w:rPr>
                <w:rFonts w:cstheme="minorHAnsi"/>
                <w:lang w:val="en-US"/>
              </w:rPr>
              <w:t xml:space="preserve">Telomere length will be determined as part of study 2. </w:t>
            </w:r>
          </w:p>
          <w:p w14:paraId="34A186B9" w14:textId="40031502" w:rsidR="00332C51" w:rsidRPr="000336C8" w:rsidRDefault="00332C51" w:rsidP="00332C51">
            <w:pPr>
              <w:pStyle w:val="ListParagraph"/>
              <w:numPr>
                <w:ilvl w:val="0"/>
                <w:numId w:val="28"/>
              </w:numPr>
              <w:contextualSpacing w:val="0"/>
              <w:jc w:val="both"/>
              <w:rPr>
                <w:rFonts w:cstheme="minorHAnsi"/>
                <w:lang w:val="en-US"/>
              </w:rPr>
            </w:pPr>
            <w:r w:rsidRPr="003A1EAD">
              <w:rPr>
                <w:rFonts w:cstheme="minorHAnsi"/>
                <w:lang w:val="en-US"/>
              </w:rPr>
              <w:t xml:space="preserve">As a measure of systemic chronic inflammation, </w:t>
            </w:r>
            <w:r w:rsidRPr="003A1EAD">
              <w:rPr>
                <w:lang w:val="en-US"/>
              </w:rPr>
              <w:t>soluble urokinase plasminogen activator receptor (</w:t>
            </w:r>
            <w:proofErr w:type="spellStart"/>
            <w:r w:rsidRPr="003A1EAD">
              <w:rPr>
                <w:lang w:val="en-US"/>
              </w:rPr>
              <w:t>suPAR</w:t>
            </w:r>
            <w:proofErr w:type="spellEnd"/>
            <w:r w:rsidRPr="003A1EAD">
              <w:rPr>
                <w:lang w:val="en-US"/>
              </w:rPr>
              <w:t xml:space="preserve">) will be measured. </w:t>
            </w:r>
            <w:proofErr w:type="spellStart"/>
            <w:r w:rsidRPr="003A1EAD">
              <w:rPr>
                <w:rFonts w:cstheme="minorHAnsi"/>
                <w:lang w:val="en-US"/>
              </w:rPr>
              <w:t>suPAR</w:t>
            </w:r>
            <w:proofErr w:type="spellEnd"/>
            <w:r w:rsidRPr="003A1EAD">
              <w:rPr>
                <w:rFonts w:cstheme="minorHAnsi"/>
                <w:lang w:val="en-US"/>
              </w:rPr>
              <w:t xml:space="preserve"> reflects inflammation and immune activation and its blood concentration is positively correlated with established biomarkers of inflammation, but in contrast to many currently used markers of systemic inflammation, </w:t>
            </w:r>
            <w:proofErr w:type="spellStart"/>
            <w:r w:rsidRPr="003A1EAD">
              <w:rPr>
                <w:rFonts w:cstheme="minorHAnsi"/>
                <w:lang w:val="en-US"/>
              </w:rPr>
              <w:t>suPAR</w:t>
            </w:r>
            <w:proofErr w:type="spellEnd"/>
            <w:r w:rsidRPr="003A1EAD">
              <w:rPr>
                <w:rFonts w:cstheme="minorHAnsi"/>
                <w:lang w:val="en-US"/>
              </w:rPr>
              <w:t xml:space="preserve"> is minimally affected by acute changes and short-term influences.</w:t>
            </w:r>
            <w:r w:rsidRPr="003A1EAD">
              <w:rPr>
                <w:lang w:val="en-US"/>
              </w:rPr>
              <w:t xml:space="preserve"> Therefore, it is a better marker of aging than other inflammation biomarkers.</w:t>
            </w:r>
          </w:p>
          <w:p w14:paraId="33BA3416" w14:textId="77777777" w:rsidR="00332C51" w:rsidRPr="003A1EAD" w:rsidRDefault="00332C51" w:rsidP="00332C51">
            <w:pPr>
              <w:pStyle w:val="ListParagraph"/>
              <w:numPr>
                <w:ilvl w:val="0"/>
                <w:numId w:val="28"/>
              </w:numPr>
              <w:contextualSpacing w:val="0"/>
              <w:jc w:val="both"/>
              <w:rPr>
                <w:rFonts w:cstheme="minorHAnsi"/>
                <w:lang w:val="en-US"/>
              </w:rPr>
            </w:pPr>
            <w:r>
              <w:rPr>
                <w:lang w:val="en-US"/>
              </w:rPr>
              <w:t xml:space="preserve">To triangulate the validity of </w:t>
            </w:r>
            <w:proofErr w:type="spellStart"/>
            <w:r>
              <w:rPr>
                <w:lang w:val="en-US"/>
              </w:rPr>
              <w:t>suPAR</w:t>
            </w:r>
            <w:proofErr w:type="spellEnd"/>
            <w:r>
              <w:rPr>
                <w:lang w:val="en-US"/>
              </w:rPr>
              <w:t xml:space="preserve"> in CHD, h</w:t>
            </w:r>
            <w:r w:rsidRPr="008778EA">
              <w:rPr>
                <w:lang w:val="en-US"/>
              </w:rPr>
              <w:t xml:space="preserve">igh sensitivity C-reactive protein </w:t>
            </w:r>
            <w:r>
              <w:rPr>
                <w:lang w:val="en-US"/>
              </w:rPr>
              <w:t>(</w:t>
            </w:r>
            <w:proofErr w:type="spellStart"/>
            <w:r>
              <w:rPr>
                <w:lang w:val="en-US"/>
              </w:rPr>
              <w:t>hsCRP</w:t>
            </w:r>
            <w:proofErr w:type="spellEnd"/>
            <w:r>
              <w:rPr>
                <w:lang w:val="en-US"/>
              </w:rPr>
              <w:t>) will be assessed as a more traditional marker of inflammation.</w:t>
            </w:r>
          </w:p>
          <w:p w14:paraId="096CF169" w14:textId="16267B1A" w:rsidR="00332C51" w:rsidRPr="003A1EAD" w:rsidRDefault="00332C51" w:rsidP="00332C51">
            <w:pPr>
              <w:pStyle w:val="ListParagraph"/>
              <w:numPr>
                <w:ilvl w:val="0"/>
                <w:numId w:val="28"/>
              </w:numPr>
              <w:contextualSpacing w:val="0"/>
              <w:jc w:val="both"/>
              <w:rPr>
                <w:rFonts w:cstheme="minorHAnsi"/>
                <w:lang w:val="en-US"/>
              </w:rPr>
            </w:pPr>
            <w:r w:rsidRPr="003A1EAD">
              <w:rPr>
                <w:iCs/>
                <w:lang w:val="en-US"/>
              </w:rPr>
              <w:t>The epigenetic clock based on DNA methylation will be determined</w:t>
            </w:r>
            <w:r w:rsidRPr="003A1EAD">
              <w:rPr>
                <w:lang w:val="en-US"/>
              </w:rPr>
              <w:t>.</w:t>
            </w:r>
            <w:r w:rsidRPr="003A1EAD">
              <w:rPr>
                <w:rFonts w:cstheme="minorHAnsi"/>
                <w:lang w:val="en-US"/>
              </w:rPr>
              <w:t xml:space="preserve"> </w:t>
            </w:r>
          </w:p>
          <w:p w14:paraId="3375EC36" w14:textId="77777777" w:rsidR="00332C51" w:rsidRPr="003A1EAD" w:rsidRDefault="00332C51" w:rsidP="00332C51">
            <w:pPr>
              <w:jc w:val="both"/>
              <w:rPr>
                <w:rFonts w:cstheme="minorHAnsi"/>
                <w:lang w:val="en-US"/>
              </w:rPr>
            </w:pPr>
            <w:r w:rsidRPr="003A1EAD">
              <w:rPr>
                <w:rFonts w:cstheme="minorHAnsi"/>
                <w:b/>
                <w:i/>
                <w:lang w:val="en-US"/>
              </w:rPr>
              <w:t xml:space="preserve">Predictors: </w:t>
            </w:r>
            <w:r w:rsidRPr="003A1EAD">
              <w:rPr>
                <w:rFonts w:cstheme="minorHAnsi"/>
                <w:lang w:val="en-US"/>
              </w:rPr>
              <w:t>The clinical, behavioral, psychological and social predictors as measured for study 2 will be used for this study as well.</w:t>
            </w:r>
          </w:p>
          <w:p w14:paraId="571B21AB" w14:textId="24CD07C9" w:rsidR="00570AAC" w:rsidRDefault="00570AAC" w:rsidP="6320600B">
            <w:pPr>
              <w:rPr>
                <w:bCs/>
              </w:rPr>
            </w:pPr>
          </w:p>
          <w:p w14:paraId="68B07A6A" w14:textId="54C6D439" w:rsidR="0099551E" w:rsidRPr="009E549A" w:rsidRDefault="00673C59" w:rsidP="6320600B">
            <w:pPr>
              <w:rPr>
                <w:b/>
                <w:bCs/>
              </w:rPr>
            </w:pPr>
            <w:r w:rsidRPr="009E549A">
              <w:rPr>
                <w:b/>
                <w:bCs/>
              </w:rPr>
              <w:t>Summary of data</w:t>
            </w:r>
            <w:r w:rsidR="009E549A" w:rsidRPr="009E549A">
              <w:rPr>
                <w:b/>
                <w:bCs/>
              </w:rPr>
              <w:t xml:space="preserve"> to be</w:t>
            </w:r>
            <w:r w:rsidRPr="009E549A">
              <w:rPr>
                <w:b/>
                <w:bCs/>
              </w:rPr>
              <w:t xml:space="preserve"> collect</w:t>
            </w:r>
            <w:r w:rsidR="009E549A" w:rsidRPr="009E549A">
              <w:rPr>
                <w:b/>
                <w:bCs/>
              </w:rPr>
              <w:t>ed</w:t>
            </w:r>
          </w:p>
          <w:tbl>
            <w:tblPr>
              <w:tblStyle w:val="TableGrid"/>
              <w:tblW w:w="0" w:type="auto"/>
              <w:tblLayout w:type="fixed"/>
              <w:tblLook w:val="04A0" w:firstRow="1" w:lastRow="0" w:firstColumn="1" w:lastColumn="0" w:noHBand="0" w:noVBand="1"/>
            </w:tblPr>
            <w:tblGrid>
              <w:gridCol w:w="6695"/>
              <w:gridCol w:w="1559"/>
              <w:gridCol w:w="2126"/>
            </w:tblGrid>
            <w:tr w:rsidR="009367D2" w14:paraId="705CA631" w14:textId="77777777" w:rsidTr="00551564">
              <w:tc>
                <w:tcPr>
                  <w:tcW w:w="6695" w:type="dxa"/>
                </w:tcPr>
                <w:p w14:paraId="7F82ADC2" w14:textId="77777777" w:rsidR="009367D2" w:rsidRDefault="009367D2" w:rsidP="6320600B">
                  <w:pPr>
                    <w:rPr>
                      <w:bCs/>
                    </w:rPr>
                  </w:pPr>
                </w:p>
              </w:tc>
              <w:tc>
                <w:tcPr>
                  <w:tcW w:w="1559" w:type="dxa"/>
                </w:tcPr>
                <w:p w14:paraId="5350F3EC" w14:textId="0D1D0DF3" w:rsidR="009367D2" w:rsidRPr="00673C59" w:rsidRDefault="009367D2" w:rsidP="009367D2">
                  <w:pPr>
                    <w:jc w:val="center"/>
                    <w:rPr>
                      <w:b/>
                      <w:bCs/>
                    </w:rPr>
                  </w:pPr>
                  <w:r w:rsidRPr="00673C59">
                    <w:rPr>
                      <w:b/>
                      <w:bCs/>
                    </w:rPr>
                    <w:t>Study 1</w:t>
                  </w:r>
                </w:p>
              </w:tc>
              <w:tc>
                <w:tcPr>
                  <w:tcW w:w="2126" w:type="dxa"/>
                </w:tcPr>
                <w:p w14:paraId="63AA75BB" w14:textId="3DCEC226" w:rsidR="009367D2" w:rsidRPr="00673C59" w:rsidRDefault="009367D2" w:rsidP="009367D2">
                  <w:pPr>
                    <w:jc w:val="center"/>
                    <w:rPr>
                      <w:b/>
                      <w:bCs/>
                    </w:rPr>
                  </w:pPr>
                  <w:r w:rsidRPr="00673C59">
                    <w:rPr>
                      <w:b/>
                      <w:bCs/>
                    </w:rPr>
                    <w:t xml:space="preserve">Study 2/ </w:t>
                  </w:r>
                  <w:r w:rsidR="002D16E5" w:rsidRPr="00673C59">
                    <w:rPr>
                      <w:b/>
                      <w:bCs/>
                    </w:rPr>
                    <w:t>*</w:t>
                  </w:r>
                  <w:r w:rsidRPr="00673C59">
                    <w:rPr>
                      <w:b/>
                      <w:bCs/>
                    </w:rPr>
                    <w:t>Study 3</w:t>
                  </w:r>
                </w:p>
              </w:tc>
            </w:tr>
            <w:tr w:rsidR="009367D2" w14:paraId="65E097AF" w14:textId="77777777" w:rsidTr="00551564">
              <w:tc>
                <w:tcPr>
                  <w:tcW w:w="6695" w:type="dxa"/>
                </w:tcPr>
                <w:p w14:paraId="2D60948C" w14:textId="4C68712E" w:rsidR="009367D2" w:rsidRPr="009367D2" w:rsidRDefault="009367D2" w:rsidP="6320600B">
                  <w:pPr>
                    <w:rPr>
                      <w:b/>
                      <w:bCs/>
                    </w:rPr>
                  </w:pPr>
                  <w:r w:rsidRPr="009367D2">
                    <w:rPr>
                      <w:b/>
                      <w:bCs/>
                    </w:rPr>
                    <w:t>Observational data</w:t>
                  </w:r>
                </w:p>
              </w:tc>
              <w:tc>
                <w:tcPr>
                  <w:tcW w:w="1559" w:type="dxa"/>
                </w:tcPr>
                <w:p w14:paraId="6D2F8451" w14:textId="77777777" w:rsidR="009367D2" w:rsidRDefault="009367D2" w:rsidP="009367D2">
                  <w:pPr>
                    <w:jc w:val="center"/>
                    <w:rPr>
                      <w:bCs/>
                    </w:rPr>
                  </w:pPr>
                </w:p>
              </w:tc>
              <w:tc>
                <w:tcPr>
                  <w:tcW w:w="2126" w:type="dxa"/>
                </w:tcPr>
                <w:p w14:paraId="52F3FFE0" w14:textId="77777777" w:rsidR="009367D2" w:rsidRDefault="009367D2" w:rsidP="009367D2">
                  <w:pPr>
                    <w:jc w:val="center"/>
                    <w:rPr>
                      <w:bCs/>
                    </w:rPr>
                  </w:pPr>
                </w:p>
              </w:tc>
            </w:tr>
            <w:tr w:rsidR="009367D2" w14:paraId="58275F74" w14:textId="77777777" w:rsidTr="00551564">
              <w:tc>
                <w:tcPr>
                  <w:tcW w:w="6695" w:type="dxa"/>
                </w:tcPr>
                <w:p w14:paraId="21C78898" w14:textId="7730AB7D" w:rsidR="009367D2" w:rsidRPr="003A1EAD" w:rsidRDefault="009367D2" w:rsidP="00673C59">
                  <w:pPr>
                    <w:ind w:left="350"/>
                    <w:rPr>
                      <w:rFonts w:cstheme="minorHAnsi"/>
                      <w:lang w:val="en-US"/>
                    </w:rPr>
                  </w:pPr>
                  <w:r>
                    <w:rPr>
                      <w:rFonts w:cstheme="minorHAnsi"/>
                      <w:lang w:val="en-US"/>
                    </w:rPr>
                    <w:t>Medical Chart Review</w:t>
                  </w:r>
                </w:p>
              </w:tc>
              <w:tc>
                <w:tcPr>
                  <w:tcW w:w="1559" w:type="dxa"/>
                </w:tcPr>
                <w:p w14:paraId="7ECFEB02" w14:textId="212FD478" w:rsidR="009367D2" w:rsidRDefault="009367D2" w:rsidP="009367D2">
                  <w:pPr>
                    <w:jc w:val="center"/>
                    <w:rPr>
                      <w:bCs/>
                    </w:rPr>
                  </w:pPr>
                  <w:r>
                    <w:rPr>
                      <w:bCs/>
                    </w:rPr>
                    <w:t>X</w:t>
                  </w:r>
                </w:p>
              </w:tc>
              <w:tc>
                <w:tcPr>
                  <w:tcW w:w="2126" w:type="dxa"/>
                </w:tcPr>
                <w:p w14:paraId="0977A9FC" w14:textId="42F6D563" w:rsidR="009367D2" w:rsidRDefault="009367D2" w:rsidP="009367D2">
                  <w:pPr>
                    <w:jc w:val="center"/>
                    <w:rPr>
                      <w:bCs/>
                    </w:rPr>
                  </w:pPr>
                  <w:r>
                    <w:rPr>
                      <w:bCs/>
                    </w:rPr>
                    <w:t>X</w:t>
                  </w:r>
                </w:p>
              </w:tc>
            </w:tr>
            <w:tr w:rsidR="009367D2" w14:paraId="1B85A3AB" w14:textId="77777777" w:rsidTr="00551564">
              <w:tc>
                <w:tcPr>
                  <w:tcW w:w="6695" w:type="dxa"/>
                </w:tcPr>
                <w:p w14:paraId="45F26AD5" w14:textId="72528726" w:rsidR="009367D2" w:rsidRDefault="009367D2" w:rsidP="00673C59">
                  <w:pPr>
                    <w:ind w:left="350"/>
                    <w:rPr>
                      <w:bCs/>
                    </w:rPr>
                  </w:pPr>
                  <w:r w:rsidRPr="003A1EAD">
                    <w:rPr>
                      <w:rFonts w:cstheme="minorHAnsi"/>
                      <w:lang w:val="en-US"/>
                    </w:rPr>
                    <w:t>Modified life history calendar methodology</w:t>
                  </w:r>
                </w:p>
              </w:tc>
              <w:tc>
                <w:tcPr>
                  <w:tcW w:w="1559" w:type="dxa"/>
                </w:tcPr>
                <w:p w14:paraId="7FF93E3A" w14:textId="3988C5E3" w:rsidR="009367D2" w:rsidRDefault="009367D2" w:rsidP="009367D2">
                  <w:pPr>
                    <w:jc w:val="center"/>
                    <w:rPr>
                      <w:bCs/>
                    </w:rPr>
                  </w:pPr>
                  <w:r>
                    <w:rPr>
                      <w:bCs/>
                    </w:rPr>
                    <w:t>X</w:t>
                  </w:r>
                </w:p>
              </w:tc>
              <w:tc>
                <w:tcPr>
                  <w:tcW w:w="2126" w:type="dxa"/>
                </w:tcPr>
                <w:p w14:paraId="17D5278A" w14:textId="4AC3DA8C" w:rsidR="009367D2" w:rsidRDefault="002D16E5" w:rsidP="009367D2">
                  <w:pPr>
                    <w:jc w:val="center"/>
                    <w:rPr>
                      <w:bCs/>
                    </w:rPr>
                  </w:pPr>
                  <w:r>
                    <w:rPr>
                      <w:bCs/>
                    </w:rPr>
                    <w:t>X</w:t>
                  </w:r>
                </w:p>
              </w:tc>
            </w:tr>
            <w:tr w:rsidR="009367D2" w14:paraId="38420A62" w14:textId="77777777" w:rsidTr="00551564">
              <w:tc>
                <w:tcPr>
                  <w:tcW w:w="6695" w:type="dxa"/>
                </w:tcPr>
                <w:p w14:paraId="70E49F46" w14:textId="2DE59CFA" w:rsidR="009367D2" w:rsidRDefault="002D16E5" w:rsidP="00673C59">
                  <w:pPr>
                    <w:ind w:left="350"/>
                    <w:rPr>
                      <w:bCs/>
                    </w:rPr>
                  </w:pPr>
                  <w:r>
                    <w:rPr>
                      <w:bCs/>
                    </w:rPr>
                    <w:t>Fried frailty phenotype</w:t>
                  </w:r>
                </w:p>
              </w:tc>
              <w:tc>
                <w:tcPr>
                  <w:tcW w:w="1559" w:type="dxa"/>
                </w:tcPr>
                <w:p w14:paraId="0DBF3D90" w14:textId="77777777" w:rsidR="009367D2" w:rsidRDefault="009367D2" w:rsidP="009367D2">
                  <w:pPr>
                    <w:jc w:val="center"/>
                    <w:rPr>
                      <w:bCs/>
                    </w:rPr>
                  </w:pPr>
                </w:p>
              </w:tc>
              <w:tc>
                <w:tcPr>
                  <w:tcW w:w="2126" w:type="dxa"/>
                </w:tcPr>
                <w:p w14:paraId="7CA97DF9" w14:textId="4B83ED2F" w:rsidR="009367D2" w:rsidRDefault="002D16E5" w:rsidP="009367D2">
                  <w:pPr>
                    <w:jc w:val="center"/>
                    <w:rPr>
                      <w:bCs/>
                    </w:rPr>
                  </w:pPr>
                  <w:r>
                    <w:rPr>
                      <w:bCs/>
                    </w:rPr>
                    <w:t>X</w:t>
                  </w:r>
                </w:p>
              </w:tc>
            </w:tr>
            <w:tr w:rsidR="009367D2" w14:paraId="48382C54" w14:textId="77777777" w:rsidTr="00551564">
              <w:tc>
                <w:tcPr>
                  <w:tcW w:w="6695" w:type="dxa"/>
                </w:tcPr>
                <w:p w14:paraId="589522F9" w14:textId="79F14099" w:rsidR="009367D2" w:rsidRDefault="002D16E5" w:rsidP="00673C59">
                  <w:pPr>
                    <w:ind w:left="350"/>
                    <w:rPr>
                      <w:bCs/>
                    </w:rPr>
                  </w:pPr>
                  <w:r>
                    <w:rPr>
                      <w:bCs/>
                    </w:rPr>
                    <w:t>Montreal Cognitive Assessment Screener</w:t>
                  </w:r>
                </w:p>
              </w:tc>
              <w:tc>
                <w:tcPr>
                  <w:tcW w:w="1559" w:type="dxa"/>
                </w:tcPr>
                <w:p w14:paraId="6C6B8E56" w14:textId="77777777" w:rsidR="009367D2" w:rsidRDefault="009367D2" w:rsidP="009367D2">
                  <w:pPr>
                    <w:jc w:val="center"/>
                    <w:rPr>
                      <w:bCs/>
                    </w:rPr>
                  </w:pPr>
                </w:p>
              </w:tc>
              <w:tc>
                <w:tcPr>
                  <w:tcW w:w="2126" w:type="dxa"/>
                </w:tcPr>
                <w:p w14:paraId="754057F3" w14:textId="5CC3F038" w:rsidR="009367D2" w:rsidRDefault="002D16E5" w:rsidP="009367D2">
                  <w:pPr>
                    <w:jc w:val="center"/>
                    <w:rPr>
                      <w:bCs/>
                    </w:rPr>
                  </w:pPr>
                  <w:r>
                    <w:rPr>
                      <w:bCs/>
                    </w:rPr>
                    <w:t>X</w:t>
                  </w:r>
                </w:p>
              </w:tc>
            </w:tr>
            <w:tr w:rsidR="009367D2" w14:paraId="10BBA40A" w14:textId="77777777" w:rsidTr="00551564">
              <w:tc>
                <w:tcPr>
                  <w:tcW w:w="6695" w:type="dxa"/>
                </w:tcPr>
                <w:p w14:paraId="2E098010" w14:textId="59D5F303" w:rsidR="009367D2" w:rsidRDefault="00F31771" w:rsidP="00F31771">
                  <w:pPr>
                    <w:ind w:left="350"/>
                    <w:rPr>
                      <w:bCs/>
                    </w:rPr>
                  </w:pPr>
                  <w:r>
                    <w:rPr>
                      <w:bCs/>
                    </w:rPr>
                    <w:t>Retinal imaging</w:t>
                  </w:r>
                </w:p>
              </w:tc>
              <w:tc>
                <w:tcPr>
                  <w:tcW w:w="1559" w:type="dxa"/>
                </w:tcPr>
                <w:p w14:paraId="3D82AEB8" w14:textId="77777777" w:rsidR="009367D2" w:rsidRDefault="009367D2" w:rsidP="009367D2">
                  <w:pPr>
                    <w:jc w:val="center"/>
                    <w:rPr>
                      <w:bCs/>
                    </w:rPr>
                  </w:pPr>
                </w:p>
              </w:tc>
              <w:tc>
                <w:tcPr>
                  <w:tcW w:w="2126" w:type="dxa"/>
                </w:tcPr>
                <w:p w14:paraId="59759891" w14:textId="7FD8A9CE" w:rsidR="009367D2" w:rsidRDefault="00F31771" w:rsidP="009367D2">
                  <w:pPr>
                    <w:jc w:val="center"/>
                    <w:rPr>
                      <w:bCs/>
                    </w:rPr>
                  </w:pPr>
                  <w:r>
                    <w:rPr>
                      <w:bCs/>
                    </w:rPr>
                    <w:t>X</w:t>
                  </w:r>
                </w:p>
              </w:tc>
            </w:tr>
            <w:tr w:rsidR="00332C51" w14:paraId="47065624" w14:textId="77777777" w:rsidTr="00551564">
              <w:tc>
                <w:tcPr>
                  <w:tcW w:w="6695" w:type="dxa"/>
                </w:tcPr>
                <w:p w14:paraId="0990D5A6" w14:textId="441BFDE5" w:rsidR="00332C51" w:rsidRDefault="00332C51" w:rsidP="00332C51">
                  <w:pPr>
                    <w:rPr>
                      <w:bCs/>
                    </w:rPr>
                  </w:pPr>
                  <w:r w:rsidRPr="002D16E5">
                    <w:rPr>
                      <w:b/>
                      <w:bCs/>
                    </w:rPr>
                    <w:t>Biomarkers</w:t>
                  </w:r>
                </w:p>
              </w:tc>
              <w:tc>
                <w:tcPr>
                  <w:tcW w:w="1559" w:type="dxa"/>
                </w:tcPr>
                <w:p w14:paraId="1460F5C2" w14:textId="77777777" w:rsidR="00332C51" w:rsidRDefault="00332C51" w:rsidP="00332C51">
                  <w:pPr>
                    <w:jc w:val="center"/>
                    <w:rPr>
                      <w:bCs/>
                    </w:rPr>
                  </w:pPr>
                </w:p>
              </w:tc>
              <w:tc>
                <w:tcPr>
                  <w:tcW w:w="2126" w:type="dxa"/>
                </w:tcPr>
                <w:p w14:paraId="66C0CCA5" w14:textId="77777777" w:rsidR="00332C51" w:rsidRDefault="00332C51" w:rsidP="00332C51">
                  <w:pPr>
                    <w:jc w:val="center"/>
                    <w:rPr>
                      <w:bCs/>
                    </w:rPr>
                  </w:pPr>
                </w:p>
              </w:tc>
            </w:tr>
            <w:tr w:rsidR="00332C51" w14:paraId="718B9F34" w14:textId="77777777" w:rsidTr="00551564">
              <w:tc>
                <w:tcPr>
                  <w:tcW w:w="6695" w:type="dxa"/>
                </w:tcPr>
                <w:p w14:paraId="095B8BD2" w14:textId="00E8098B" w:rsidR="00332C51" w:rsidRDefault="00332C51" w:rsidP="00673C59">
                  <w:pPr>
                    <w:ind w:left="350"/>
                    <w:rPr>
                      <w:bCs/>
                    </w:rPr>
                  </w:pPr>
                  <w:r>
                    <w:rPr>
                      <w:bCs/>
                    </w:rPr>
                    <w:t>Telomere length in persons with CHD</w:t>
                  </w:r>
                </w:p>
              </w:tc>
              <w:tc>
                <w:tcPr>
                  <w:tcW w:w="1559" w:type="dxa"/>
                </w:tcPr>
                <w:p w14:paraId="180FB40F" w14:textId="60C2DAAF" w:rsidR="00332C51" w:rsidRDefault="00332C51" w:rsidP="00332C51">
                  <w:pPr>
                    <w:jc w:val="center"/>
                    <w:rPr>
                      <w:bCs/>
                    </w:rPr>
                  </w:pPr>
                  <w:r>
                    <w:rPr>
                      <w:bCs/>
                    </w:rPr>
                    <w:t>X</w:t>
                  </w:r>
                </w:p>
              </w:tc>
              <w:tc>
                <w:tcPr>
                  <w:tcW w:w="2126" w:type="dxa"/>
                </w:tcPr>
                <w:p w14:paraId="2D7B62D7" w14:textId="2E4C4677" w:rsidR="00332C51" w:rsidRDefault="00332C51" w:rsidP="00332C51">
                  <w:pPr>
                    <w:jc w:val="center"/>
                    <w:rPr>
                      <w:bCs/>
                    </w:rPr>
                  </w:pPr>
                  <w:r>
                    <w:rPr>
                      <w:bCs/>
                    </w:rPr>
                    <w:t>X</w:t>
                  </w:r>
                </w:p>
              </w:tc>
            </w:tr>
            <w:tr w:rsidR="00332C51" w14:paraId="270C2155" w14:textId="77777777" w:rsidTr="00551564">
              <w:tc>
                <w:tcPr>
                  <w:tcW w:w="6695" w:type="dxa"/>
                </w:tcPr>
                <w:p w14:paraId="45FB088A" w14:textId="3F380ED5" w:rsidR="00332C51" w:rsidRPr="002D16E5" w:rsidRDefault="00332C51" w:rsidP="00673C59">
                  <w:pPr>
                    <w:ind w:left="350"/>
                    <w:rPr>
                      <w:b/>
                      <w:bCs/>
                    </w:rPr>
                  </w:pPr>
                  <w:r>
                    <w:rPr>
                      <w:bCs/>
                    </w:rPr>
                    <w:t>Maternal telomere length</w:t>
                  </w:r>
                </w:p>
              </w:tc>
              <w:tc>
                <w:tcPr>
                  <w:tcW w:w="1559" w:type="dxa"/>
                </w:tcPr>
                <w:p w14:paraId="4A836DF3" w14:textId="649DE5C8" w:rsidR="00332C51" w:rsidRDefault="00332C51" w:rsidP="00332C51">
                  <w:pPr>
                    <w:jc w:val="center"/>
                    <w:rPr>
                      <w:bCs/>
                    </w:rPr>
                  </w:pPr>
                  <w:r>
                    <w:rPr>
                      <w:bCs/>
                    </w:rPr>
                    <w:t>X</w:t>
                  </w:r>
                </w:p>
              </w:tc>
              <w:tc>
                <w:tcPr>
                  <w:tcW w:w="2126" w:type="dxa"/>
                </w:tcPr>
                <w:p w14:paraId="2F1DD89F" w14:textId="77777777" w:rsidR="00332C51" w:rsidRDefault="00332C51" w:rsidP="00332C51">
                  <w:pPr>
                    <w:jc w:val="center"/>
                    <w:rPr>
                      <w:bCs/>
                    </w:rPr>
                  </w:pPr>
                </w:p>
              </w:tc>
            </w:tr>
            <w:tr w:rsidR="00332C51" w14:paraId="115898B4" w14:textId="77777777" w:rsidTr="00551564">
              <w:tc>
                <w:tcPr>
                  <w:tcW w:w="6695" w:type="dxa"/>
                </w:tcPr>
                <w:p w14:paraId="5AD00377" w14:textId="6CA057C6" w:rsidR="00332C51" w:rsidRDefault="00332C51" w:rsidP="00673C59">
                  <w:pPr>
                    <w:ind w:left="350"/>
                    <w:rPr>
                      <w:bCs/>
                    </w:rPr>
                  </w:pPr>
                  <w:r>
                    <w:rPr>
                      <w:bCs/>
                    </w:rPr>
                    <w:t>Telomere length in healthy controls</w:t>
                  </w:r>
                </w:p>
              </w:tc>
              <w:tc>
                <w:tcPr>
                  <w:tcW w:w="1559" w:type="dxa"/>
                </w:tcPr>
                <w:p w14:paraId="7921D6C6" w14:textId="5E5440B0" w:rsidR="00332C51" w:rsidRDefault="00332C51" w:rsidP="00332C51">
                  <w:pPr>
                    <w:jc w:val="center"/>
                    <w:rPr>
                      <w:bCs/>
                    </w:rPr>
                  </w:pPr>
                  <w:r>
                    <w:rPr>
                      <w:bCs/>
                    </w:rPr>
                    <w:t>X</w:t>
                  </w:r>
                </w:p>
              </w:tc>
              <w:tc>
                <w:tcPr>
                  <w:tcW w:w="2126" w:type="dxa"/>
                </w:tcPr>
                <w:p w14:paraId="22397560" w14:textId="61428038" w:rsidR="00332C51" w:rsidRDefault="00332C51" w:rsidP="00332C51">
                  <w:pPr>
                    <w:jc w:val="center"/>
                    <w:rPr>
                      <w:bCs/>
                    </w:rPr>
                  </w:pPr>
                  <w:r>
                    <w:rPr>
                      <w:bCs/>
                    </w:rPr>
                    <w:t>X</w:t>
                  </w:r>
                </w:p>
              </w:tc>
            </w:tr>
            <w:tr w:rsidR="00332C51" w14:paraId="7B038667" w14:textId="77777777" w:rsidTr="00551564">
              <w:tc>
                <w:tcPr>
                  <w:tcW w:w="6695" w:type="dxa"/>
                </w:tcPr>
                <w:p w14:paraId="6E1C39D0" w14:textId="7EE667F2" w:rsidR="00332C51" w:rsidRDefault="00332C51" w:rsidP="00673C59">
                  <w:pPr>
                    <w:ind w:left="350"/>
                    <w:rPr>
                      <w:bCs/>
                    </w:rPr>
                  </w:pPr>
                  <w:r>
                    <w:rPr>
                      <w:lang w:val="en-US"/>
                    </w:rPr>
                    <w:t>S</w:t>
                  </w:r>
                  <w:r w:rsidRPr="003A1EAD">
                    <w:rPr>
                      <w:lang w:val="en-US"/>
                    </w:rPr>
                    <w:t>oluble urokinase plasminogen activator receptor (</w:t>
                  </w:r>
                  <w:proofErr w:type="spellStart"/>
                  <w:r w:rsidRPr="003A1EAD">
                    <w:rPr>
                      <w:lang w:val="en-US"/>
                    </w:rPr>
                    <w:t>suPAR</w:t>
                  </w:r>
                  <w:proofErr w:type="spellEnd"/>
                  <w:r>
                    <w:rPr>
                      <w:lang w:val="en-US"/>
                    </w:rPr>
                    <w:t>)</w:t>
                  </w:r>
                </w:p>
              </w:tc>
              <w:tc>
                <w:tcPr>
                  <w:tcW w:w="1559" w:type="dxa"/>
                </w:tcPr>
                <w:p w14:paraId="4BE2DFA4" w14:textId="47DFF8EE" w:rsidR="00332C51" w:rsidRDefault="00332C51" w:rsidP="00332C51">
                  <w:pPr>
                    <w:jc w:val="center"/>
                    <w:rPr>
                      <w:bCs/>
                    </w:rPr>
                  </w:pPr>
                </w:p>
              </w:tc>
              <w:tc>
                <w:tcPr>
                  <w:tcW w:w="2126" w:type="dxa"/>
                </w:tcPr>
                <w:p w14:paraId="59AA72D0" w14:textId="3C53E8FC" w:rsidR="00332C51" w:rsidRDefault="0099551E" w:rsidP="00332C51">
                  <w:pPr>
                    <w:jc w:val="center"/>
                    <w:rPr>
                      <w:bCs/>
                    </w:rPr>
                  </w:pPr>
                  <w:r>
                    <w:rPr>
                      <w:bCs/>
                    </w:rPr>
                    <w:t>*X</w:t>
                  </w:r>
                </w:p>
              </w:tc>
            </w:tr>
            <w:tr w:rsidR="00332C51" w14:paraId="7F4BBC3A" w14:textId="77777777" w:rsidTr="00551564">
              <w:tc>
                <w:tcPr>
                  <w:tcW w:w="6695" w:type="dxa"/>
                </w:tcPr>
                <w:p w14:paraId="197D62F6" w14:textId="33F9636E" w:rsidR="00332C51" w:rsidRDefault="00332C51" w:rsidP="00673C59">
                  <w:pPr>
                    <w:ind w:left="350"/>
                    <w:rPr>
                      <w:bCs/>
                    </w:rPr>
                  </w:pPr>
                  <w:r>
                    <w:rPr>
                      <w:lang w:val="en-US"/>
                    </w:rPr>
                    <w:lastRenderedPageBreak/>
                    <w:t>H</w:t>
                  </w:r>
                  <w:r w:rsidRPr="008778EA">
                    <w:rPr>
                      <w:lang w:val="en-US"/>
                    </w:rPr>
                    <w:t xml:space="preserve">igh sensitivity C-reactive protein </w:t>
                  </w:r>
                  <w:r>
                    <w:rPr>
                      <w:lang w:val="en-US"/>
                    </w:rPr>
                    <w:t>(</w:t>
                  </w:r>
                  <w:proofErr w:type="spellStart"/>
                  <w:r>
                    <w:rPr>
                      <w:lang w:val="en-US"/>
                    </w:rPr>
                    <w:t>hsCRP</w:t>
                  </w:r>
                  <w:proofErr w:type="spellEnd"/>
                  <w:r>
                    <w:rPr>
                      <w:lang w:val="en-US"/>
                    </w:rPr>
                    <w:t>)</w:t>
                  </w:r>
                </w:p>
              </w:tc>
              <w:tc>
                <w:tcPr>
                  <w:tcW w:w="1559" w:type="dxa"/>
                </w:tcPr>
                <w:p w14:paraId="7A4A47D6" w14:textId="77777777" w:rsidR="00332C51" w:rsidRDefault="00332C51" w:rsidP="00332C51">
                  <w:pPr>
                    <w:jc w:val="center"/>
                    <w:rPr>
                      <w:bCs/>
                    </w:rPr>
                  </w:pPr>
                </w:p>
              </w:tc>
              <w:tc>
                <w:tcPr>
                  <w:tcW w:w="2126" w:type="dxa"/>
                </w:tcPr>
                <w:p w14:paraId="0EB2E018" w14:textId="65D970F3" w:rsidR="00332C51" w:rsidRDefault="0099551E" w:rsidP="00332C51">
                  <w:pPr>
                    <w:jc w:val="center"/>
                    <w:rPr>
                      <w:bCs/>
                    </w:rPr>
                  </w:pPr>
                  <w:r>
                    <w:rPr>
                      <w:bCs/>
                    </w:rPr>
                    <w:t>*X</w:t>
                  </w:r>
                </w:p>
              </w:tc>
            </w:tr>
            <w:tr w:rsidR="00332C51" w14:paraId="6DA9B2F1" w14:textId="77777777" w:rsidTr="00551564">
              <w:tc>
                <w:tcPr>
                  <w:tcW w:w="6695" w:type="dxa"/>
                </w:tcPr>
                <w:p w14:paraId="59180A7B" w14:textId="1203866D" w:rsidR="00332C51" w:rsidRDefault="00332C51" w:rsidP="00673C59">
                  <w:pPr>
                    <w:ind w:left="350"/>
                    <w:rPr>
                      <w:bCs/>
                    </w:rPr>
                  </w:pPr>
                  <w:r>
                    <w:rPr>
                      <w:iCs/>
                      <w:lang w:val="en-US"/>
                    </w:rPr>
                    <w:t>E</w:t>
                  </w:r>
                  <w:r w:rsidRPr="003A1EAD">
                    <w:rPr>
                      <w:iCs/>
                      <w:lang w:val="en-US"/>
                    </w:rPr>
                    <w:t>pigenetic clock based on DNA methylation</w:t>
                  </w:r>
                  <w:r w:rsidR="00551564">
                    <w:rPr>
                      <w:iCs/>
                      <w:lang w:val="en-US"/>
                    </w:rPr>
                    <w:t xml:space="preserve"> (</w:t>
                  </w:r>
                  <w:proofErr w:type="spellStart"/>
                  <w:r w:rsidR="00551564">
                    <w:rPr>
                      <w:iCs/>
                      <w:lang w:val="en-US"/>
                    </w:rPr>
                    <w:t>DiffAge</w:t>
                  </w:r>
                  <w:proofErr w:type="spellEnd"/>
                  <w:r w:rsidR="00551564">
                    <w:rPr>
                      <w:iCs/>
                      <w:lang w:val="en-US"/>
                    </w:rPr>
                    <w:t xml:space="preserve">, </w:t>
                  </w:r>
                  <w:proofErr w:type="spellStart"/>
                  <w:r w:rsidR="00551564">
                    <w:rPr>
                      <w:iCs/>
                      <w:lang w:val="en-US"/>
                    </w:rPr>
                    <w:t>GrimAge</w:t>
                  </w:r>
                  <w:proofErr w:type="spellEnd"/>
                  <w:r w:rsidR="00551564">
                    <w:rPr>
                      <w:iCs/>
                      <w:lang w:val="en-US"/>
                    </w:rPr>
                    <w:t>)</w:t>
                  </w:r>
                </w:p>
              </w:tc>
              <w:tc>
                <w:tcPr>
                  <w:tcW w:w="1559" w:type="dxa"/>
                </w:tcPr>
                <w:p w14:paraId="0A57055A" w14:textId="77777777" w:rsidR="00332C51" w:rsidRDefault="00332C51" w:rsidP="00332C51">
                  <w:pPr>
                    <w:jc w:val="center"/>
                    <w:rPr>
                      <w:bCs/>
                    </w:rPr>
                  </w:pPr>
                </w:p>
              </w:tc>
              <w:tc>
                <w:tcPr>
                  <w:tcW w:w="2126" w:type="dxa"/>
                </w:tcPr>
                <w:p w14:paraId="4774FA0E" w14:textId="5C8BE827" w:rsidR="00332C51" w:rsidRDefault="0099551E" w:rsidP="00332C51">
                  <w:pPr>
                    <w:jc w:val="center"/>
                    <w:rPr>
                      <w:bCs/>
                    </w:rPr>
                  </w:pPr>
                  <w:r>
                    <w:rPr>
                      <w:bCs/>
                    </w:rPr>
                    <w:t>*X</w:t>
                  </w:r>
                </w:p>
              </w:tc>
            </w:tr>
          </w:tbl>
          <w:p w14:paraId="3C3E0556" w14:textId="77777777" w:rsidR="00570AAC" w:rsidRPr="00570AAC" w:rsidRDefault="00570AAC" w:rsidP="6320600B">
            <w:pPr>
              <w:rPr>
                <w:bCs/>
              </w:rPr>
            </w:pPr>
          </w:p>
          <w:p w14:paraId="501822AC" w14:textId="0CE305DF" w:rsidR="00570AAC" w:rsidRDefault="00BB7984" w:rsidP="00091F3F">
            <w:pPr>
              <w:rPr>
                <w:rFonts w:ascii="NimbusSanL-Regu" w:hAnsi="NimbusSanL-Regu" w:cs="NimbusSanL-Regu"/>
                <w:sz w:val="25"/>
                <w:szCs w:val="25"/>
              </w:rPr>
            </w:pPr>
            <w:r>
              <w:rPr>
                <w:bCs/>
              </w:rPr>
              <w:t>Observational data will be collected on paper</w:t>
            </w:r>
            <w:r w:rsidR="001B6CE9">
              <w:rPr>
                <w:bCs/>
              </w:rPr>
              <w:t xml:space="preserve">, and will be </w:t>
            </w:r>
            <w:proofErr w:type="spellStart"/>
            <w:r w:rsidR="001B6CE9">
              <w:rPr>
                <w:bCs/>
              </w:rPr>
              <w:t>pseudonomized</w:t>
            </w:r>
            <w:proofErr w:type="spellEnd"/>
            <w:r w:rsidR="001B6CE9">
              <w:rPr>
                <w:bCs/>
              </w:rPr>
              <w:t xml:space="preserve">. Afterwards, the data will </w:t>
            </w:r>
            <w:r>
              <w:rPr>
                <w:bCs/>
              </w:rPr>
              <w:t xml:space="preserve">be imputed in a secured online database using </w:t>
            </w:r>
            <w:proofErr w:type="spellStart"/>
            <w:r>
              <w:rPr>
                <w:bCs/>
              </w:rPr>
              <w:t>REDCap</w:t>
            </w:r>
            <w:proofErr w:type="spellEnd"/>
            <w:r>
              <w:rPr>
                <w:bCs/>
              </w:rPr>
              <w:t>.</w:t>
            </w:r>
            <w:r w:rsidR="001B6CE9">
              <w:rPr>
                <w:bCs/>
              </w:rPr>
              <w:t xml:space="preserve"> For archiving purposes, the hard copies of the research documents will be stored in a locked room at the respective university hospitals. </w:t>
            </w:r>
            <w:r w:rsidR="00BB0D57">
              <w:rPr>
                <w:bCs/>
              </w:rPr>
              <w:t xml:space="preserve">When data are extracted from </w:t>
            </w:r>
            <w:proofErr w:type="spellStart"/>
            <w:r w:rsidR="00BB0D57">
              <w:rPr>
                <w:bCs/>
              </w:rPr>
              <w:t>REDCap</w:t>
            </w:r>
            <w:proofErr w:type="spellEnd"/>
            <w:r w:rsidR="00BB0D57">
              <w:rPr>
                <w:bCs/>
              </w:rPr>
              <w:t xml:space="preserve"> for analysis, </w:t>
            </w:r>
            <w:r w:rsidR="00091F3F">
              <w:rPr>
                <w:bCs/>
              </w:rPr>
              <w:t xml:space="preserve">they will be stored on drives that are protected with </w:t>
            </w:r>
            <w:r w:rsidR="00091F3F" w:rsidRPr="00570AAC">
              <w:rPr>
                <w:rFonts w:ascii="NimbusSanL-Regu" w:hAnsi="NimbusSanL-Regu" w:cs="NimbusSanL-Regu"/>
                <w:sz w:val="25"/>
                <w:szCs w:val="25"/>
              </w:rPr>
              <w:t>multi-factor authentica</w:t>
            </w:r>
            <w:r w:rsidR="00091F3F">
              <w:rPr>
                <w:rFonts w:ascii="NimbusSanL-Regu" w:hAnsi="NimbusSanL-Regu" w:cs="NimbusSanL-Regu"/>
                <w:sz w:val="25"/>
                <w:szCs w:val="25"/>
              </w:rPr>
              <w:t xml:space="preserve">tion (e.g. OneDrive for Business). </w:t>
            </w:r>
            <w:r w:rsidR="00570AAC" w:rsidRPr="00570AAC">
              <w:rPr>
                <w:rFonts w:ascii="NimbusSanL-Regu" w:hAnsi="NimbusSanL-Regu" w:cs="NimbusSanL-Regu"/>
                <w:sz w:val="25"/>
                <w:szCs w:val="25"/>
              </w:rPr>
              <w:t>We expect the total volume of each study not to exceed 1 GB.</w:t>
            </w:r>
          </w:p>
          <w:p w14:paraId="605B74CC" w14:textId="77777777" w:rsidR="007D7B79" w:rsidRDefault="007D7B79" w:rsidP="00091F3F">
            <w:pPr>
              <w:rPr>
                <w:rFonts w:ascii="NimbusSanL-Regu" w:hAnsi="NimbusSanL-Regu" w:cs="NimbusSanL-Regu"/>
                <w:sz w:val="25"/>
                <w:szCs w:val="25"/>
              </w:rPr>
            </w:pPr>
          </w:p>
          <w:p w14:paraId="7C64EC57" w14:textId="54A372F4" w:rsidR="00091F3F" w:rsidRDefault="0002553B" w:rsidP="00091F3F">
            <w:pPr>
              <w:rPr>
                <w:rFonts w:ascii="NimbusSanL-Regu" w:hAnsi="NimbusSanL-Regu" w:cs="NimbusSanL-Regu"/>
                <w:sz w:val="25"/>
                <w:szCs w:val="25"/>
              </w:rPr>
            </w:pPr>
            <w:r>
              <w:rPr>
                <w:rFonts w:ascii="NimbusSanL-Regu" w:hAnsi="NimbusSanL-Regu" w:cs="NimbusSanL-Regu"/>
                <w:sz w:val="25"/>
                <w:szCs w:val="25"/>
              </w:rPr>
              <w:t>B</w:t>
            </w:r>
            <w:r w:rsidR="00530F10">
              <w:rPr>
                <w:rFonts w:ascii="NimbusSanL-Regu" w:hAnsi="NimbusSanL-Regu" w:cs="NimbusSanL-Regu"/>
                <w:sz w:val="25"/>
                <w:szCs w:val="25"/>
              </w:rPr>
              <w:t>lood for biomarkers will be stored in the biobanks of the respective University Hospitals. Assessment of telomere length will be done at the core lab for the project, located at the University of Hasselt</w:t>
            </w:r>
            <w:r w:rsidR="000163D1">
              <w:rPr>
                <w:rFonts w:ascii="NimbusSanL-Regu" w:hAnsi="NimbusSanL-Regu" w:cs="NimbusSanL-Regu"/>
                <w:sz w:val="25"/>
                <w:szCs w:val="25"/>
              </w:rPr>
              <w:t xml:space="preserve">, under supervision of Prof. T. </w:t>
            </w:r>
            <w:proofErr w:type="spellStart"/>
            <w:r w:rsidR="000163D1">
              <w:rPr>
                <w:rFonts w:ascii="NimbusSanL-Regu" w:hAnsi="NimbusSanL-Regu" w:cs="NimbusSanL-Regu"/>
                <w:sz w:val="25"/>
                <w:szCs w:val="25"/>
              </w:rPr>
              <w:t>Nawrot</w:t>
            </w:r>
            <w:proofErr w:type="spellEnd"/>
            <w:r w:rsidR="00530F10">
              <w:rPr>
                <w:rFonts w:ascii="NimbusSanL-Regu" w:hAnsi="NimbusSanL-Regu" w:cs="NimbusSanL-Regu"/>
                <w:sz w:val="25"/>
                <w:szCs w:val="25"/>
              </w:rPr>
              <w:t xml:space="preserve">. </w:t>
            </w:r>
            <w:r w:rsidR="000163D1">
              <w:rPr>
                <w:rFonts w:ascii="NimbusSanL-Regu" w:hAnsi="NimbusSanL-Regu" w:cs="NimbusSanL-Regu"/>
                <w:sz w:val="25"/>
                <w:szCs w:val="25"/>
              </w:rPr>
              <w:t xml:space="preserve">The assessment of the epigenetic clock will be done at the </w:t>
            </w:r>
            <w:proofErr w:type="spellStart"/>
            <w:r w:rsidR="000163D1">
              <w:rPr>
                <w:rFonts w:ascii="NimbusSanL-Regu" w:hAnsi="NimbusSanL-Regu" w:cs="NimbusSanL-Regu"/>
                <w:sz w:val="25"/>
                <w:szCs w:val="25"/>
              </w:rPr>
              <w:t>center</w:t>
            </w:r>
            <w:proofErr w:type="spellEnd"/>
            <w:r w:rsidR="000163D1">
              <w:rPr>
                <w:rFonts w:ascii="NimbusSanL-Regu" w:hAnsi="NimbusSanL-Regu" w:cs="NimbusSanL-Regu"/>
                <w:sz w:val="25"/>
                <w:szCs w:val="25"/>
              </w:rPr>
              <w:t xml:space="preserve"> of medical genetics of the University Hospital of Ghent</w:t>
            </w:r>
            <w:r w:rsidR="00E94D1B">
              <w:rPr>
                <w:rFonts w:ascii="NimbusSanL-Regu" w:hAnsi="NimbusSanL-Regu" w:cs="NimbusSanL-Regu"/>
                <w:sz w:val="25"/>
                <w:szCs w:val="25"/>
              </w:rPr>
              <w:t xml:space="preserve">, under supervision of Prof. P. </w:t>
            </w:r>
            <w:proofErr w:type="spellStart"/>
            <w:r w:rsidR="00E94D1B">
              <w:rPr>
                <w:rFonts w:ascii="NimbusSanL-Regu" w:hAnsi="NimbusSanL-Regu" w:cs="NimbusSanL-Regu"/>
                <w:sz w:val="25"/>
                <w:szCs w:val="25"/>
              </w:rPr>
              <w:t>Coucke</w:t>
            </w:r>
            <w:proofErr w:type="spellEnd"/>
            <w:r w:rsidR="000163D1">
              <w:rPr>
                <w:rFonts w:ascii="NimbusSanL-Regu" w:hAnsi="NimbusSanL-Regu" w:cs="NimbusSanL-Regu"/>
                <w:sz w:val="25"/>
                <w:szCs w:val="25"/>
              </w:rPr>
              <w:t xml:space="preserve">. </w:t>
            </w:r>
            <w:r w:rsidR="00953ACA">
              <w:rPr>
                <w:rFonts w:ascii="NimbusSanL-Regu" w:hAnsi="NimbusSanL-Regu" w:cs="NimbusSanL-Regu"/>
                <w:sz w:val="25"/>
                <w:szCs w:val="25"/>
              </w:rPr>
              <w:t xml:space="preserve">Samples will be shipped to the respective labs in a </w:t>
            </w:r>
            <w:proofErr w:type="spellStart"/>
            <w:r w:rsidR="00953ACA">
              <w:rPr>
                <w:rFonts w:ascii="NimbusSanL-Regu" w:hAnsi="NimbusSanL-Regu" w:cs="NimbusSanL-Regu"/>
                <w:sz w:val="25"/>
                <w:szCs w:val="25"/>
              </w:rPr>
              <w:t>pseudonomized</w:t>
            </w:r>
            <w:proofErr w:type="spellEnd"/>
            <w:r w:rsidR="00953ACA">
              <w:rPr>
                <w:rFonts w:ascii="NimbusSanL-Regu" w:hAnsi="NimbusSanL-Regu" w:cs="NimbusSanL-Regu"/>
                <w:sz w:val="25"/>
                <w:szCs w:val="25"/>
              </w:rPr>
              <w:t xml:space="preserve"> way.</w:t>
            </w:r>
          </w:p>
          <w:p w14:paraId="0F52BBCD" w14:textId="3C8B0681" w:rsidR="00091F3F" w:rsidRDefault="00091F3F" w:rsidP="00091F3F">
            <w:pPr>
              <w:rPr>
                <w:rFonts w:ascii="NimbusSanL-Regu" w:hAnsi="NimbusSanL-Regu" w:cs="NimbusSanL-Regu"/>
                <w:sz w:val="25"/>
                <w:szCs w:val="25"/>
              </w:rPr>
            </w:pPr>
          </w:p>
          <w:p w14:paraId="269CBDCD" w14:textId="2BD61CB5" w:rsidR="00570AAC" w:rsidRPr="00570AAC" w:rsidRDefault="00570AAC" w:rsidP="00570AAC">
            <w:pPr>
              <w:autoSpaceDE w:val="0"/>
              <w:autoSpaceDN w:val="0"/>
              <w:adjustRightInd w:val="0"/>
              <w:rPr>
                <w:b/>
                <w:bCs/>
              </w:rPr>
            </w:pPr>
          </w:p>
        </w:tc>
      </w:tr>
    </w:tbl>
    <w:p w14:paraId="269CBDCF"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57444132" w14:paraId="269CBDD2" w14:textId="77777777" w:rsidTr="005E32FD">
        <w:trPr>
          <w:cantSplit/>
          <w:trHeight w:val="269"/>
        </w:trPr>
        <w:tc>
          <w:tcPr>
            <w:tcW w:w="15593" w:type="dxa"/>
            <w:gridSpan w:val="2"/>
            <w:shd w:val="clear" w:color="auto" w:fill="5B9BD5" w:themeFill="accent5"/>
          </w:tcPr>
          <w:p w14:paraId="269CBDD0" w14:textId="77777777" w:rsidR="57444132" w:rsidRPr="00877A71" w:rsidRDefault="6320600B" w:rsidP="6320600B">
            <w:pPr>
              <w:pStyle w:val="ListParagraph"/>
              <w:numPr>
                <w:ilvl w:val="0"/>
                <w:numId w:val="22"/>
              </w:numPr>
              <w:jc w:val="center"/>
              <w:rPr>
                <w:b/>
                <w:bCs/>
              </w:rPr>
            </w:pPr>
            <w:r w:rsidRPr="6320600B">
              <w:rPr>
                <w:b/>
                <w:bCs/>
              </w:rPr>
              <w:t>Ethical and legal issues</w:t>
            </w:r>
          </w:p>
          <w:p w14:paraId="269CBDD1" w14:textId="77777777" w:rsidR="00877A71" w:rsidRPr="00AB71F6" w:rsidRDefault="00877A71" w:rsidP="00877A71">
            <w:pPr>
              <w:pStyle w:val="ListParagraph"/>
              <w:ind w:left="1080"/>
              <w:rPr>
                <w:b/>
              </w:rPr>
            </w:pPr>
          </w:p>
        </w:tc>
      </w:tr>
      <w:tr w:rsidR="002300DE" w14:paraId="269CBDDB" w14:textId="77777777" w:rsidTr="00436EB9">
        <w:trPr>
          <w:cantSplit/>
          <w:trHeight w:val="269"/>
        </w:trPr>
        <w:tc>
          <w:tcPr>
            <w:tcW w:w="4962" w:type="dxa"/>
            <w:shd w:val="clear" w:color="auto" w:fill="FFFFFF" w:themeFill="background1"/>
          </w:tcPr>
          <w:p w14:paraId="269CBDD3" w14:textId="77777777" w:rsidR="002300DE" w:rsidRDefault="002300DE" w:rsidP="0035345E">
            <w:pPr>
              <w:jc w:val="both"/>
            </w:pPr>
            <w:r>
              <w:lastRenderedPageBreak/>
              <w:t>Will you use personal data? If so, shortly describe the kind of personal data you will use AND add the reference to your file in your host institution's privacy register.</w:t>
            </w:r>
          </w:p>
          <w:p w14:paraId="269CBDD4" w14:textId="77777777" w:rsidR="00CA2D12" w:rsidRPr="00CA2D12" w:rsidRDefault="00CA2D12" w:rsidP="0035345E">
            <w:pPr>
              <w:jc w:val="both"/>
              <w:rPr>
                <w:sz w:val="12"/>
              </w:rPr>
            </w:pPr>
          </w:p>
          <w:p w14:paraId="269CBDD5" w14:textId="77777777" w:rsidR="00CA2D12" w:rsidRPr="00CA2D12" w:rsidRDefault="00CA2D12" w:rsidP="0035345E">
            <w:pPr>
              <w:jc w:val="both"/>
              <w:rPr>
                <w:i/>
              </w:rPr>
            </w:pPr>
            <w:r w:rsidRPr="00CA2D12">
              <w:rPr>
                <w:i/>
                <w:sz w:val="22"/>
              </w:rPr>
              <w:t>In case your host institution does not (yet) have a privacy register, a reference is not yet required of course; please add the reference once the privacy register is in place in your host institution.</w:t>
            </w:r>
          </w:p>
        </w:tc>
        <w:tc>
          <w:tcPr>
            <w:tcW w:w="10631" w:type="dxa"/>
            <w:shd w:val="clear" w:color="auto" w:fill="FFFFFF" w:themeFill="background1"/>
          </w:tcPr>
          <w:p w14:paraId="269CBDD6" w14:textId="20EE97EB" w:rsidR="00CA2D12" w:rsidRPr="00250516" w:rsidRDefault="007E14A9" w:rsidP="00CA2D12">
            <w:pPr>
              <w:rPr>
                <w:lang w:val="en-US"/>
              </w:rPr>
            </w:pPr>
            <w:sdt>
              <w:sdtPr>
                <w:rPr>
                  <w:lang w:val="en-US"/>
                </w:rPr>
                <w:id w:val="1415505823"/>
                <w14:checkbox>
                  <w14:checked w14:val="1"/>
                  <w14:checkedState w14:val="2612" w14:font="MS Gothic"/>
                  <w14:uncheckedState w14:val="2610" w14:font="MS Gothic"/>
                </w14:checkbox>
              </w:sdtPr>
              <w:sdtEndPr/>
              <w:sdtContent>
                <w:r w:rsidR="00A92182">
                  <w:rPr>
                    <w:rFonts w:ascii="MS Gothic" w:eastAsia="MS Gothic" w:hAnsi="MS Gothic" w:hint="eastAsia"/>
                    <w:lang w:val="en-US"/>
                  </w:rPr>
                  <w:t>☒</w:t>
                </w:r>
              </w:sdtContent>
            </w:sdt>
            <w:r w:rsidR="00CA2D12">
              <w:rPr>
                <w:lang w:val="en-US"/>
              </w:rPr>
              <w:t xml:space="preserve"> Yes</w:t>
            </w:r>
          </w:p>
          <w:p w14:paraId="269CBDD7" w14:textId="77777777" w:rsidR="002300DE" w:rsidRDefault="007E14A9" w:rsidP="00CA2D12">
            <w:pPr>
              <w:rPr>
                <w:lang w:val="en-US"/>
              </w:rPr>
            </w:pPr>
            <w:sdt>
              <w:sdtPr>
                <w:rPr>
                  <w:lang w:val="en-US"/>
                </w:rPr>
                <w:id w:val="658888684"/>
                <w14:checkbox>
                  <w14:checked w14:val="0"/>
                  <w14:checkedState w14:val="2612" w14:font="MS Gothic"/>
                  <w14:uncheckedState w14:val="2610" w14:font="MS Gothic"/>
                </w14:checkbox>
              </w:sdtPr>
              <w:sdtEndPr/>
              <w:sdtContent>
                <w:r w:rsidR="00CA2D12">
                  <w:rPr>
                    <w:rFonts w:ascii="MS Gothic" w:eastAsia="MS Gothic" w:hAnsi="MS Gothic" w:hint="eastAsia"/>
                    <w:lang w:val="en-US"/>
                  </w:rPr>
                  <w:t>☐</w:t>
                </w:r>
              </w:sdtContent>
            </w:sdt>
            <w:r w:rsidR="00CA2D12">
              <w:rPr>
                <w:lang w:val="en-US"/>
              </w:rPr>
              <w:t xml:space="preserve"> No</w:t>
            </w:r>
          </w:p>
          <w:p w14:paraId="269CBDD8" w14:textId="77777777" w:rsidR="00CA2D12" w:rsidRDefault="00CA2D12" w:rsidP="00CA2D12">
            <w:pPr>
              <w:rPr>
                <w:lang w:val="en-US"/>
              </w:rPr>
            </w:pPr>
            <w:r>
              <w:rPr>
                <w:lang w:val="en-US"/>
              </w:rPr>
              <w:t xml:space="preserve">If yes: </w:t>
            </w:r>
          </w:p>
          <w:p w14:paraId="269CBDD9" w14:textId="77777777" w:rsidR="00CA2D12" w:rsidRPr="00CA2D12" w:rsidRDefault="00CA2D12" w:rsidP="00CA2D12">
            <w:pPr>
              <w:pStyle w:val="ListParagraph"/>
              <w:numPr>
                <w:ilvl w:val="0"/>
                <w:numId w:val="27"/>
              </w:numPr>
              <w:rPr>
                <w:lang w:val="en-US"/>
              </w:rPr>
            </w:pPr>
            <w:r w:rsidRPr="00CA2D12">
              <w:rPr>
                <w:lang w:val="en-US"/>
              </w:rPr>
              <w:t>Privacy Registry Reference:</w:t>
            </w:r>
          </w:p>
          <w:p w14:paraId="7FB635D4" w14:textId="77777777" w:rsidR="00CA2D12" w:rsidRPr="005738F6" w:rsidRDefault="00CA2D12" w:rsidP="00CA2D12">
            <w:pPr>
              <w:pStyle w:val="ListParagraph"/>
              <w:numPr>
                <w:ilvl w:val="0"/>
                <w:numId w:val="27"/>
              </w:numPr>
              <w:rPr>
                <w:b/>
                <w:bCs/>
              </w:rPr>
            </w:pPr>
            <w:r w:rsidRPr="00CA2D12">
              <w:rPr>
                <w:lang w:val="en-US"/>
              </w:rPr>
              <w:t>Short description of the kind of personal data that will be used:</w:t>
            </w:r>
          </w:p>
          <w:p w14:paraId="7DB1F96E" w14:textId="77777777" w:rsidR="005738F6" w:rsidRPr="0063478B" w:rsidRDefault="005738F6" w:rsidP="005738F6">
            <w:pPr>
              <w:rPr>
                <w:bCs/>
              </w:rPr>
            </w:pPr>
          </w:p>
          <w:p w14:paraId="4D26FD99" w14:textId="05016901" w:rsidR="005738F6" w:rsidRPr="0063478B" w:rsidRDefault="00804303" w:rsidP="005738F6">
            <w:pPr>
              <w:rPr>
                <w:bCs/>
              </w:rPr>
            </w:pPr>
            <w:r w:rsidRPr="0063478B">
              <w:rPr>
                <w:bCs/>
              </w:rPr>
              <w:t xml:space="preserve">Since this project will collect personal data, approval from the Ethics </w:t>
            </w:r>
            <w:r w:rsidR="0063478B" w:rsidRPr="0063478B">
              <w:rPr>
                <w:bCs/>
              </w:rPr>
              <w:t>Committee UZ/KU Leuven and UZ Ghent will be sought. The Committee of UZ/KUL Leuven will serve as central committee.</w:t>
            </w:r>
            <w:r w:rsidR="0054050A">
              <w:rPr>
                <w:bCs/>
              </w:rPr>
              <w:t xml:space="preserve"> Both the observational data as the biomarkers (see </w:t>
            </w:r>
            <w:r w:rsidR="00DB5539">
              <w:rPr>
                <w:bCs/>
              </w:rPr>
              <w:t xml:space="preserve">section </w:t>
            </w:r>
            <w:r w:rsidR="0054050A">
              <w:rPr>
                <w:bCs/>
              </w:rPr>
              <w:t>above) are seen as sensitive data</w:t>
            </w:r>
            <w:r w:rsidR="00810602">
              <w:rPr>
                <w:bCs/>
              </w:rPr>
              <w:t xml:space="preserve">, and will be treated accordingly. </w:t>
            </w:r>
          </w:p>
          <w:p w14:paraId="269CBDDA" w14:textId="7BBAED1A" w:rsidR="0063478B" w:rsidRPr="005738F6" w:rsidRDefault="0063478B" w:rsidP="005738F6">
            <w:pPr>
              <w:rPr>
                <w:b/>
                <w:bCs/>
              </w:rPr>
            </w:pPr>
          </w:p>
        </w:tc>
      </w:tr>
      <w:tr w:rsidR="002300DE" w14:paraId="269CBDE2" w14:textId="77777777" w:rsidTr="00436EB9">
        <w:trPr>
          <w:cantSplit/>
          <w:trHeight w:val="269"/>
        </w:trPr>
        <w:tc>
          <w:tcPr>
            <w:tcW w:w="4962" w:type="dxa"/>
            <w:shd w:val="clear" w:color="auto" w:fill="FFFFFF" w:themeFill="background1"/>
          </w:tcPr>
          <w:p w14:paraId="269CBDDC" w14:textId="77777777" w:rsidR="002300DE" w:rsidRPr="00F04C6A" w:rsidRDefault="002300DE" w:rsidP="5FB6CA38">
            <w:pPr>
              <w:rPr>
                <w:rFonts w:ascii="Arial" w:eastAsia="Times New Roman" w:hAnsi="Arial" w:cs="Arial"/>
                <w:sz w:val="16"/>
                <w:szCs w:val="16"/>
                <w:lang w:val="en-US" w:eastAsia="nl-BE"/>
              </w:rPr>
            </w:pPr>
            <w:r>
              <w:t>Are there any ethical issues concerning the creation and/or use of the data (e.g. experiments on humans or animals, dual use)? If so, add the reference to the formal approval by the relevant ethical review committee(s).</w:t>
            </w:r>
          </w:p>
        </w:tc>
        <w:tc>
          <w:tcPr>
            <w:tcW w:w="10631" w:type="dxa"/>
            <w:shd w:val="clear" w:color="auto" w:fill="FFFFFF" w:themeFill="background1"/>
          </w:tcPr>
          <w:p w14:paraId="269CBDDD" w14:textId="457980F7" w:rsidR="00CA2D12" w:rsidRPr="00250516" w:rsidRDefault="007E14A9" w:rsidP="00CA2D12">
            <w:pPr>
              <w:rPr>
                <w:lang w:val="en-US"/>
              </w:rPr>
            </w:pPr>
            <w:sdt>
              <w:sdtPr>
                <w:rPr>
                  <w:lang w:val="en-US"/>
                </w:rPr>
                <w:id w:val="-2133849028"/>
                <w14:checkbox>
                  <w14:checked w14:val="1"/>
                  <w14:checkedState w14:val="2612" w14:font="MS Gothic"/>
                  <w14:uncheckedState w14:val="2610" w14:font="MS Gothic"/>
                </w14:checkbox>
              </w:sdtPr>
              <w:sdtEndPr/>
              <w:sdtContent>
                <w:r w:rsidR="00A92182">
                  <w:rPr>
                    <w:rFonts w:ascii="MS Gothic" w:eastAsia="MS Gothic" w:hAnsi="MS Gothic" w:hint="eastAsia"/>
                    <w:lang w:val="en-US"/>
                  </w:rPr>
                  <w:t>☒</w:t>
                </w:r>
              </w:sdtContent>
            </w:sdt>
            <w:r w:rsidR="00CA2D12">
              <w:rPr>
                <w:lang w:val="en-US"/>
              </w:rPr>
              <w:t xml:space="preserve"> Yes</w:t>
            </w:r>
          </w:p>
          <w:p w14:paraId="269CBDDE" w14:textId="77777777" w:rsidR="00CA2D12" w:rsidRDefault="007E14A9" w:rsidP="00CA2D12">
            <w:pPr>
              <w:rPr>
                <w:lang w:val="en-US"/>
              </w:rPr>
            </w:pPr>
            <w:sdt>
              <w:sdtPr>
                <w:rPr>
                  <w:lang w:val="en-US"/>
                </w:rPr>
                <w:id w:val="-1366749508"/>
                <w14:checkbox>
                  <w14:checked w14:val="0"/>
                  <w14:checkedState w14:val="2612" w14:font="MS Gothic"/>
                  <w14:uncheckedState w14:val="2610" w14:font="MS Gothic"/>
                </w14:checkbox>
              </w:sdtPr>
              <w:sdtEndPr/>
              <w:sdtContent>
                <w:r w:rsidR="00CA2D12">
                  <w:rPr>
                    <w:rFonts w:ascii="MS Gothic" w:eastAsia="MS Gothic" w:hAnsi="MS Gothic" w:hint="eastAsia"/>
                    <w:lang w:val="en-US"/>
                  </w:rPr>
                  <w:t>☐</w:t>
                </w:r>
              </w:sdtContent>
            </w:sdt>
            <w:r w:rsidR="00CA2D12">
              <w:rPr>
                <w:lang w:val="en-US"/>
              </w:rPr>
              <w:t xml:space="preserve"> No</w:t>
            </w:r>
          </w:p>
          <w:p w14:paraId="269CBDDF" w14:textId="77777777" w:rsidR="00CA2D12" w:rsidRDefault="00CA2D12" w:rsidP="00CA2D12">
            <w:pPr>
              <w:rPr>
                <w:lang w:val="en-US"/>
              </w:rPr>
            </w:pPr>
            <w:r>
              <w:rPr>
                <w:lang w:val="en-US"/>
              </w:rPr>
              <w:t xml:space="preserve">If yes: </w:t>
            </w:r>
          </w:p>
          <w:p w14:paraId="5C7CF23D" w14:textId="7DA6B5CD" w:rsidR="000E2B23" w:rsidRDefault="00CA2D12" w:rsidP="000E2B23">
            <w:pPr>
              <w:pStyle w:val="ListParagraph"/>
              <w:numPr>
                <w:ilvl w:val="0"/>
                <w:numId w:val="27"/>
              </w:numPr>
              <w:jc w:val="both"/>
            </w:pPr>
            <w:r>
              <w:t>Reference to ethical committee approval:</w:t>
            </w:r>
          </w:p>
          <w:p w14:paraId="7F9984C3" w14:textId="5E968B25" w:rsidR="000E2B23" w:rsidRDefault="000E2B23" w:rsidP="000E2B23">
            <w:pPr>
              <w:jc w:val="both"/>
            </w:pPr>
          </w:p>
          <w:p w14:paraId="429C1699" w14:textId="50195B24" w:rsidR="000E2B23" w:rsidRPr="0063478B" w:rsidRDefault="000E2B23" w:rsidP="000E2B23">
            <w:pPr>
              <w:rPr>
                <w:bCs/>
              </w:rPr>
            </w:pPr>
            <w:r w:rsidRPr="0063478B">
              <w:rPr>
                <w:bCs/>
              </w:rPr>
              <w:t>Since this project will collect personal data, approval from the Ethics Committee UZ/KU Leuven and UZ Ghent will be sought. The Committee of UZ/KUL Leuven will serve as central committee.</w:t>
            </w:r>
            <w:r>
              <w:rPr>
                <w:bCs/>
              </w:rPr>
              <w:t xml:space="preserve"> Both the observational data as the biomarkers (see above) are seen as sensitive data, and will be treated accordingly. </w:t>
            </w:r>
            <w:r w:rsidR="00DB5539">
              <w:rPr>
                <w:bCs/>
              </w:rPr>
              <w:t>Ethical guidance as stipulated in the Declaration of Helsinki will be followed.</w:t>
            </w:r>
          </w:p>
          <w:p w14:paraId="269CBDE1" w14:textId="77777777" w:rsidR="002300DE" w:rsidRDefault="002300DE" w:rsidP="00534707">
            <w:pPr>
              <w:jc w:val="both"/>
              <w:rPr>
                <w:b/>
                <w:bCs/>
              </w:rPr>
            </w:pPr>
          </w:p>
        </w:tc>
      </w:tr>
      <w:tr w:rsidR="002300DE" w14:paraId="269CBDE7" w14:textId="77777777" w:rsidTr="00436EB9">
        <w:trPr>
          <w:cantSplit/>
          <w:trHeight w:val="269"/>
        </w:trPr>
        <w:tc>
          <w:tcPr>
            <w:tcW w:w="4962" w:type="dxa"/>
            <w:shd w:val="clear" w:color="auto" w:fill="FFFFFF" w:themeFill="background1"/>
          </w:tcPr>
          <w:p w14:paraId="269CBDE3" w14:textId="77777777" w:rsidR="002300DE" w:rsidRPr="00964E11" w:rsidRDefault="002300DE" w:rsidP="5FB6CA38">
            <w:pPr>
              <w:jc w:val="both"/>
            </w:pPr>
            <w:r w:rsidRPr="00964E11">
              <w:rPr>
                <w:rFonts w:ascii="Calibri" w:eastAsia="Calibri" w:hAnsi="Calibri" w:cs="Calibri"/>
              </w:rPr>
              <w:t xml:space="preserve">Does your work possibly result in research data with potential for tech transfer and valorisation? </w:t>
            </w:r>
            <w:r w:rsidRPr="00964E11">
              <w:t>Will IP restrictions be claimed for the data you created? If so, for what data and which restrictions will be asserted?</w:t>
            </w:r>
          </w:p>
        </w:tc>
        <w:tc>
          <w:tcPr>
            <w:tcW w:w="10631" w:type="dxa"/>
            <w:shd w:val="clear" w:color="auto" w:fill="FFFFFF" w:themeFill="background1"/>
          </w:tcPr>
          <w:p w14:paraId="269CBDE4" w14:textId="77777777" w:rsidR="00CA2D12" w:rsidRPr="00250516" w:rsidRDefault="007E14A9" w:rsidP="00CA2D12">
            <w:pPr>
              <w:rPr>
                <w:lang w:val="en-US"/>
              </w:rPr>
            </w:pPr>
            <w:sdt>
              <w:sdtPr>
                <w:rPr>
                  <w:lang w:val="en-US"/>
                </w:rPr>
                <w:id w:val="-669246434"/>
                <w14:checkbox>
                  <w14:checked w14:val="0"/>
                  <w14:checkedState w14:val="2612" w14:font="MS Gothic"/>
                  <w14:uncheckedState w14:val="2610" w14:font="MS Gothic"/>
                </w14:checkbox>
              </w:sdtPr>
              <w:sdtEndPr/>
              <w:sdtContent>
                <w:r w:rsidR="00CA2D12">
                  <w:rPr>
                    <w:rFonts w:ascii="MS Gothic" w:eastAsia="MS Gothic" w:hAnsi="MS Gothic" w:hint="eastAsia"/>
                    <w:lang w:val="en-US"/>
                  </w:rPr>
                  <w:t>☐</w:t>
                </w:r>
              </w:sdtContent>
            </w:sdt>
            <w:r w:rsidR="00CA2D12">
              <w:rPr>
                <w:lang w:val="en-US"/>
              </w:rPr>
              <w:t xml:space="preserve"> Yes</w:t>
            </w:r>
          </w:p>
          <w:p w14:paraId="269CBDE5" w14:textId="22D0FD44" w:rsidR="00CA2D12" w:rsidRDefault="007E14A9" w:rsidP="00CA2D12">
            <w:pPr>
              <w:rPr>
                <w:lang w:val="en-US"/>
              </w:rPr>
            </w:pPr>
            <w:sdt>
              <w:sdtPr>
                <w:rPr>
                  <w:lang w:val="en-US"/>
                </w:rPr>
                <w:id w:val="-265848422"/>
                <w14:checkbox>
                  <w14:checked w14:val="1"/>
                  <w14:checkedState w14:val="2612" w14:font="MS Gothic"/>
                  <w14:uncheckedState w14:val="2610" w14:font="MS Gothic"/>
                </w14:checkbox>
              </w:sdtPr>
              <w:sdtEndPr/>
              <w:sdtContent>
                <w:r w:rsidR="00A92182">
                  <w:rPr>
                    <w:rFonts w:ascii="MS Gothic" w:eastAsia="MS Gothic" w:hAnsi="MS Gothic" w:hint="eastAsia"/>
                    <w:lang w:val="en-US"/>
                  </w:rPr>
                  <w:t>☒</w:t>
                </w:r>
              </w:sdtContent>
            </w:sdt>
            <w:r w:rsidR="00CA2D12">
              <w:rPr>
                <w:lang w:val="en-US"/>
              </w:rPr>
              <w:t xml:space="preserve"> No</w:t>
            </w:r>
          </w:p>
          <w:p w14:paraId="269CBDE6" w14:textId="77777777" w:rsidR="002300DE" w:rsidRPr="00CA2D12" w:rsidRDefault="00CA2D12" w:rsidP="00BB4EB5">
            <w:pPr>
              <w:rPr>
                <w:bCs/>
              </w:rPr>
            </w:pPr>
            <w:r>
              <w:rPr>
                <w:bCs/>
              </w:rPr>
              <w:t>If yes, please comment:</w:t>
            </w:r>
          </w:p>
        </w:tc>
      </w:tr>
      <w:tr w:rsidR="002300DE" w14:paraId="269CBDED" w14:textId="77777777" w:rsidTr="00436EB9">
        <w:trPr>
          <w:cantSplit/>
          <w:trHeight w:val="269"/>
        </w:trPr>
        <w:tc>
          <w:tcPr>
            <w:tcW w:w="4962" w:type="dxa"/>
            <w:shd w:val="clear" w:color="auto" w:fill="FFFFFF" w:themeFill="background1"/>
          </w:tcPr>
          <w:p w14:paraId="269CBDE8" w14:textId="77777777" w:rsidR="002300DE" w:rsidRPr="00964E11" w:rsidRDefault="002300DE" w:rsidP="00EF0947">
            <w:pPr>
              <w:jc w:val="both"/>
            </w:pPr>
            <w:r w:rsidRPr="00964E11">
              <w:t>Do existing 3</w:t>
            </w:r>
            <w:r w:rsidRPr="00964E11">
              <w:rPr>
                <w:vertAlign w:val="superscript"/>
              </w:rPr>
              <w:t>rd</w:t>
            </w:r>
            <w:r w:rsidRPr="00964E11">
              <w:t xml:space="preserve"> party agreements restrict dissemination or exploitation of the data you (re)use? If so, to what data do they relate and what restrictions are in place?</w:t>
            </w:r>
          </w:p>
        </w:tc>
        <w:tc>
          <w:tcPr>
            <w:tcW w:w="10631" w:type="dxa"/>
            <w:shd w:val="clear" w:color="auto" w:fill="FFFFFF" w:themeFill="background1"/>
          </w:tcPr>
          <w:p w14:paraId="269CBDE9" w14:textId="77777777" w:rsidR="00CA2D12" w:rsidRPr="00250516" w:rsidRDefault="007E14A9" w:rsidP="00CA2D12">
            <w:pPr>
              <w:rPr>
                <w:lang w:val="en-US"/>
              </w:rPr>
            </w:pPr>
            <w:sdt>
              <w:sdtPr>
                <w:rPr>
                  <w:lang w:val="en-US"/>
                </w:rPr>
                <w:id w:val="1915733034"/>
                <w14:checkbox>
                  <w14:checked w14:val="0"/>
                  <w14:checkedState w14:val="2612" w14:font="MS Gothic"/>
                  <w14:uncheckedState w14:val="2610" w14:font="MS Gothic"/>
                </w14:checkbox>
              </w:sdtPr>
              <w:sdtEndPr/>
              <w:sdtContent>
                <w:r w:rsidR="00CA2D12">
                  <w:rPr>
                    <w:rFonts w:ascii="MS Gothic" w:eastAsia="MS Gothic" w:hAnsi="MS Gothic" w:hint="eastAsia"/>
                    <w:lang w:val="en-US"/>
                  </w:rPr>
                  <w:t>☐</w:t>
                </w:r>
              </w:sdtContent>
            </w:sdt>
            <w:r w:rsidR="00CA2D12">
              <w:rPr>
                <w:lang w:val="en-US"/>
              </w:rPr>
              <w:t xml:space="preserve"> Yes</w:t>
            </w:r>
          </w:p>
          <w:p w14:paraId="269CBDEA" w14:textId="3DB45D05" w:rsidR="00CA2D12" w:rsidRDefault="007E14A9" w:rsidP="00CA2D12">
            <w:pPr>
              <w:rPr>
                <w:lang w:val="en-US"/>
              </w:rPr>
            </w:pPr>
            <w:sdt>
              <w:sdtPr>
                <w:rPr>
                  <w:lang w:val="en-US"/>
                </w:rPr>
                <w:id w:val="-706952779"/>
                <w14:checkbox>
                  <w14:checked w14:val="1"/>
                  <w14:checkedState w14:val="2612" w14:font="MS Gothic"/>
                  <w14:uncheckedState w14:val="2610" w14:font="MS Gothic"/>
                </w14:checkbox>
              </w:sdtPr>
              <w:sdtEndPr/>
              <w:sdtContent>
                <w:r w:rsidR="00A92182">
                  <w:rPr>
                    <w:rFonts w:ascii="MS Gothic" w:eastAsia="MS Gothic" w:hAnsi="MS Gothic" w:hint="eastAsia"/>
                    <w:lang w:val="en-US"/>
                  </w:rPr>
                  <w:t>☒</w:t>
                </w:r>
              </w:sdtContent>
            </w:sdt>
            <w:r w:rsidR="00CA2D12">
              <w:rPr>
                <w:lang w:val="en-US"/>
              </w:rPr>
              <w:t xml:space="preserve"> No</w:t>
            </w:r>
          </w:p>
          <w:p w14:paraId="269CBDEB" w14:textId="77777777" w:rsidR="00CA2D12" w:rsidRDefault="00CA2D12" w:rsidP="00CA2D12">
            <w:pPr>
              <w:rPr>
                <w:lang w:val="en-US"/>
              </w:rPr>
            </w:pPr>
            <w:r>
              <w:rPr>
                <w:bCs/>
              </w:rPr>
              <w:t>If yes, please comment:</w:t>
            </w:r>
          </w:p>
          <w:p w14:paraId="269CBDEC" w14:textId="77777777" w:rsidR="002300DE" w:rsidRDefault="002300DE" w:rsidP="00534707">
            <w:pPr>
              <w:jc w:val="both"/>
              <w:rPr>
                <w:b/>
                <w:bCs/>
              </w:rPr>
            </w:pPr>
          </w:p>
        </w:tc>
      </w:tr>
    </w:tbl>
    <w:p w14:paraId="269CBDEE"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269CBDF1" w14:textId="77777777" w:rsidTr="005E32FD">
        <w:trPr>
          <w:cantSplit/>
          <w:trHeight w:val="269"/>
        </w:trPr>
        <w:tc>
          <w:tcPr>
            <w:tcW w:w="15593" w:type="dxa"/>
            <w:gridSpan w:val="2"/>
            <w:shd w:val="clear" w:color="auto" w:fill="5B9BD5" w:themeFill="accent5"/>
          </w:tcPr>
          <w:p w14:paraId="269CBDEF" w14:textId="77777777" w:rsidR="00877A71" w:rsidRPr="00AB71F6" w:rsidRDefault="6320600B" w:rsidP="6320600B">
            <w:pPr>
              <w:pStyle w:val="ListParagraph"/>
              <w:numPr>
                <w:ilvl w:val="0"/>
                <w:numId w:val="22"/>
              </w:numPr>
              <w:jc w:val="center"/>
              <w:rPr>
                <w:b/>
                <w:bCs/>
              </w:rPr>
            </w:pPr>
            <w:r w:rsidRPr="6320600B">
              <w:rPr>
                <w:b/>
                <w:bCs/>
              </w:rPr>
              <w:t>Documentation and metadata</w:t>
            </w:r>
          </w:p>
          <w:p w14:paraId="269CBDF0" w14:textId="77777777" w:rsidR="00877A71" w:rsidRPr="00145CC7" w:rsidRDefault="00877A71" w:rsidP="00EE6614">
            <w:pPr>
              <w:ind w:left="360"/>
              <w:jc w:val="center"/>
              <w:rPr>
                <w:b/>
              </w:rPr>
            </w:pPr>
          </w:p>
        </w:tc>
      </w:tr>
      <w:tr w:rsidR="002300DE" w:rsidRPr="00F42A6F" w14:paraId="269CBDF4" w14:textId="77777777" w:rsidTr="00436EB9">
        <w:trPr>
          <w:cantSplit/>
          <w:trHeight w:val="269"/>
        </w:trPr>
        <w:tc>
          <w:tcPr>
            <w:tcW w:w="4962" w:type="dxa"/>
          </w:tcPr>
          <w:p w14:paraId="269CBDF2" w14:textId="77777777" w:rsidR="002300DE" w:rsidRDefault="002300DE" w:rsidP="008F2D7E">
            <w:r>
              <w:t xml:space="preserve">What documentation will be provided to enable understanding and reuse of the data collected/generated in this project? </w:t>
            </w:r>
          </w:p>
        </w:tc>
        <w:tc>
          <w:tcPr>
            <w:tcW w:w="10631" w:type="dxa"/>
          </w:tcPr>
          <w:p w14:paraId="72838777" w14:textId="77777777" w:rsidR="002300DE" w:rsidRDefault="00082DF1" w:rsidP="6320600B">
            <w:pPr>
              <w:rPr>
                <w:bCs/>
                <w:lang w:val="en-US"/>
              </w:rPr>
            </w:pPr>
            <w:r>
              <w:rPr>
                <w:bCs/>
                <w:lang w:val="en-US"/>
              </w:rPr>
              <w:t xml:space="preserve">A </w:t>
            </w:r>
            <w:r w:rsidRPr="00C83527">
              <w:rPr>
                <w:bCs/>
                <w:lang w:val="en-US"/>
              </w:rPr>
              <w:t xml:space="preserve">codebook will be made, explaining the variables and </w:t>
            </w:r>
            <w:r w:rsidR="00394969">
              <w:rPr>
                <w:bCs/>
                <w:lang w:val="en-US"/>
              </w:rPr>
              <w:t xml:space="preserve">their </w:t>
            </w:r>
            <w:r w:rsidRPr="00C83527">
              <w:rPr>
                <w:bCs/>
                <w:lang w:val="en-US"/>
              </w:rPr>
              <w:t>response categories.</w:t>
            </w:r>
            <w:r w:rsidR="00FE157B">
              <w:rPr>
                <w:bCs/>
                <w:lang w:val="en-US"/>
              </w:rPr>
              <w:t xml:space="preserve"> Further, a file with the patient identification and the study number will be stored separately, to which only the principal investigator and the data collection officers in the respective hospitals have access to.</w:t>
            </w:r>
          </w:p>
          <w:p w14:paraId="269CBDF3" w14:textId="7FD3918B" w:rsidR="00FE157B" w:rsidRPr="00877A71" w:rsidRDefault="00FE157B" w:rsidP="6320600B">
            <w:pPr>
              <w:rPr>
                <w:b/>
                <w:bCs/>
              </w:rPr>
            </w:pPr>
          </w:p>
        </w:tc>
      </w:tr>
      <w:tr w:rsidR="002300DE" w:rsidRPr="00F42A6F" w14:paraId="269CBDFA" w14:textId="77777777" w:rsidTr="00436EB9">
        <w:trPr>
          <w:cantSplit/>
          <w:trHeight w:val="269"/>
        </w:trPr>
        <w:tc>
          <w:tcPr>
            <w:tcW w:w="4962" w:type="dxa"/>
          </w:tcPr>
          <w:p w14:paraId="269CBDF5" w14:textId="77777777" w:rsidR="002300DE" w:rsidRPr="00E5577F" w:rsidRDefault="002300DE" w:rsidP="00877A71">
            <w:r>
              <w:t>Will a metadata standard be used? If so, describe in detail which standard will be used.  If not, state in detail which metadata will be created to make the data easy/easier to find and reuse.</w:t>
            </w:r>
          </w:p>
        </w:tc>
        <w:tc>
          <w:tcPr>
            <w:tcW w:w="10631" w:type="dxa"/>
          </w:tcPr>
          <w:p w14:paraId="269CBDF6" w14:textId="77777777" w:rsidR="00CA2D12" w:rsidRPr="00250516" w:rsidRDefault="007E14A9" w:rsidP="00CA2D12">
            <w:pPr>
              <w:rPr>
                <w:lang w:val="en-US"/>
              </w:rPr>
            </w:pPr>
            <w:sdt>
              <w:sdtPr>
                <w:rPr>
                  <w:lang w:val="en-US"/>
                </w:rPr>
                <w:id w:val="1423679483"/>
                <w14:checkbox>
                  <w14:checked w14:val="0"/>
                  <w14:checkedState w14:val="2612" w14:font="MS Gothic"/>
                  <w14:uncheckedState w14:val="2610" w14:font="MS Gothic"/>
                </w14:checkbox>
              </w:sdtPr>
              <w:sdtEndPr/>
              <w:sdtContent>
                <w:r w:rsidR="00CA2D12">
                  <w:rPr>
                    <w:rFonts w:ascii="MS Gothic" w:eastAsia="MS Gothic" w:hAnsi="MS Gothic" w:hint="eastAsia"/>
                    <w:lang w:val="en-US"/>
                  </w:rPr>
                  <w:t>☐</w:t>
                </w:r>
              </w:sdtContent>
            </w:sdt>
            <w:r w:rsidR="00CA2D12">
              <w:rPr>
                <w:lang w:val="en-US"/>
              </w:rPr>
              <w:t xml:space="preserve"> Yes</w:t>
            </w:r>
          </w:p>
          <w:p w14:paraId="269CBDF7" w14:textId="708BAA4A" w:rsidR="00CA2D12" w:rsidRDefault="007E14A9" w:rsidP="00CA2D12">
            <w:pPr>
              <w:rPr>
                <w:lang w:val="en-US"/>
              </w:rPr>
            </w:pPr>
            <w:sdt>
              <w:sdtPr>
                <w:rPr>
                  <w:lang w:val="en-US"/>
                </w:rPr>
                <w:id w:val="-982386593"/>
                <w14:checkbox>
                  <w14:checked w14:val="1"/>
                  <w14:checkedState w14:val="2612" w14:font="MS Gothic"/>
                  <w14:uncheckedState w14:val="2610" w14:font="MS Gothic"/>
                </w14:checkbox>
              </w:sdtPr>
              <w:sdtEndPr/>
              <w:sdtContent>
                <w:r w:rsidR="00A92182">
                  <w:rPr>
                    <w:rFonts w:ascii="MS Gothic" w:eastAsia="MS Gothic" w:hAnsi="MS Gothic" w:hint="eastAsia"/>
                    <w:lang w:val="en-US"/>
                  </w:rPr>
                  <w:t>☒</w:t>
                </w:r>
              </w:sdtContent>
            </w:sdt>
            <w:r w:rsidR="00CA2D12">
              <w:rPr>
                <w:lang w:val="en-US"/>
              </w:rPr>
              <w:t xml:space="preserve"> No</w:t>
            </w:r>
          </w:p>
          <w:p w14:paraId="269CBDF8" w14:textId="77777777" w:rsidR="00CA2D12" w:rsidRDefault="00CA2D12" w:rsidP="00CA2D12">
            <w:pPr>
              <w:rPr>
                <w:lang w:val="en-US"/>
              </w:rPr>
            </w:pPr>
            <w:r>
              <w:rPr>
                <w:bCs/>
              </w:rPr>
              <w:t xml:space="preserve">If yes, please </w:t>
            </w:r>
            <w:r w:rsidR="006A5D4A">
              <w:rPr>
                <w:bCs/>
              </w:rPr>
              <w:t>specify</w:t>
            </w:r>
            <w:r>
              <w:rPr>
                <w:bCs/>
              </w:rPr>
              <w:t>:</w:t>
            </w:r>
          </w:p>
          <w:p w14:paraId="42F3F4BC" w14:textId="77777777" w:rsidR="002300DE" w:rsidRPr="00C83527" w:rsidRDefault="002300DE" w:rsidP="6320600B">
            <w:pPr>
              <w:rPr>
                <w:bCs/>
                <w:lang w:val="en-US"/>
              </w:rPr>
            </w:pPr>
          </w:p>
          <w:p w14:paraId="7AF54CAA" w14:textId="00E5FA49" w:rsidR="007714DF" w:rsidRPr="00C83527" w:rsidRDefault="00FE157B" w:rsidP="6320600B">
            <w:pPr>
              <w:rPr>
                <w:bCs/>
                <w:lang w:val="en-US"/>
              </w:rPr>
            </w:pPr>
            <w:r>
              <w:rPr>
                <w:bCs/>
                <w:lang w:val="en-US"/>
              </w:rPr>
              <w:t>The</w:t>
            </w:r>
            <w:r w:rsidR="00C83527" w:rsidRPr="00C83527">
              <w:rPr>
                <w:bCs/>
                <w:lang w:val="en-US"/>
              </w:rPr>
              <w:t xml:space="preserve"> codebook</w:t>
            </w:r>
            <w:r>
              <w:rPr>
                <w:bCs/>
                <w:lang w:val="en-US"/>
              </w:rPr>
              <w:t xml:space="preserve"> will be made in </w:t>
            </w:r>
            <w:proofErr w:type="spellStart"/>
            <w:r>
              <w:rPr>
                <w:bCs/>
                <w:lang w:val="en-US"/>
              </w:rPr>
              <w:t>REDCap</w:t>
            </w:r>
            <w:proofErr w:type="spellEnd"/>
            <w:r>
              <w:rPr>
                <w:bCs/>
                <w:lang w:val="en-US"/>
              </w:rPr>
              <w:t xml:space="preserve">, to ensure that the </w:t>
            </w:r>
            <w:r w:rsidR="00CB00FE">
              <w:rPr>
                <w:bCs/>
                <w:lang w:val="en-US"/>
              </w:rPr>
              <w:t xml:space="preserve">variables and responses are properly coded and accessible to all researchers that have to work with the data. </w:t>
            </w:r>
          </w:p>
          <w:p w14:paraId="269CBDF9" w14:textId="4205FE30" w:rsidR="00C83527" w:rsidRPr="00CA2D12" w:rsidRDefault="00C83527" w:rsidP="6320600B">
            <w:pPr>
              <w:rPr>
                <w:b/>
                <w:bCs/>
                <w:lang w:val="en-US"/>
              </w:rPr>
            </w:pPr>
          </w:p>
        </w:tc>
      </w:tr>
    </w:tbl>
    <w:p w14:paraId="269CBDFB"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269CBDFE" w14:textId="77777777" w:rsidTr="005E32FD">
        <w:trPr>
          <w:cantSplit/>
          <w:trHeight w:val="269"/>
        </w:trPr>
        <w:tc>
          <w:tcPr>
            <w:tcW w:w="15593" w:type="dxa"/>
            <w:gridSpan w:val="2"/>
            <w:shd w:val="clear" w:color="auto" w:fill="5B9BD5" w:themeFill="accent5"/>
          </w:tcPr>
          <w:p w14:paraId="269CBDFC" w14:textId="77777777" w:rsidR="00877A71" w:rsidRPr="00C57639" w:rsidRDefault="6320600B" w:rsidP="6320600B">
            <w:pPr>
              <w:pStyle w:val="ListParagraph"/>
              <w:numPr>
                <w:ilvl w:val="0"/>
                <w:numId w:val="22"/>
              </w:numPr>
              <w:jc w:val="center"/>
              <w:rPr>
                <w:b/>
                <w:bCs/>
              </w:rPr>
            </w:pPr>
            <w:r w:rsidRPr="6320600B">
              <w:rPr>
                <w:b/>
                <w:bCs/>
              </w:rPr>
              <w:t xml:space="preserve">Data storage &amp; backup during the </w:t>
            </w:r>
            <w:r w:rsidR="009C0EAA">
              <w:rPr>
                <w:b/>
                <w:bCs/>
              </w:rPr>
              <w:t>FWO project</w:t>
            </w:r>
          </w:p>
          <w:p w14:paraId="269CBDFD" w14:textId="77777777" w:rsidR="00877A71" w:rsidRPr="009F0CD6" w:rsidRDefault="00877A71" w:rsidP="00877A71">
            <w:pPr>
              <w:pStyle w:val="ListParagraph"/>
              <w:ind w:left="1080"/>
              <w:rPr>
                <w:b/>
              </w:rPr>
            </w:pPr>
          </w:p>
        </w:tc>
      </w:tr>
      <w:tr w:rsidR="002300DE" w:rsidRPr="00F42A6F" w14:paraId="269CBE01" w14:textId="77777777" w:rsidTr="00436EB9">
        <w:trPr>
          <w:cantSplit/>
          <w:trHeight w:val="269"/>
        </w:trPr>
        <w:tc>
          <w:tcPr>
            <w:tcW w:w="4962" w:type="dxa"/>
          </w:tcPr>
          <w:p w14:paraId="269CBDFF" w14:textId="77777777" w:rsidR="002300DE" w:rsidRPr="00F41FFA" w:rsidRDefault="002300DE" w:rsidP="00877A71">
            <w:r>
              <w:t xml:space="preserve">Where will the data be stored? </w:t>
            </w:r>
          </w:p>
        </w:tc>
        <w:tc>
          <w:tcPr>
            <w:tcW w:w="10631" w:type="dxa"/>
          </w:tcPr>
          <w:p w14:paraId="46253AA9" w14:textId="31829B9F" w:rsidR="002300DE" w:rsidRPr="00992D19" w:rsidRDefault="00992D19" w:rsidP="6320600B">
            <w:pPr>
              <w:rPr>
                <w:bCs/>
              </w:rPr>
            </w:pPr>
            <w:r w:rsidRPr="00992D19">
              <w:rPr>
                <w:bCs/>
              </w:rPr>
              <w:t xml:space="preserve">The data will be stored on a </w:t>
            </w:r>
            <w:proofErr w:type="spellStart"/>
            <w:r w:rsidRPr="00992D19">
              <w:rPr>
                <w:bCs/>
              </w:rPr>
              <w:t>REDCap</w:t>
            </w:r>
            <w:proofErr w:type="spellEnd"/>
            <w:r w:rsidRPr="00992D19">
              <w:rPr>
                <w:bCs/>
              </w:rPr>
              <w:t xml:space="preserve"> serve</w:t>
            </w:r>
            <w:r w:rsidR="00EA5D4E">
              <w:rPr>
                <w:bCs/>
              </w:rPr>
              <w:t>r</w:t>
            </w:r>
            <w:r w:rsidRPr="00992D19">
              <w:rPr>
                <w:bCs/>
              </w:rPr>
              <w:t xml:space="preserve"> of the KU Leuven</w:t>
            </w:r>
            <w:r>
              <w:rPr>
                <w:bCs/>
              </w:rPr>
              <w:t xml:space="preserve">, and will be accessible for </w:t>
            </w:r>
            <w:r w:rsidR="00EA5D4E">
              <w:rPr>
                <w:bCs/>
              </w:rPr>
              <w:t xml:space="preserve">the participating </w:t>
            </w:r>
            <w:r>
              <w:rPr>
                <w:bCs/>
              </w:rPr>
              <w:t xml:space="preserve">researchers from </w:t>
            </w:r>
            <w:r w:rsidR="00EA5D4E">
              <w:rPr>
                <w:bCs/>
              </w:rPr>
              <w:t>UZ Leuven and UZ Gent.</w:t>
            </w:r>
          </w:p>
          <w:p w14:paraId="269CBE00" w14:textId="5DBA10D9" w:rsidR="00992D19" w:rsidRPr="00992D19" w:rsidRDefault="00992D19" w:rsidP="6320600B">
            <w:pPr>
              <w:rPr>
                <w:bCs/>
              </w:rPr>
            </w:pPr>
          </w:p>
        </w:tc>
      </w:tr>
      <w:tr w:rsidR="002300DE" w:rsidRPr="00D455C0" w14:paraId="269CBE04" w14:textId="77777777" w:rsidTr="00436EB9">
        <w:trPr>
          <w:cantSplit/>
          <w:trHeight w:val="269"/>
        </w:trPr>
        <w:tc>
          <w:tcPr>
            <w:tcW w:w="4962" w:type="dxa"/>
          </w:tcPr>
          <w:p w14:paraId="269CBE02" w14:textId="77777777" w:rsidR="002300DE" w:rsidRDefault="002300DE" w:rsidP="00877A71">
            <w:r>
              <w:lastRenderedPageBreak/>
              <w:t xml:space="preserve">How will the data be backed up? </w:t>
            </w:r>
          </w:p>
        </w:tc>
        <w:tc>
          <w:tcPr>
            <w:tcW w:w="10631" w:type="dxa"/>
          </w:tcPr>
          <w:p w14:paraId="1C82E091" w14:textId="5FBF7AF9" w:rsidR="002300DE" w:rsidRDefault="00EA5D4E" w:rsidP="00877A71">
            <w:r>
              <w:t xml:space="preserve">The </w:t>
            </w:r>
            <w:proofErr w:type="spellStart"/>
            <w:r>
              <w:t>REDCap</w:t>
            </w:r>
            <w:proofErr w:type="spellEnd"/>
            <w:r>
              <w:t xml:space="preserve"> server of KU Leuven is automatically backed-up</w:t>
            </w:r>
            <w:r w:rsidR="00D455C0">
              <w:t xml:space="preserve"> according the following scheme:</w:t>
            </w:r>
          </w:p>
          <w:p w14:paraId="4FDD874F" w14:textId="009CCE46" w:rsidR="00D455C0" w:rsidRDefault="00D455C0" w:rsidP="00877A71"/>
          <w:p w14:paraId="1AA20E7A" w14:textId="4A3AEC8D" w:rsidR="00D455C0" w:rsidRDefault="00D455C0" w:rsidP="00877A71">
            <w:r>
              <w:t>Back-up of the webserver</w:t>
            </w:r>
          </w:p>
          <w:p w14:paraId="69777154" w14:textId="73E7DA6A" w:rsidR="00D455C0" w:rsidRDefault="00D455C0" w:rsidP="00D455C0">
            <w:pPr>
              <w:pStyle w:val="ListParagraph"/>
              <w:numPr>
                <w:ilvl w:val="0"/>
                <w:numId w:val="28"/>
              </w:numPr>
            </w:pPr>
            <w:r>
              <w:t>Back-up every hour, of which the last 6 versions are saved</w:t>
            </w:r>
          </w:p>
          <w:p w14:paraId="20B2FAA3" w14:textId="1B23BF38" w:rsidR="00D455C0" w:rsidRDefault="00D455C0" w:rsidP="00D455C0">
            <w:pPr>
              <w:pStyle w:val="ListParagraph"/>
              <w:numPr>
                <w:ilvl w:val="0"/>
                <w:numId w:val="28"/>
              </w:numPr>
            </w:pPr>
            <w:r>
              <w:t>Daily back-up, of which the last 7 versions are saved</w:t>
            </w:r>
          </w:p>
          <w:p w14:paraId="456B76C6" w14:textId="42E17E85" w:rsidR="00D455C0" w:rsidRDefault="00D455C0" w:rsidP="00D455C0">
            <w:pPr>
              <w:pStyle w:val="ListParagraph"/>
              <w:numPr>
                <w:ilvl w:val="0"/>
                <w:numId w:val="28"/>
              </w:numPr>
            </w:pPr>
            <w:r>
              <w:t>Weekly back-up, of which the last 6 versions are saved</w:t>
            </w:r>
          </w:p>
          <w:p w14:paraId="347226B2" w14:textId="5191C260" w:rsidR="00D455C0" w:rsidRDefault="00D455C0" w:rsidP="00877A71"/>
          <w:p w14:paraId="5FDABEF4" w14:textId="51DF342D" w:rsidR="00D455C0" w:rsidRDefault="00D455C0" w:rsidP="00877A71">
            <w:r>
              <w:t>Back-up of the database</w:t>
            </w:r>
          </w:p>
          <w:p w14:paraId="7AE174B1" w14:textId="3FB475D1" w:rsidR="00D455C0" w:rsidRDefault="00D455C0" w:rsidP="00D455C0">
            <w:pPr>
              <w:pStyle w:val="ListParagraph"/>
              <w:numPr>
                <w:ilvl w:val="0"/>
                <w:numId w:val="28"/>
              </w:numPr>
            </w:pPr>
            <w:r>
              <w:t>Every night, a cold dump of all database is made</w:t>
            </w:r>
          </w:p>
          <w:p w14:paraId="09189A56" w14:textId="0AB36EB5" w:rsidR="00D455C0" w:rsidRDefault="00D455C0" w:rsidP="00D455C0">
            <w:pPr>
              <w:pStyle w:val="ListParagraph"/>
              <w:numPr>
                <w:ilvl w:val="0"/>
                <w:numId w:val="28"/>
              </w:numPr>
            </w:pPr>
            <w:r>
              <w:t>Cold dumps are saved for 1 month</w:t>
            </w:r>
          </w:p>
          <w:p w14:paraId="269CBE03" w14:textId="63EDCA2E" w:rsidR="00D455C0" w:rsidRPr="00D455C0" w:rsidRDefault="00D455C0" w:rsidP="00D455C0"/>
        </w:tc>
      </w:tr>
      <w:tr w:rsidR="002300DE" w:rsidRPr="00F42A6F" w14:paraId="269CBE09" w14:textId="77777777" w:rsidTr="00436EB9">
        <w:trPr>
          <w:cantSplit/>
          <w:trHeight w:val="269"/>
        </w:trPr>
        <w:tc>
          <w:tcPr>
            <w:tcW w:w="4962" w:type="dxa"/>
          </w:tcPr>
          <w:p w14:paraId="269CBE05" w14:textId="77777777" w:rsidR="002300DE" w:rsidRDefault="002300DE" w:rsidP="00877A71">
            <w:r>
              <w:t xml:space="preserve">Is there currently sufficient storage &amp; backup capacity during the project? If yes, specify concisely. If no or insufficient storage or backup capacities are available, then explain how this will be taken care of. </w:t>
            </w:r>
          </w:p>
        </w:tc>
        <w:tc>
          <w:tcPr>
            <w:tcW w:w="10631" w:type="dxa"/>
          </w:tcPr>
          <w:p w14:paraId="269CBE06" w14:textId="5414CD61" w:rsidR="00436EB9" w:rsidRPr="00436EB9" w:rsidRDefault="007E14A9" w:rsidP="00436EB9">
            <w:pPr>
              <w:rPr>
                <w:lang w:val="en-US"/>
              </w:rPr>
            </w:pPr>
            <w:sdt>
              <w:sdtPr>
                <w:rPr>
                  <w:lang w:val="en-US"/>
                </w:rPr>
                <w:id w:val="-468522423"/>
                <w14:checkbox>
                  <w14:checked w14:val="1"/>
                  <w14:checkedState w14:val="2612" w14:font="MS Gothic"/>
                  <w14:uncheckedState w14:val="2610" w14:font="MS Gothic"/>
                </w14:checkbox>
              </w:sdtPr>
              <w:sdtEndPr/>
              <w:sdtContent>
                <w:r w:rsidR="00A92182">
                  <w:rPr>
                    <w:rFonts w:ascii="MS Gothic" w:eastAsia="MS Gothic" w:hAnsi="MS Gothic" w:hint="eastAsia"/>
                    <w:lang w:val="en-US"/>
                  </w:rPr>
                  <w:t>☒</w:t>
                </w:r>
              </w:sdtContent>
            </w:sdt>
            <w:r w:rsidR="00436EB9" w:rsidRPr="00436EB9">
              <w:rPr>
                <w:lang w:val="en-US"/>
              </w:rPr>
              <w:t xml:space="preserve"> Yes</w:t>
            </w:r>
          </w:p>
          <w:p w14:paraId="269CBE07" w14:textId="77777777" w:rsidR="00436EB9" w:rsidRPr="00436EB9" w:rsidRDefault="007E14A9" w:rsidP="00436EB9">
            <w:pPr>
              <w:rPr>
                <w:lang w:val="en-US"/>
              </w:rPr>
            </w:pPr>
            <w:sdt>
              <w:sdtPr>
                <w:rPr>
                  <w:lang w:val="en-US"/>
                </w:rPr>
                <w:id w:val="1883819240"/>
                <w14:checkbox>
                  <w14:checked w14:val="0"/>
                  <w14:checkedState w14:val="2612" w14:font="MS Gothic"/>
                  <w14:uncheckedState w14:val="2610" w14:font="MS Gothic"/>
                </w14:checkbox>
              </w:sdtPr>
              <w:sdtEndPr/>
              <w:sdtContent>
                <w:r w:rsidR="00436EB9" w:rsidRPr="00436EB9">
                  <w:rPr>
                    <w:rFonts w:ascii="MS Gothic" w:eastAsia="MS Gothic" w:hAnsi="MS Gothic" w:hint="eastAsia"/>
                    <w:lang w:val="en-US"/>
                  </w:rPr>
                  <w:t>☐</w:t>
                </w:r>
              </w:sdtContent>
            </w:sdt>
            <w:r w:rsidR="00436EB9" w:rsidRPr="00436EB9">
              <w:rPr>
                <w:lang w:val="en-US"/>
              </w:rPr>
              <w:t xml:space="preserve"> No</w:t>
            </w:r>
          </w:p>
          <w:p w14:paraId="269CBE08" w14:textId="77777777" w:rsidR="002300DE" w:rsidRPr="00436EB9" w:rsidRDefault="00436EB9" w:rsidP="006A5D4A">
            <w:pPr>
              <w:rPr>
                <w:bCs/>
              </w:rPr>
            </w:pPr>
            <w:r w:rsidRPr="00436EB9">
              <w:rPr>
                <w:bCs/>
              </w:rPr>
              <w:t xml:space="preserve">If no, please </w:t>
            </w:r>
            <w:r w:rsidR="006A5D4A">
              <w:rPr>
                <w:bCs/>
              </w:rPr>
              <w:t>specify</w:t>
            </w:r>
            <w:r w:rsidRPr="00436EB9">
              <w:rPr>
                <w:bCs/>
              </w:rPr>
              <w:t xml:space="preserve">: </w:t>
            </w:r>
          </w:p>
        </w:tc>
      </w:tr>
      <w:tr w:rsidR="002300DE" w:rsidRPr="004C72B8" w14:paraId="269CBE0E" w14:textId="77777777" w:rsidTr="00436EB9">
        <w:trPr>
          <w:cantSplit/>
          <w:trHeight w:val="269"/>
        </w:trPr>
        <w:tc>
          <w:tcPr>
            <w:tcW w:w="4962" w:type="dxa"/>
          </w:tcPr>
          <w:p w14:paraId="269CBE0A" w14:textId="77777777" w:rsidR="002300DE" w:rsidRDefault="002300DE" w:rsidP="00877A71">
            <w:r>
              <w:t xml:space="preserve">What are the expected costs for data storage and backup during the project? How will these costs be covered? </w:t>
            </w:r>
          </w:p>
          <w:p w14:paraId="269CBE0B" w14:textId="77777777" w:rsidR="00436EB9" w:rsidRPr="00436EB9" w:rsidRDefault="00436EB9" w:rsidP="00877A71">
            <w:pPr>
              <w:rPr>
                <w:i/>
                <w:sz w:val="12"/>
              </w:rPr>
            </w:pPr>
          </w:p>
          <w:p w14:paraId="269CBE0C" w14:textId="77777777" w:rsidR="00436EB9" w:rsidRPr="00935EFB" w:rsidRDefault="00436EB9" w:rsidP="00877A71">
            <w:r w:rsidRPr="00436EB9">
              <w:rPr>
                <w:i/>
                <w:sz w:val="22"/>
                <w:lang w:val="en-US"/>
              </w:rPr>
              <w:t xml:space="preserve">Although FWO has no earmarked budget at its disposal to support correct research data management, FWO allows for part of </w:t>
            </w:r>
            <w:r w:rsidRPr="00436EB9">
              <w:rPr>
                <w:b/>
                <w:bCs/>
                <w:i/>
                <w:sz w:val="22"/>
                <w:lang w:val="en-US"/>
              </w:rPr>
              <w:t>the allocated project budget</w:t>
            </w:r>
            <w:r w:rsidRPr="00436EB9">
              <w:rPr>
                <w:i/>
                <w:sz w:val="22"/>
                <w:lang w:val="en-US"/>
              </w:rPr>
              <w:t xml:space="preserve"> to be used to cover the cost incurred.</w:t>
            </w:r>
          </w:p>
        </w:tc>
        <w:tc>
          <w:tcPr>
            <w:tcW w:w="10631" w:type="dxa"/>
          </w:tcPr>
          <w:p w14:paraId="269CBE0D" w14:textId="0A11A6C2" w:rsidR="002300DE" w:rsidRPr="00705F20" w:rsidRDefault="00705F20" w:rsidP="6320600B">
            <w:pPr>
              <w:rPr>
                <w:bCs/>
              </w:rPr>
            </w:pPr>
            <w:r w:rsidRPr="00705F20">
              <w:rPr>
                <w:bCs/>
              </w:rPr>
              <w:t>The annual cost per database is 80 euro per year. Different databases will be made, to enter and manage the data from different sources (medical charts; observational data; biomarkers; …) for the different studies. The costs will be covered by the project budget.</w:t>
            </w:r>
          </w:p>
        </w:tc>
      </w:tr>
      <w:tr w:rsidR="002300DE" w:rsidRPr="00F42A6F" w14:paraId="269CBE11" w14:textId="77777777" w:rsidTr="00436EB9">
        <w:trPr>
          <w:cantSplit/>
          <w:trHeight w:val="269"/>
        </w:trPr>
        <w:tc>
          <w:tcPr>
            <w:tcW w:w="4962" w:type="dxa"/>
          </w:tcPr>
          <w:p w14:paraId="269CBE0F" w14:textId="77777777" w:rsidR="002300DE" w:rsidRDefault="002300DE" w:rsidP="00877A71">
            <w:r>
              <w:t xml:space="preserve">Data security: how will you ensure that the data are securely stored and not accessed or modified by unauthorized persons? </w:t>
            </w:r>
          </w:p>
        </w:tc>
        <w:tc>
          <w:tcPr>
            <w:tcW w:w="10631" w:type="dxa"/>
          </w:tcPr>
          <w:p w14:paraId="269CBE10" w14:textId="6C5B691B" w:rsidR="002300DE" w:rsidRPr="00834F65" w:rsidRDefault="00834F65" w:rsidP="001B6A2B">
            <w:pPr>
              <w:rPr>
                <w:bCs/>
              </w:rPr>
            </w:pPr>
            <w:r w:rsidRPr="00834F65">
              <w:rPr>
                <w:bCs/>
              </w:rPr>
              <w:t>Access to the databases is only granted to privileged researchers</w:t>
            </w:r>
            <w:r w:rsidR="001B6A2B">
              <w:rPr>
                <w:bCs/>
              </w:rPr>
              <w:t xml:space="preserve"> (Prof P. Moons, Prof. W. Budts, Prof J De Backer, Prof R </w:t>
            </w:r>
            <w:proofErr w:type="spellStart"/>
            <w:r w:rsidR="001B6A2B">
              <w:rPr>
                <w:bCs/>
              </w:rPr>
              <w:t>Heying</w:t>
            </w:r>
            <w:proofErr w:type="spellEnd"/>
            <w:r w:rsidR="001B6A2B">
              <w:rPr>
                <w:bCs/>
              </w:rPr>
              <w:t>, Prof K De Groote,</w:t>
            </w:r>
            <w:r w:rsidR="00C44321">
              <w:rPr>
                <w:bCs/>
              </w:rPr>
              <w:t xml:space="preserve"> </w:t>
            </w:r>
            <w:proofErr w:type="spellStart"/>
            <w:r w:rsidR="00C44321">
              <w:rPr>
                <w:bCs/>
              </w:rPr>
              <w:t>Dr.</w:t>
            </w:r>
            <w:proofErr w:type="spellEnd"/>
            <w:r w:rsidR="00C44321">
              <w:rPr>
                <w:bCs/>
              </w:rPr>
              <w:t xml:space="preserve"> </w:t>
            </w:r>
            <w:proofErr w:type="spellStart"/>
            <w:r w:rsidR="00C44321">
              <w:rPr>
                <w:bCs/>
              </w:rPr>
              <w:t>Muino</w:t>
            </w:r>
            <w:proofErr w:type="spellEnd"/>
            <w:r w:rsidR="00C44321">
              <w:rPr>
                <w:bCs/>
              </w:rPr>
              <w:t xml:space="preserve"> Mosquera</w:t>
            </w:r>
            <w:r w:rsidR="001B6A2B">
              <w:rPr>
                <w:bCs/>
              </w:rPr>
              <w:t xml:space="preserve"> and the PhD students and lab technicians). M</w:t>
            </w:r>
            <w:r w:rsidRPr="00834F65">
              <w:rPr>
                <w:bCs/>
              </w:rPr>
              <w:t>ulti-factor authentication is used.</w:t>
            </w:r>
            <w:r w:rsidR="0085490C">
              <w:rPr>
                <w:bCs/>
              </w:rPr>
              <w:t xml:space="preserve"> A data sharing agreement will be made between KU Leuven and U Gent.</w:t>
            </w:r>
          </w:p>
        </w:tc>
      </w:tr>
    </w:tbl>
    <w:p w14:paraId="269CBE12"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269CBE16" w14:textId="77777777" w:rsidTr="005E32FD">
        <w:trPr>
          <w:cantSplit/>
          <w:trHeight w:val="269"/>
        </w:trPr>
        <w:tc>
          <w:tcPr>
            <w:tcW w:w="15593" w:type="dxa"/>
            <w:gridSpan w:val="2"/>
            <w:shd w:val="clear" w:color="auto" w:fill="5B9BD5" w:themeFill="accent5"/>
          </w:tcPr>
          <w:p w14:paraId="269CBE13" w14:textId="77777777" w:rsidR="00877A71" w:rsidRPr="009C0EAA" w:rsidRDefault="009C0EAA" w:rsidP="6320600B">
            <w:pPr>
              <w:pStyle w:val="ListParagraph"/>
              <w:numPr>
                <w:ilvl w:val="0"/>
                <w:numId w:val="22"/>
              </w:numPr>
              <w:jc w:val="center"/>
              <w:rPr>
                <w:b/>
                <w:bCs/>
              </w:rPr>
            </w:pPr>
            <w:r w:rsidRPr="009C0EAA">
              <w:rPr>
                <w:b/>
                <w:bCs/>
              </w:rPr>
              <w:lastRenderedPageBreak/>
              <w:t>D</w:t>
            </w:r>
            <w:r w:rsidR="5FB6CA38" w:rsidRPr="009C0EAA">
              <w:rPr>
                <w:b/>
                <w:bCs/>
              </w:rPr>
              <w:t>ata preservation</w:t>
            </w:r>
            <w:r w:rsidRPr="009C0EAA">
              <w:rPr>
                <w:b/>
                <w:bCs/>
              </w:rPr>
              <w:t xml:space="preserve"> after the end of the FWO project</w:t>
            </w:r>
          </w:p>
          <w:p w14:paraId="269CBE14" w14:textId="77777777" w:rsidR="5FB6CA38" w:rsidRPr="009C0EAA" w:rsidRDefault="5FB6CA38" w:rsidP="5FB6CA38">
            <w:pPr>
              <w:ind w:left="720"/>
              <w:jc w:val="center"/>
            </w:pPr>
            <w:r w:rsidRPr="009C0EAA">
              <w:t>FWO expects that data generated during the project are retained for a period of minimally 5 years after the end of the project, in as far as legal and contractual agreements allow.</w:t>
            </w:r>
          </w:p>
          <w:p w14:paraId="269CBE15" w14:textId="77777777" w:rsidR="00877A71" w:rsidRPr="00145CC7" w:rsidRDefault="00877A71" w:rsidP="00EE6614">
            <w:pPr>
              <w:rPr>
                <w:b/>
              </w:rPr>
            </w:pPr>
          </w:p>
        </w:tc>
      </w:tr>
      <w:tr w:rsidR="002300DE" w:rsidRPr="00F42A6F" w14:paraId="269CBE19" w14:textId="77777777" w:rsidTr="00436EB9">
        <w:trPr>
          <w:cantSplit/>
          <w:trHeight w:val="269"/>
        </w:trPr>
        <w:tc>
          <w:tcPr>
            <w:tcW w:w="4962" w:type="dxa"/>
          </w:tcPr>
          <w:p w14:paraId="269CBE17" w14:textId="77777777" w:rsidR="002300DE" w:rsidRDefault="002300DE" w:rsidP="5D59270C">
            <w:pPr>
              <w:spacing w:after="160" w:line="259" w:lineRule="auto"/>
              <w:rPr>
                <w:highlight w:val="yellow"/>
              </w:rPr>
            </w:pPr>
            <w:r w:rsidRPr="009C0EAA">
              <w:t xml:space="preserve">Which data will be retained for the expected </w:t>
            </w:r>
            <w:proofErr w:type="gramStart"/>
            <w:r w:rsidRPr="009C0EAA">
              <w:t>5 year</w:t>
            </w:r>
            <w:proofErr w:type="gramEnd"/>
            <w:r w:rsidRPr="009C0EAA">
              <w:t xml:space="preserve"> period after the end of the project? In case only a selection of the data can/will be preserved, clearly state the </w:t>
            </w:r>
            <w:proofErr w:type="gramStart"/>
            <w:r w:rsidRPr="009C0EAA">
              <w:t>reasons  for</w:t>
            </w:r>
            <w:proofErr w:type="gramEnd"/>
            <w:r w:rsidRPr="009C0EAA">
              <w:t xml:space="preserve"> this (legal or contractual restrictions, physical preservation issues, ...).</w:t>
            </w:r>
          </w:p>
        </w:tc>
        <w:tc>
          <w:tcPr>
            <w:tcW w:w="10631" w:type="dxa"/>
          </w:tcPr>
          <w:p w14:paraId="269CBE18" w14:textId="698E7CFC" w:rsidR="002300DE" w:rsidRPr="00445696" w:rsidRDefault="00445696" w:rsidP="6320600B">
            <w:pPr>
              <w:rPr>
                <w:bCs/>
              </w:rPr>
            </w:pPr>
            <w:r w:rsidRPr="00445696">
              <w:rPr>
                <w:bCs/>
              </w:rPr>
              <w:t>All data will be preserved for a minimum of 10 years. If longitudinal follow-up studies are planned in the future, it will be possible to link future data with data collected in the present project.</w:t>
            </w:r>
          </w:p>
        </w:tc>
      </w:tr>
      <w:tr w:rsidR="002300DE" w:rsidRPr="00F42A6F" w14:paraId="269CBE1C" w14:textId="77777777" w:rsidTr="00436EB9">
        <w:trPr>
          <w:cantSplit/>
          <w:trHeight w:val="269"/>
        </w:trPr>
        <w:tc>
          <w:tcPr>
            <w:tcW w:w="4962" w:type="dxa"/>
          </w:tcPr>
          <w:p w14:paraId="269CBE1A" w14:textId="77777777" w:rsidR="002300DE" w:rsidRPr="00C44806" w:rsidRDefault="002300DE" w:rsidP="00877A71">
            <w:r w:rsidRPr="00C44806">
              <w:t xml:space="preserve">Where will these data be archived (= stored for the long term)? </w:t>
            </w:r>
          </w:p>
        </w:tc>
        <w:tc>
          <w:tcPr>
            <w:tcW w:w="10631" w:type="dxa"/>
          </w:tcPr>
          <w:p w14:paraId="269CBE1B" w14:textId="4C6227D9" w:rsidR="002300DE" w:rsidRPr="00C44806" w:rsidRDefault="00C44806" w:rsidP="6320600B">
            <w:pPr>
              <w:rPr>
                <w:bCs/>
              </w:rPr>
            </w:pPr>
            <w:r>
              <w:rPr>
                <w:bCs/>
              </w:rPr>
              <w:t>Digital d</w:t>
            </w:r>
            <w:r w:rsidRPr="00C44806">
              <w:rPr>
                <w:bCs/>
              </w:rPr>
              <w:t xml:space="preserve">ata remain stored on the </w:t>
            </w:r>
            <w:proofErr w:type="spellStart"/>
            <w:r w:rsidRPr="00C44806">
              <w:rPr>
                <w:bCs/>
              </w:rPr>
              <w:t>REDCap</w:t>
            </w:r>
            <w:proofErr w:type="spellEnd"/>
            <w:r w:rsidRPr="00C44806">
              <w:rPr>
                <w:bCs/>
              </w:rPr>
              <w:t xml:space="preserve"> server of the KU Leuven. </w:t>
            </w:r>
            <w:r>
              <w:rPr>
                <w:bCs/>
              </w:rPr>
              <w:t>Hard copies will be stored in a locked room in the respective hospitals. Biological samples are stored at the biobank of the respective hospitals.</w:t>
            </w:r>
          </w:p>
        </w:tc>
      </w:tr>
      <w:tr w:rsidR="002300DE" w:rsidRPr="00906DA8" w14:paraId="269CBE21" w14:textId="77777777" w:rsidTr="00436EB9">
        <w:trPr>
          <w:cantSplit/>
          <w:trHeight w:val="269"/>
        </w:trPr>
        <w:tc>
          <w:tcPr>
            <w:tcW w:w="4962" w:type="dxa"/>
          </w:tcPr>
          <w:p w14:paraId="269CBE1D" w14:textId="77777777" w:rsidR="002300DE" w:rsidRDefault="002300DE" w:rsidP="00877A71">
            <w:r w:rsidRPr="009C0EAA">
              <w:t>What are the expected costs for data preservation during these 5 years? How will the costs be covered?</w:t>
            </w:r>
            <w:r>
              <w:t xml:space="preserve"> </w:t>
            </w:r>
          </w:p>
          <w:p w14:paraId="269CBE1E" w14:textId="77777777" w:rsidR="00436EB9" w:rsidRPr="00436EB9" w:rsidRDefault="00436EB9" w:rsidP="00877A71">
            <w:pPr>
              <w:rPr>
                <w:sz w:val="12"/>
              </w:rPr>
            </w:pPr>
          </w:p>
          <w:p w14:paraId="269CBE1F" w14:textId="77777777" w:rsidR="00436EB9" w:rsidRPr="00436EB9" w:rsidRDefault="00436EB9" w:rsidP="00877A71">
            <w:pPr>
              <w:rPr>
                <w:i/>
              </w:rPr>
            </w:pPr>
            <w:r w:rsidRPr="00436EB9">
              <w:rPr>
                <w:i/>
                <w:sz w:val="22"/>
                <w:lang w:val="en-US"/>
              </w:rPr>
              <w:t xml:space="preserve">Although FWO has no earmarked budget at its disposal to support correct research data management, FWO allows for part of </w:t>
            </w:r>
            <w:r w:rsidRPr="00436EB9">
              <w:rPr>
                <w:b/>
                <w:bCs/>
                <w:i/>
                <w:sz w:val="22"/>
                <w:lang w:val="en-US"/>
              </w:rPr>
              <w:t>the allocated project budget</w:t>
            </w:r>
            <w:r w:rsidRPr="00436EB9">
              <w:rPr>
                <w:i/>
                <w:sz w:val="22"/>
                <w:lang w:val="en-US"/>
              </w:rPr>
              <w:t xml:space="preserve"> to be used to cover the cost incurred.</w:t>
            </w:r>
          </w:p>
        </w:tc>
        <w:tc>
          <w:tcPr>
            <w:tcW w:w="10631" w:type="dxa"/>
          </w:tcPr>
          <w:p w14:paraId="269CBE20" w14:textId="7860BC73" w:rsidR="002300DE" w:rsidRPr="00445696" w:rsidRDefault="00445696" w:rsidP="5D59270C">
            <w:pPr>
              <w:rPr>
                <w:bCs/>
              </w:rPr>
            </w:pPr>
            <w:r w:rsidRPr="00445696">
              <w:rPr>
                <w:bCs/>
              </w:rPr>
              <w:t>The expected costs do not exceed 500 euro per year. This will be covered by the present project budget, and by the research funds of the principal investigator.</w:t>
            </w:r>
          </w:p>
        </w:tc>
      </w:tr>
    </w:tbl>
    <w:p w14:paraId="269CBE22"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269CBE25" w14:textId="77777777" w:rsidTr="005E32FD">
        <w:trPr>
          <w:cantSplit/>
          <w:trHeight w:val="269"/>
        </w:trPr>
        <w:tc>
          <w:tcPr>
            <w:tcW w:w="15593" w:type="dxa"/>
            <w:gridSpan w:val="2"/>
            <w:shd w:val="clear" w:color="auto" w:fill="5B9BD5" w:themeFill="accent5"/>
          </w:tcPr>
          <w:p w14:paraId="269CBE23" w14:textId="77777777" w:rsidR="00877A71" w:rsidRPr="00C57639" w:rsidRDefault="5FB6CA38" w:rsidP="6320600B">
            <w:pPr>
              <w:pStyle w:val="ListParagraph"/>
              <w:numPr>
                <w:ilvl w:val="0"/>
                <w:numId w:val="22"/>
              </w:numPr>
              <w:jc w:val="center"/>
              <w:rPr>
                <w:b/>
                <w:bCs/>
              </w:rPr>
            </w:pPr>
            <w:r w:rsidRPr="5FB6CA38">
              <w:rPr>
                <w:b/>
                <w:bCs/>
              </w:rPr>
              <w:t>Data sharing and reuse</w:t>
            </w:r>
          </w:p>
          <w:p w14:paraId="269CBE24" w14:textId="77777777" w:rsidR="00877A71" w:rsidRPr="00145CC7" w:rsidRDefault="00877A71" w:rsidP="00EE6614">
            <w:pPr>
              <w:rPr>
                <w:b/>
              </w:rPr>
            </w:pPr>
          </w:p>
        </w:tc>
      </w:tr>
      <w:tr w:rsidR="002300DE" w:rsidRPr="00F42A6F" w14:paraId="269CBE2A" w14:textId="77777777" w:rsidTr="00436EB9">
        <w:trPr>
          <w:cantSplit/>
          <w:trHeight w:val="269"/>
        </w:trPr>
        <w:tc>
          <w:tcPr>
            <w:tcW w:w="4962" w:type="dxa"/>
          </w:tcPr>
          <w:p w14:paraId="269CBE26" w14:textId="77777777" w:rsidR="002300DE" w:rsidRPr="00441D64" w:rsidRDefault="002300DE" w:rsidP="00877A71">
            <w:r>
              <w:t>Are there any factors restricting or preventing the sharing of (some of) the data (e.g. as defined in an agreement with a 3</w:t>
            </w:r>
            <w:r w:rsidRPr="5FB6CA38">
              <w:rPr>
                <w:vertAlign w:val="superscript"/>
              </w:rPr>
              <w:t>rd</w:t>
            </w:r>
            <w:r>
              <w:t xml:space="preserve"> party, legal restrictions)? </w:t>
            </w:r>
          </w:p>
        </w:tc>
        <w:tc>
          <w:tcPr>
            <w:tcW w:w="10631" w:type="dxa"/>
          </w:tcPr>
          <w:p w14:paraId="269CBE27" w14:textId="49C773DE" w:rsidR="00436EB9" w:rsidRPr="00436EB9" w:rsidRDefault="007E14A9" w:rsidP="00436EB9">
            <w:pPr>
              <w:rPr>
                <w:lang w:val="en-US"/>
              </w:rPr>
            </w:pPr>
            <w:sdt>
              <w:sdtPr>
                <w:rPr>
                  <w:lang w:val="en-US"/>
                </w:rPr>
                <w:id w:val="-2116126963"/>
                <w14:checkbox>
                  <w14:checked w14:val="0"/>
                  <w14:checkedState w14:val="2612" w14:font="MS Gothic"/>
                  <w14:uncheckedState w14:val="2610" w14:font="MS Gothic"/>
                </w14:checkbox>
              </w:sdtPr>
              <w:sdtEndPr/>
              <w:sdtContent>
                <w:r w:rsidR="000B78AB">
                  <w:rPr>
                    <w:rFonts w:ascii="MS Gothic" w:eastAsia="MS Gothic" w:hAnsi="MS Gothic" w:hint="eastAsia"/>
                    <w:lang w:val="en-US"/>
                  </w:rPr>
                  <w:t>☐</w:t>
                </w:r>
              </w:sdtContent>
            </w:sdt>
            <w:r w:rsidR="00436EB9" w:rsidRPr="00436EB9">
              <w:rPr>
                <w:lang w:val="en-US"/>
              </w:rPr>
              <w:t xml:space="preserve"> Yes</w:t>
            </w:r>
          </w:p>
          <w:p w14:paraId="269CBE28" w14:textId="6DFC7036" w:rsidR="00436EB9" w:rsidRPr="00436EB9" w:rsidRDefault="007E14A9" w:rsidP="00436EB9">
            <w:pPr>
              <w:rPr>
                <w:lang w:val="en-US"/>
              </w:rPr>
            </w:pPr>
            <w:sdt>
              <w:sdtPr>
                <w:rPr>
                  <w:lang w:val="en-US"/>
                </w:rPr>
                <w:id w:val="2020801625"/>
                <w14:checkbox>
                  <w14:checked w14:val="1"/>
                  <w14:checkedState w14:val="2612" w14:font="MS Gothic"/>
                  <w14:uncheckedState w14:val="2610" w14:font="MS Gothic"/>
                </w14:checkbox>
              </w:sdtPr>
              <w:sdtEndPr/>
              <w:sdtContent>
                <w:r w:rsidR="00565D7C">
                  <w:rPr>
                    <w:rFonts w:ascii="MS Gothic" w:eastAsia="MS Gothic" w:hAnsi="MS Gothic" w:hint="eastAsia"/>
                    <w:lang w:val="en-US"/>
                  </w:rPr>
                  <w:t>☒</w:t>
                </w:r>
              </w:sdtContent>
            </w:sdt>
            <w:r w:rsidR="00436EB9" w:rsidRPr="00436EB9">
              <w:rPr>
                <w:lang w:val="en-US"/>
              </w:rPr>
              <w:t xml:space="preserve"> No</w:t>
            </w:r>
          </w:p>
          <w:p w14:paraId="269CBE29" w14:textId="77777777" w:rsidR="002300DE" w:rsidRPr="00C57639" w:rsidRDefault="00436EB9" w:rsidP="00436EB9">
            <w:pPr>
              <w:rPr>
                <w:b/>
                <w:bCs/>
              </w:rPr>
            </w:pPr>
            <w:r w:rsidRPr="00436EB9">
              <w:rPr>
                <w:bCs/>
              </w:rPr>
              <w:t>I</w:t>
            </w:r>
            <w:r>
              <w:rPr>
                <w:bCs/>
              </w:rPr>
              <w:t>f yes, please specify</w:t>
            </w:r>
            <w:r w:rsidRPr="00436EB9">
              <w:rPr>
                <w:bCs/>
              </w:rPr>
              <w:t>:</w:t>
            </w:r>
          </w:p>
        </w:tc>
      </w:tr>
      <w:tr w:rsidR="002300DE" w:rsidRPr="00F42A6F" w14:paraId="269CBE2D" w14:textId="77777777" w:rsidTr="00436EB9">
        <w:trPr>
          <w:cantSplit/>
          <w:trHeight w:val="269"/>
        </w:trPr>
        <w:tc>
          <w:tcPr>
            <w:tcW w:w="4962" w:type="dxa"/>
          </w:tcPr>
          <w:p w14:paraId="269CBE2B" w14:textId="77777777" w:rsidR="002300DE" w:rsidRPr="00566292" w:rsidRDefault="002300DE" w:rsidP="00877A71">
            <w:r w:rsidRPr="00566292">
              <w:lastRenderedPageBreak/>
              <w:t xml:space="preserve">Which data will be made available after the end of the project? </w:t>
            </w:r>
          </w:p>
        </w:tc>
        <w:tc>
          <w:tcPr>
            <w:tcW w:w="10631" w:type="dxa"/>
          </w:tcPr>
          <w:p w14:paraId="0B13C12D" w14:textId="18BD6073" w:rsidR="00F5120E" w:rsidRDefault="00566292" w:rsidP="00F5120E">
            <w:pPr>
              <w:rPr>
                <w:bCs/>
              </w:rPr>
            </w:pPr>
            <w:r w:rsidRPr="00566292">
              <w:rPr>
                <w:bCs/>
              </w:rPr>
              <w:t xml:space="preserve">All data can be made available in a </w:t>
            </w:r>
            <w:proofErr w:type="spellStart"/>
            <w:r w:rsidRPr="00566292">
              <w:rPr>
                <w:bCs/>
              </w:rPr>
              <w:t>pseudonomized</w:t>
            </w:r>
            <w:proofErr w:type="spellEnd"/>
            <w:r w:rsidRPr="00566292">
              <w:rPr>
                <w:bCs/>
              </w:rPr>
              <w:t xml:space="preserve"> way to third parties upon reasonable request. </w:t>
            </w:r>
          </w:p>
          <w:p w14:paraId="6AC23247" w14:textId="2513369D" w:rsidR="002300DE" w:rsidRPr="00566292" w:rsidRDefault="00F5120E" w:rsidP="00F5120E">
            <w:pPr>
              <w:rPr>
                <w:bCs/>
              </w:rPr>
            </w:pPr>
            <w:r w:rsidRPr="00566292">
              <w:rPr>
                <w:bCs/>
              </w:rPr>
              <w:t>A data sharing agreement will be made between the</w:t>
            </w:r>
            <w:r w:rsidR="00F3502F">
              <w:rPr>
                <w:bCs/>
              </w:rPr>
              <w:t xml:space="preserve"> third party and the applicants/co-applicants of the present project.</w:t>
            </w:r>
          </w:p>
          <w:p w14:paraId="269CBE2C" w14:textId="75201493" w:rsidR="00566292" w:rsidRPr="00566292" w:rsidRDefault="00566292" w:rsidP="6320600B">
            <w:pPr>
              <w:rPr>
                <w:bCs/>
              </w:rPr>
            </w:pPr>
          </w:p>
        </w:tc>
      </w:tr>
      <w:tr w:rsidR="002300DE" w:rsidRPr="00F42A6F" w14:paraId="269CBE34" w14:textId="77777777" w:rsidTr="00436EB9">
        <w:trPr>
          <w:cantSplit/>
          <w:trHeight w:val="269"/>
        </w:trPr>
        <w:tc>
          <w:tcPr>
            <w:tcW w:w="4962" w:type="dxa"/>
          </w:tcPr>
          <w:p w14:paraId="269CBE2E" w14:textId="77777777" w:rsidR="002300DE" w:rsidRDefault="002300DE" w:rsidP="002977B7">
            <w:r>
              <w:t xml:space="preserve">Where/how will the data be made available for reuse? </w:t>
            </w:r>
          </w:p>
        </w:tc>
        <w:tc>
          <w:tcPr>
            <w:tcW w:w="10631" w:type="dxa"/>
          </w:tcPr>
          <w:p w14:paraId="269CBE2F" w14:textId="77777777" w:rsidR="00D712D9" w:rsidRDefault="007E14A9" w:rsidP="00D712D9">
            <w:sdt>
              <w:sdtPr>
                <w:rPr>
                  <w:lang w:val="en-US"/>
                </w:rPr>
                <w:id w:val="1497999269"/>
                <w14:checkbox>
                  <w14:checked w14:val="0"/>
                  <w14:checkedState w14:val="2612" w14:font="MS Gothic"/>
                  <w14:uncheckedState w14:val="2610" w14:font="MS Gothic"/>
                </w14:checkbox>
              </w:sdtPr>
              <w:sdtEndPr/>
              <w:sdtContent>
                <w:r w:rsidR="00D712D9" w:rsidRPr="00436EB9">
                  <w:rPr>
                    <w:rFonts w:ascii="MS Gothic" w:eastAsia="MS Gothic" w:hAnsi="MS Gothic" w:hint="eastAsia"/>
                    <w:lang w:val="en-US"/>
                  </w:rPr>
                  <w:t>☐</w:t>
                </w:r>
              </w:sdtContent>
            </w:sdt>
            <w:r w:rsidR="00D712D9">
              <w:t xml:space="preserve"> In an Open Access repository</w:t>
            </w:r>
          </w:p>
          <w:p w14:paraId="269CBE30" w14:textId="77777777" w:rsidR="00D712D9" w:rsidRDefault="007E14A9" w:rsidP="00D712D9">
            <w:sdt>
              <w:sdtPr>
                <w:rPr>
                  <w:lang w:val="en-US"/>
                </w:rPr>
                <w:id w:val="-1202310608"/>
                <w14:checkbox>
                  <w14:checked w14:val="0"/>
                  <w14:checkedState w14:val="2612" w14:font="MS Gothic"/>
                  <w14:uncheckedState w14:val="2610" w14:font="MS Gothic"/>
                </w14:checkbox>
              </w:sdtPr>
              <w:sdtEndPr/>
              <w:sdtContent>
                <w:r w:rsidR="00D712D9" w:rsidRPr="00436EB9">
                  <w:rPr>
                    <w:rFonts w:ascii="MS Gothic" w:eastAsia="MS Gothic" w:hAnsi="MS Gothic" w:hint="eastAsia"/>
                    <w:lang w:val="en-US"/>
                  </w:rPr>
                  <w:t>☐</w:t>
                </w:r>
              </w:sdtContent>
            </w:sdt>
            <w:r w:rsidR="00D712D9">
              <w:t xml:space="preserve"> In a restricted access repository</w:t>
            </w:r>
          </w:p>
          <w:p w14:paraId="269CBE31" w14:textId="4F08503E" w:rsidR="00D712D9" w:rsidRDefault="007E14A9" w:rsidP="00D712D9">
            <w:sdt>
              <w:sdtPr>
                <w:rPr>
                  <w:lang w:val="en-US"/>
                </w:rPr>
                <w:id w:val="-1165008756"/>
                <w14:checkbox>
                  <w14:checked w14:val="1"/>
                  <w14:checkedState w14:val="2612" w14:font="MS Gothic"/>
                  <w14:uncheckedState w14:val="2610" w14:font="MS Gothic"/>
                </w14:checkbox>
              </w:sdtPr>
              <w:sdtEndPr/>
              <w:sdtContent>
                <w:r w:rsidR="000B78AB">
                  <w:rPr>
                    <w:rFonts w:ascii="MS Gothic" w:eastAsia="MS Gothic" w:hAnsi="MS Gothic" w:hint="eastAsia"/>
                    <w:lang w:val="en-US"/>
                  </w:rPr>
                  <w:t>☒</w:t>
                </w:r>
              </w:sdtContent>
            </w:sdt>
            <w:r w:rsidR="00D712D9">
              <w:t xml:space="preserve"> Upon request by mail</w:t>
            </w:r>
          </w:p>
          <w:p w14:paraId="269CBE32" w14:textId="77777777" w:rsidR="00D712D9" w:rsidRDefault="007E14A9" w:rsidP="00D712D9">
            <w:sdt>
              <w:sdtPr>
                <w:rPr>
                  <w:lang w:val="en-US"/>
                </w:rPr>
                <w:id w:val="1016202770"/>
                <w14:checkbox>
                  <w14:checked w14:val="0"/>
                  <w14:checkedState w14:val="2612" w14:font="MS Gothic"/>
                  <w14:uncheckedState w14:val="2610" w14:font="MS Gothic"/>
                </w14:checkbox>
              </w:sdtPr>
              <w:sdtEndPr/>
              <w:sdtContent>
                <w:r w:rsidR="00D712D9" w:rsidRPr="00436EB9">
                  <w:rPr>
                    <w:rFonts w:ascii="MS Gothic" w:eastAsia="MS Gothic" w:hAnsi="MS Gothic" w:hint="eastAsia"/>
                    <w:lang w:val="en-US"/>
                  </w:rPr>
                  <w:t>☐</w:t>
                </w:r>
              </w:sdtContent>
            </w:sdt>
            <w:r w:rsidR="00D712D9">
              <w:t xml:space="preserve"> Other (specify):</w:t>
            </w:r>
          </w:p>
          <w:p w14:paraId="269CBE33" w14:textId="77777777" w:rsidR="002300DE" w:rsidRPr="00C57639" w:rsidRDefault="002300DE" w:rsidP="6320600B">
            <w:pPr>
              <w:rPr>
                <w:b/>
                <w:bCs/>
              </w:rPr>
            </w:pPr>
          </w:p>
        </w:tc>
      </w:tr>
      <w:tr w:rsidR="002300DE" w:rsidRPr="00F42A6F" w14:paraId="269CBE37" w14:textId="77777777" w:rsidTr="00436EB9">
        <w:trPr>
          <w:cantSplit/>
          <w:trHeight w:val="269"/>
        </w:trPr>
        <w:tc>
          <w:tcPr>
            <w:tcW w:w="4962" w:type="dxa"/>
          </w:tcPr>
          <w:p w14:paraId="269CBE35" w14:textId="77777777" w:rsidR="002300DE" w:rsidRDefault="002300DE" w:rsidP="00877A71">
            <w:r>
              <w:t xml:space="preserve">When will the data be made available? </w:t>
            </w:r>
          </w:p>
        </w:tc>
        <w:tc>
          <w:tcPr>
            <w:tcW w:w="10631" w:type="dxa"/>
          </w:tcPr>
          <w:p w14:paraId="269CBE36" w14:textId="655A3F5E" w:rsidR="002300DE" w:rsidRPr="00566292" w:rsidRDefault="00573345" w:rsidP="6320600B">
            <w:pPr>
              <w:rPr>
                <w:bCs/>
              </w:rPr>
            </w:pPr>
            <w:r>
              <w:rPr>
                <w:bCs/>
              </w:rPr>
              <w:t>Data can be made available to third parties a</w:t>
            </w:r>
            <w:r w:rsidR="00566292" w:rsidRPr="00566292">
              <w:rPr>
                <w:bCs/>
              </w:rPr>
              <w:t>fter the end of the present project</w:t>
            </w:r>
            <w:r>
              <w:rPr>
                <w:bCs/>
              </w:rPr>
              <w:t>,</w:t>
            </w:r>
            <w:r w:rsidR="00566292" w:rsidRPr="00566292">
              <w:rPr>
                <w:bCs/>
              </w:rPr>
              <w:t xml:space="preserve"> the publication of the main articles</w:t>
            </w:r>
            <w:r>
              <w:rPr>
                <w:bCs/>
              </w:rPr>
              <w:t>, and the defences of the PhD students</w:t>
            </w:r>
            <w:r w:rsidR="00566292" w:rsidRPr="00566292">
              <w:rPr>
                <w:bCs/>
              </w:rPr>
              <w:t>.</w:t>
            </w:r>
          </w:p>
        </w:tc>
      </w:tr>
      <w:tr w:rsidR="002300DE" w:rsidRPr="00F42A6F" w14:paraId="269CBE3A" w14:textId="77777777" w:rsidTr="00436EB9">
        <w:trPr>
          <w:cantSplit/>
          <w:trHeight w:val="269"/>
        </w:trPr>
        <w:tc>
          <w:tcPr>
            <w:tcW w:w="4962" w:type="dxa"/>
          </w:tcPr>
          <w:p w14:paraId="269CBE38" w14:textId="77777777" w:rsidR="002300DE" w:rsidRDefault="002300DE" w:rsidP="00877A71">
            <w:r>
              <w:t xml:space="preserve">Who will be able to access the data and under what conditions? </w:t>
            </w:r>
          </w:p>
        </w:tc>
        <w:tc>
          <w:tcPr>
            <w:tcW w:w="10631" w:type="dxa"/>
          </w:tcPr>
          <w:p w14:paraId="269CBE39" w14:textId="0F9637A5" w:rsidR="002300DE" w:rsidRPr="00566292" w:rsidRDefault="00566292" w:rsidP="00BB4EB5">
            <w:pPr>
              <w:rPr>
                <w:bCs/>
              </w:rPr>
            </w:pPr>
            <w:r w:rsidRPr="00566292">
              <w:rPr>
                <w:bCs/>
              </w:rPr>
              <w:t xml:space="preserve">If </w:t>
            </w:r>
            <w:r w:rsidR="003B4BBE">
              <w:rPr>
                <w:bCs/>
              </w:rPr>
              <w:t xml:space="preserve">third parties </w:t>
            </w:r>
            <w:r w:rsidRPr="00566292">
              <w:rPr>
                <w:bCs/>
              </w:rPr>
              <w:t xml:space="preserve">want to use (part of) the data for secondary data analysis, benchmarking, </w:t>
            </w:r>
            <w:r w:rsidR="00A04455">
              <w:rPr>
                <w:bCs/>
              </w:rPr>
              <w:t>or follow-up studies, they can submit a request to the principal investigator</w:t>
            </w:r>
            <w:r w:rsidR="00042CBE">
              <w:rPr>
                <w:bCs/>
              </w:rPr>
              <w:t>: Philip Moons</w:t>
            </w:r>
            <w:r w:rsidR="00A04455">
              <w:rPr>
                <w:bCs/>
              </w:rPr>
              <w:t xml:space="preserve">. The appropriateness of the request will be evaluated by the </w:t>
            </w:r>
            <w:r w:rsidR="00042CBE">
              <w:rPr>
                <w:bCs/>
              </w:rPr>
              <w:t>co-applicants of the present proposal</w:t>
            </w:r>
            <w:r w:rsidR="00A04455">
              <w:rPr>
                <w:bCs/>
              </w:rPr>
              <w:t>.</w:t>
            </w:r>
          </w:p>
        </w:tc>
      </w:tr>
      <w:tr w:rsidR="002300DE" w:rsidRPr="005B780B" w14:paraId="269CBE3F" w14:textId="77777777" w:rsidTr="00436EB9">
        <w:trPr>
          <w:cantSplit/>
          <w:trHeight w:val="269"/>
        </w:trPr>
        <w:tc>
          <w:tcPr>
            <w:tcW w:w="4962" w:type="dxa"/>
          </w:tcPr>
          <w:p w14:paraId="269CBE3B" w14:textId="77777777" w:rsidR="002300DE" w:rsidRDefault="002300DE" w:rsidP="00877A71">
            <w:r>
              <w:t xml:space="preserve">What are the expected costs for data sharing? How will these costs be covered? </w:t>
            </w:r>
          </w:p>
          <w:p w14:paraId="269CBE3C" w14:textId="77777777" w:rsidR="00D712D9" w:rsidRPr="00D712D9" w:rsidRDefault="00D712D9" w:rsidP="00877A71">
            <w:pPr>
              <w:rPr>
                <w:sz w:val="12"/>
              </w:rPr>
            </w:pPr>
          </w:p>
          <w:p w14:paraId="269CBE3D" w14:textId="77777777" w:rsidR="00D712D9" w:rsidRPr="00D712D9" w:rsidRDefault="00D712D9" w:rsidP="00877A71">
            <w:pPr>
              <w:rPr>
                <w:i/>
              </w:rPr>
            </w:pPr>
            <w:r w:rsidRPr="00D712D9">
              <w:rPr>
                <w:i/>
                <w:sz w:val="22"/>
                <w:lang w:val="en-US"/>
              </w:rPr>
              <w:t xml:space="preserve">Although FWO has no earmarked budget at its disposal to support correct research data management, FWO allows for part of </w:t>
            </w:r>
            <w:r w:rsidRPr="00D712D9">
              <w:rPr>
                <w:b/>
                <w:bCs/>
                <w:i/>
                <w:sz w:val="22"/>
                <w:lang w:val="en-US"/>
              </w:rPr>
              <w:t>the allocated project budget</w:t>
            </w:r>
            <w:r w:rsidRPr="00D712D9">
              <w:rPr>
                <w:i/>
                <w:sz w:val="22"/>
                <w:lang w:val="en-US"/>
              </w:rPr>
              <w:t xml:space="preserve"> to be used to cover the cost incurred.</w:t>
            </w:r>
          </w:p>
        </w:tc>
        <w:tc>
          <w:tcPr>
            <w:tcW w:w="10631" w:type="dxa"/>
          </w:tcPr>
          <w:p w14:paraId="269CBE3E" w14:textId="075ABD8C" w:rsidR="002300DE" w:rsidRPr="00566292" w:rsidRDefault="003D0D44" w:rsidP="003B4BBE">
            <w:pPr>
              <w:rPr>
                <w:bCs/>
              </w:rPr>
            </w:pPr>
            <w:r>
              <w:rPr>
                <w:bCs/>
              </w:rPr>
              <w:t>This will depend on the nature of the request.</w:t>
            </w:r>
            <w:r w:rsidR="003B4BBE">
              <w:rPr>
                <w:bCs/>
              </w:rPr>
              <w:t xml:space="preserve"> For data retrieval and </w:t>
            </w:r>
            <w:r w:rsidR="003B4BBE" w:rsidRPr="003B4BBE">
              <w:rPr>
                <w:bCs/>
              </w:rPr>
              <w:t>management, 100 euro/h will be charged. These c</w:t>
            </w:r>
            <w:r w:rsidRPr="003B4BBE">
              <w:rPr>
                <w:bCs/>
              </w:rPr>
              <w:t>osts for data sharing with third parties will be covered by the t</w:t>
            </w:r>
            <w:r>
              <w:rPr>
                <w:bCs/>
              </w:rPr>
              <w:t>hird party.</w:t>
            </w:r>
            <w:r w:rsidR="00F5120E">
              <w:rPr>
                <w:bCs/>
              </w:rPr>
              <w:t xml:space="preserve"> </w:t>
            </w:r>
          </w:p>
        </w:tc>
      </w:tr>
    </w:tbl>
    <w:p w14:paraId="269CBE40"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269CBE43" w14:textId="77777777" w:rsidTr="005E32FD">
        <w:trPr>
          <w:cantSplit/>
          <w:trHeight w:val="501"/>
        </w:trPr>
        <w:tc>
          <w:tcPr>
            <w:tcW w:w="15593" w:type="dxa"/>
            <w:gridSpan w:val="2"/>
            <w:shd w:val="clear" w:color="auto" w:fill="5B9BD5" w:themeFill="accent5"/>
          </w:tcPr>
          <w:p w14:paraId="269CBE41" w14:textId="77777777" w:rsidR="00877A71" w:rsidRPr="00C57639" w:rsidRDefault="5FB6CA38" w:rsidP="6320600B">
            <w:pPr>
              <w:pStyle w:val="ListParagraph"/>
              <w:numPr>
                <w:ilvl w:val="0"/>
                <w:numId w:val="22"/>
              </w:numPr>
              <w:jc w:val="center"/>
              <w:rPr>
                <w:b/>
                <w:bCs/>
              </w:rPr>
            </w:pPr>
            <w:r w:rsidRPr="5FB6CA38">
              <w:rPr>
                <w:b/>
                <w:bCs/>
              </w:rPr>
              <w:t>Responsibilities</w:t>
            </w:r>
          </w:p>
          <w:p w14:paraId="269CBE42" w14:textId="77777777" w:rsidR="00877A71" w:rsidRPr="00145CC7" w:rsidRDefault="00877A71" w:rsidP="00EE6614">
            <w:pPr>
              <w:ind w:left="360"/>
              <w:rPr>
                <w:b/>
              </w:rPr>
            </w:pPr>
          </w:p>
        </w:tc>
      </w:tr>
      <w:tr w:rsidR="002300DE" w:rsidRPr="00F42A6F" w14:paraId="269CBE46" w14:textId="77777777" w:rsidTr="00436EB9">
        <w:trPr>
          <w:cantSplit/>
          <w:trHeight w:val="269"/>
        </w:trPr>
        <w:tc>
          <w:tcPr>
            <w:tcW w:w="4962" w:type="dxa"/>
          </w:tcPr>
          <w:p w14:paraId="269CBE44" w14:textId="77777777" w:rsidR="002300DE" w:rsidRPr="00CA44D7" w:rsidRDefault="002300DE" w:rsidP="00877A71">
            <w:r>
              <w:t xml:space="preserve">Who will be responsible for the data documentation &amp; metadata? </w:t>
            </w:r>
          </w:p>
        </w:tc>
        <w:tc>
          <w:tcPr>
            <w:tcW w:w="10631" w:type="dxa"/>
          </w:tcPr>
          <w:p w14:paraId="04F4BF97" w14:textId="77777777" w:rsidR="002300DE" w:rsidRDefault="006573C8" w:rsidP="6320600B">
            <w:pPr>
              <w:rPr>
                <w:bCs/>
              </w:rPr>
            </w:pPr>
            <w:r>
              <w:rPr>
                <w:bCs/>
              </w:rPr>
              <w:t>Prof Philip Moons: principal investigator</w:t>
            </w:r>
          </w:p>
          <w:p w14:paraId="269CBE45" w14:textId="6B17663A" w:rsidR="000E399E" w:rsidRPr="003D0D44" w:rsidRDefault="000E399E" w:rsidP="6320600B">
            <w:pPr>
              <w:rPr>
                <w:bCs/>
              </w:rPr>
            </w:pPr>
            <w:r>
              <w:rPr>
                <w:bCs/>
              </w:rPr>
              <w:t xml:space="preserve">In collaboration with Prof W. Budts, Prof J De Backer, Prof R </w:t>
            </w:r>
            <w:proofErr w:type="spellStart"/>
            <w:r>
              <w:rPr>
                <w:bCs/>
              </w:rPr>
              <w:t>Heying</w:t>
            </w:r>
            <w:proofErr w:type="spellEnd"/>
            <w:r>
              <w:rPr>
                <w:bCs/>
              </w:rPr>
              <w:t>, Prof K De Groote</w:t>
            </w:r>
            <w:r w:rsidR="00C44321">
              <w:rPr>
                <w:bCs/>
              </w:rPr>
              <w:t xml:space="preserve">, </w:t>
            </w:r>
            <w:proofErr w:type="spellStart"/>
            <w:r w:rsidR="00C44321">
              <w:rPr>
                <w:bCs/>
              </w:rPr>
              <w:t>Dr.</w:t>
            </w:r>
            <w:proofErr w:type="spellEnd"/>
            <w:r w:rsidR="00C44321">
              <w:rPr>
                <w:bCs/>
              </w:rPr>
              <w:t xml:space="preserve"> L </w:t>
            </w:r>
            <w:proofErr w:type="spellStart"/>
            <w:r w:rsidR="00C44321">
              <w:rPr>
                <w:bCs/>
              </w:rPr>
              <w:t>Muino</w:t>
            </w:r>
            <w:proofErr w:type="spellEnd"/>
            <w:r w:rsidR="00C44321">
              <w:rPr>
                <w:bCs/>
              </w:rPr>
              <w:t xml:space="preserve"> Mosquera</w:t>
            </w:r>
          </w:p>
        </w:tc>
      </w:tr>
      <w:tr w:rsidR="002300DE" w:rsidRPr="00F42A6F" w14:paraId="269CBE49" w14:textId="77777777" w:rsidTr="00436EB9">
        <w:trPr>
          <w:cantSplit/>
          <w:trHeight w:val="269"/>
        </w:trPr>
        <w:tc>
          <w:tcPr>
            <w:tcW w:w="4962" w:type="dxa"/>
          </w:tcPr>
          <w:p w14:paraId="269CBE47" w14:textId="77777777" w:rsidR="002300DE" w:rsidRDefault="002300DE" w:rsidP="00877A71">
            <w:r>
              <w:t xml:space="preserve">Who will be responsible for data storage &amp; back up during the project? </w:t>
            </w:r>
          </w:p>
        </w:tc>
        <w:tc>
          <w:tcPr>
            <w:tcW w:w="10631" w:type="dxa"/>
          </w:tcPr>
          <w:p w14:paraId="46BB403C" w14:textId="393D8320" w:rsidR="000E399E" w:rsidRDefault="006573C8" w:rsidP="000E399E">
            <w:pPr>
              <w:rPr>
                <w:bCs/>
              </w:rPr>
            </w:pPr>
            <w:r>
              <w:rPr>
                <w:bCs/>
              </w:rPr>
              <w:t>Prof Philip Moons: principal investigator</w:t>
            </w:r>
            <w:r w:rsidR="000E399E">
              <w:rPr>
                <w:bCs/>
              </w:rPr>
              <w:t xml:space="preserve"> </w:t>
            </w:r>
          </w:p>
          <w:p w14:paraId="269CBE48" w14:textId="645C0064" w:rsidR="002300DE" w:rsidRPr="003D0D44" w:rsidRDefault="000E399E" w:rsidP="000E399E">
            <w:pPr>
              <w:rPr>
                <w:bCs/>
              </w:rPr>
            </w:pPr>
            <w:r>
              <w:rPr>
                <w:bCs/>
              </w:rPr>
              <w:t xml:space="preserve">In collaboration with Prof W. Budts, Prof J De Backer, Prof R </w:t>
            </w:r>
            <w:proofErr w:type="spellStart"/>
            <w:r>
              <w:rPr>
                <w:bCs/>
              </w:rPr>
              <w:t>Heying</w:t>
            </w:r>
            <w:proofErr w:type="spellEnd"/>
            <w:r>
              <w:rPr>
                <w:bCs/>
              </w:rPr>
              <w:t>, Prof K De Groote</w:t>
            </w:r>
            <w:r w:rsidR="00C44321">
              <w:rPr>
                <w:bCs/>
              </w:rPr>
              <w:t xml:space="preserve">, </w:t>
            </w:r>
            <w:proofErr w:type="spellStart"/>
            <w:r w:rsidR="00C44321">
              <w:rPr>
                <w:bCs/>
              </w:rPr>
              <w:t>Dr.</w:t>
            </w:r>
            <w:proofErr w:type="spellEnd"/>
            <w:r w:rsidR="00C44321">
              <w:rPr>
                <w:bCs/>
              </w:rPr>
              <w:t xml:space="preserve"> L </w:t>
            </w:r>
            <w:proofErr w:type="spellStart"/>
            <w:r w:rsidR="00C44321">
              <w:rPr>
                <w:bCs/>
              </w:rPr>
              <w:t>Muino</w:t>
            </w:r>
            <w:proofErr w:type="spellEnd"/>
            <w:r w:rsidR="00C44321">
              <w:rPr>
                <w:bCs/>
              </w:rPr>
              <w:t xml:space="preserve"> Mosquera</w:t>
            </w:r>
          </w:p>
        </w:tc>
      </w:tr>
      <w:tr w:rsidR="002300DE" w:rsidRPr="00F42A6F" w14:paraId="269CBE4C" w14:textId="77777777" w:rsidTr="00436EB9">
        <w:trPr>
          <w:cantSplit/>
          <w:trHeight w:val="269"/>
        </w:trPr>
        <w:tc>
          <w:tcPr>
            <w:tcW w:w="4962" w:type="dxa"/>
          </w:tcPr>
          <w:p w14:paraId="269CBE4A" w14:textId="77777777" w:rsidR="002300DE" w:rsidRDefault="002300DE" w:rsidP="00877A71">
            <w:r>
              <w:lastRenderedPageBreak/>
              <w:t xml:space="preserve">Who will be responsible for ensuring data preservation and sharing? </w:t>
            </w:r>
          </w:p>
        </w:tc>
        <w:tc>
          <w:tcPr>
            <w:tcW w:w="10631" w:type="dxa"/>
          </w:tcPr>
          <w:p w14:paraId="3038E259" w14:textId="50B031DB" w:rsidR="000E399E" w:rsidRDefault="006573C8" w:rsidP="000E399E">
            <w:pPr>
              <w:rPr>
                <w:bCs/>
              </w:rPr>
            </w:pPr>
            <w:r>
              <w:rPr>
                <w:bCs/>
              </w:rPr>
              <w:t>Prof Philip Moons: principal investigator</w:t>
            </w:r>
            <w:r w:rsidR="000E399E">
              <w:rPr>
                <w:bCs/>
              </w:rPr>
              <w:t xml:space="preserve"> </w:t>
            </w:r>
          </w:p>
          <w:p w14:paraId="269CBE4B" w14:textId="417A0BFA" w:rsidR="002300DE" w:rsidRPr="003D0D44" w:rsidRDefault="000E399E" w:rsidP="000E399E">
            <w:pPr>
              <w:rPr>
                <w:bCs/>
              </w:rPr>
            </w:pPr>
            <w:r>
              <w:rPr>
                <w:bCs/>
              </w:rPr>
              <w:t xml:space="preserve">In collaboration with Prof W. Budts, Prof J De Backer, Prof R </w:t>
            </w:r>
            <w:proofErr w:type="spellStart"/>
            <w:r>
              <w:rPr>
                <w:bCs/>
              </w:rPr>
              <w:t>Heying</w:t>
            </w:r>
            <w:proofErr w:type="spellEnd"/>
            <w:r>
              <w:rPr>
                <w:bCs/>
              </w:rPr>
              <w:t>, Prof K De Groote</w:t>
            </w:r>
            <w:r w:rsidR="00C44321">
              <w:rPr>
                <w:bCs/>
              </w:rPr>
              <w:t xml:space="preserve">, </w:t>
            </w:r>
            <w:proofErr w:type="spellStart"/>
            <w:r w:rsidR="00C44321">
              <w:rPr>
                <w:bCs/>
              </w:rPr>
              <w:t>Dr.</w:t>
            </w:r>
            <w:proofErr w:type="spellEnd"/>
            <w:r w:rsidR="00C44321">
              <w:rPr>
                <w:bCs/>
              </w:rPr>
              <w:t xml:space="preserve"> L </w:t>
            </w:r>
            <w:proofErr w:type="spellStart"/>
            <w:r w:rsidR="00C44321">
              <w:rPr>
                <w:bCs/>
              </w:rPr>
              <w:t>Muino</w:t>
            </w:r>
            <w:proofErr w:type="spellEnd"/>
            <w:r w:rsidR="00C44321">
              <w:rPr>
                <w:bCs/>
              </w:rPr>
              <w:t xml:space="preserve"> Mosquera</w:t>
            </w:r>
          </w:p>
        </w:tc>
      </w:tr>
      <w:tr w:rsidR="002300DE" w:rsidRPr="00F42A6F" w14:paraId="269CBE50" w14:textId="77777777" w:rsidTr="00436EB9">
        <w:trPr>
          <w:cantSplit/>
          <w:trHeight w:val="269"/>
        </w:trPr>
        <w:tc>
          <w:tcPr>
            <w:tcW w:w="4962" w:type="dxa"/>
          </w:tcPr>
          <w:p w14:paraId="269CBE4D" w14:textId="77777777" w:rsidR="002300DE" w:rsidRPr="00D712D9" w:rsidRDefault="002300DE" w:rsidP="00C94198">
            <w:pPr>
              <w:rPr>
                <w:sz w:val="12"/>
              </w:rPr>
            </w:pPr>
            <w:r>
              <w:t xml:space="preserve">Who bears the end responsibility for updating &amp; implementing this DMP? </w:t>
            </w:r>
            <w:r w:rsidR="00D712D9">
              <w:br/>
            </w:r>
          </w:p>
          <w:p w14:paraId="269CBE4E" w14:textId="77777777" w:rsidR="00D712D9" w:rsidRPr="00D712D9" w:rsidRDefault="00D712D9" w:rsidP="00D712D9">
            <w:pPr>
              <w:rPr>
                <w:i/>
              </w:rPr>
            </w:pPr>
            <w:r w:rsidRPr="00D712D9">
              <w:rPr>
                <w:i/>
                <w:sz w:val="22"/>
                <w:szCs w:val="22"/>
              </w:rPr>
              <w:t xml:space="preserve">Default </w:t>
            </w:r>
            <w:r>
              <w:rPr>
                <w:i/>
                <w:sz w:val="22"/>
                <w:szCs w:val="22"/>
              </w:rPr>
              <w:t>response</w:t>
            </w:r>
            <w:r w:rsidRPr="00D712D9">
              <w:rPr>
                <w:i/>
                <w:sz w:val="22"/>
                <w:szCs w:val="22"/>
              </w:rPr>
              <w:t>: The PI bears the overall responsibility for updating &amp; implementing this DMP</w:t>
            </w:r>
          </w:p>
        </w:tc>
        <w:tc>
          <w:tcPr>
            <w:tcW w:w="10631" w:type="dxa"/>
          </w:tcPr>
          <w:p w14:paraId="0FC7C2EA" w14:textId="31FE660D" w:rsidR="003B4BBE" w:rsidRDefault="006573C8" w:rsidP="003B4BBE">
            <w:pPr>
              <w:rPr>
                <w:bCs/>
              </w:rPr>
            </w:pPr>
            <w:r>
              <w:rPr>
                <w:bCs/>
              </w:rPr>
              <w:t>Prof Philip Moons: principal investigator</w:t>
            </w:r>
            <w:r w:rsidR="003B4BBE">
              <w:rPr>
                <w:bCs/>
              </w:rPr>
              <w:t xml:space="preserve"> </w:t>
            </w:r>
          </w:p>
          <w:p w14:paraId="269CBE4F" w14:textId="30D0622C" w:rsidR="002300DE" w:rsidRPr="003D0D44" w:rsidRDefault="003B4BBE" w:rsidP="003B4BBE">
            <w:pPr>
              <w:rPr>
                <w:bCs/>
              </w:rPr>
            </w:pPr>
            <w:r>
              <w:rPr>
                <w:bCs/>
              </w:rPr>
              <w:t xml:space="preserve">In collaboration with Prof W. Budts, Prof J De Backer, Prof R </w:t>
            </w:r>
            <w:proofErr w:type="spellStart"/>
            <w:r>
              <w:rPr>
                <w:bCs/>
              </w:rPr>
              <w:t>Heying</w:t>
            </w:r>
            <w:proofErr w:type="spellEnd"/>
            <w:r>
              <w:rPr>
                <w:bCs/>
              </w:rPr>
              <w:t>, Prof K De Groote</w:t>
            </w:r>
            <w:r w:rsidR="00C44321">
              <w:rPr>
                <w:bCs/>
              </w:rPr>
              <w:t xml:space="preserve">, </w:t>
            </w:r>
            <w:proofErr w:type="spellStart"/>
            <w:r w:rsidR="00C44321">
              <w:rPr>
                <w:bCs/>
              </w:rPr>
              <w:t>Dr.</w:t>
            </w:r>
            <w:proofErr w:type="spellEnd"/>
            <w:r w:rsidR="00C44321">
              <w:rPr>
                <w:bCs/>
              </w:rPr>
              <w:t xml:space="preserve"> L Muino Mosquera</w:t>
            </w:r>
          </w:p>
        </w:tc>
      </w:tr>
    </w:tbl>
    <w:p w14:paraId="269CBE51" w14:textId="77777777" w:rsidR="0095381F" w:rsidRPr="00F42A6F" w:rsidRDefault="0095381F" w:rsidP="0095381F"/>
    <w:sectPr w:rsidR="0095381F" w:rsidRPr="00F42A6F" w:rsidSect="00097E2A">
      <w:footerReference w:type="default" r:id="rId11"/>
      <w:pgSz w:w="16840" w:h="1190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43C5D7" w14:textId="77777777" w:rsidR="007E14A9" w:rsidRDefault="007E14A9" w:rsidP="00CE49D2">
      <w:r>
        <w:separator/>
      </w:r>
    </w:p>
  </w:endnote>
  <w:endnote w:type="continuationSeparator" w:id="0">
    <w:p w14:paraId="71590227" w14:textId="77777777" w:rsidR="007E14A9" w:rsidRDefault="007E14A9"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NimbusSanL-Regu">
    <w:altName w:val="Calibri"/>
    <w:panose1 w:val="020B0604020202020204"/>
    <w:charset w:val="00"/>
    <w:family w:val="auto"/>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CBE56" w14:textId="77777777" w:rsidR="00277747" w:rsidRPr="00277747" w:rsidRDefault="00277747" w:rsidP="00277747">
    <w:pPr>
      <w:pStyle w:val="Footer"/>
      <w:tabs>
        <w:tab w:val="clear" w:pos="9072"/>
        <w:tab w:val="right" w:pos="13892"/>
      </w:tabs>
      <w:rPr>
        <w:sz w:val="20"/>
      </w:rPr>
    </w:pPr>
    <w:r w:rsidRPr="00277747">
      <w:rPr>
        <w:sz w:val="20"/>
      </w:rPr>
      <w:t>201</w:t>
    </w:r>
    <w:r w:rsidR="002300DE">
      <w:rPr>
        <w:sz w:val="20"/>
      </w:rPr>
      <w:t>9</w:t>
    </w:r>
    <w:r w:rsidRPr="00277747">
      <w:rPr>
        <w:sz w:val="20"/>
      </w:rPr>
      <w:t>-</w:t>
    </w:r>
    <w:r w:rsidR="002300DE">
      <w:rPr>
        <w:sz w:val="20"/>
      </w:rPr>
      <w:t>10</w:t>
    </w:r>
    <w:r w:rsidRPr="00277747">
      <w:rPr>
        <w:sz w:val="20"/>
      </w:rPr>
      <w:t>-</w:t>
    </w:r>
    <w:r w:rsidR="002300DE">
      <w:rPr>
        <w:sz w:val="20"/>
      </w:rPr>
      <w:t>0</w:t>
    </w:r>
    <w:r w:rsidRPr="00277747">
      <w:rPr>
        <w:sz w:val="20"/>
      </w:rPr>
      <w:t>1 | FWO DMP Template</w:t>
    </w:r>
    <w:r w:rsidRPr="00277747">
      <w:rPr>
        <w:sz w:val="20"/>
      </w:rPr>
      <w:tab/>
    </w:r>
    <w:r w:rsidRPr="00277747">
      <w:rPr>
        <w:sz w:val="20"/>
      </w:rPr>
      <w:tab/>
    </w:r>
    <w:r w:rsidRPr="00277747">
      <w:rPr>
        <w:sz w:val="20"/>
      </w:rPr>
      <w:fldChar w:fldCharType="begin"/>
    </w:r>
    <w:r w:rsidRPr="00277747">
      <w:rPr>
        <w:sz w:val="20"/>
      </w:rPr>
      <w:instrText xml:space="preserve"> PAGE   \* MERGEFORMAT </w:instrText>
    </w:r>
    <w:r w:rsidRPr="00277747">
      <w:rPr>
        <w:sz w:val="20"/>
      </w:rPr>
      <w:fldChar w:fldCharType="separate"/>
    </w:r>
    <w:r w:rsidR="00646E0C">
      <w:rPr>
        <w:noProof/>
        <w:sz w:val="20"/>
      </w:rPr>
      <w:t>2</w:t>
    </w:r>
    <w:r w:rsidRPr="00277747">
      <w:rPr>
        <w:sz w:val="20"/>
      </w:rPr>
      <w:fldChar w:fldCharType="end"/>
    </w:r>
  </w:p>
  <w:p w14:paraId="269CBE57" w14:textId="77777777" w:rsidR="00CE49D2" w:rsidRDefault="00CE49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8BDC39" w14:textId="77777777" w:rsidR="007E14A9" w:rsidRDefault="007E14A9" w:rsidP="00CE49D2">
      <w:r>
        <w:separator/>
      </w:r>
    </w:p>
  </w:footnote>
  <w:footnote w:type="continuationSeparator" w:id="0">
    <w:p w14:paraId="576537BF" w14:textId="77777777" w:rsidR="007E14A9" w:rsidRDefault="007E14A9" w:rsidP="00CE49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80F4CCB"/>
    <w:multiLevelType w:val="hybridMultilevel"/>
    <w:tmpl w:val="26BC68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1"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D1D3675"/>
    <w:multiLevelType w:val="hybridMultilevel"/>
    <w:tmpl w:val="B34E4E3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B4D24B5"/>
    <w:multiLevelType w:val="hybridMultilevel"/>
    <w:tmpl w:val="2DF45DC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2"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4A3603F"/>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6"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27"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29984978">
    <w:abstractNumId w:val="10"/>
  </w:num>
  <w:num w:numId="2" w16cid:durableId="1182426799">
    <w:abstractNumId w:val="26"/>
  </w:num>
  <w:num w:numId="3" w16cid:durableId="1088385748">
    <w:abstractNumId w:val="7"/>
  </w:num>
  <w:num w:numId="4" w16cid:durableId="416749190">
    <w:abstractNumId w:val="6"/>
  </w:num>
  <w:num w:numId="5" w16cid:durableId="771360072">
    <w:abstractNumId w:val="22"/>
  </w:num>
  <w:num w:numId="6" w16cid:durableId="1219898328">
    <w:abstractNumId w:val="18"/>
  </w:num>
  <w:num w:numId="7" w16cid:durableId="1495728269">
    <w:abstractNumId w:val="27"/>
  </w:num>
  <w:num w:numId="8" w16cid:durableId="613710194">
    <w:abstractNumId w:val="5"/>
  </w:num>
  <w:num w:numId="9" w16cid:durableId="248124654">
    <w:abstractNumId w:val="4"/>
  </w:num>
  <w:num w:numId="10" w16cid:durableId="1786804239">
    <w:abstractNumId w:val="13"/>
  </w:num>
  <w:num w:numId="11" w16cid:durableId="349375051">
    <w:abstractNumId w:val="11"/>
  </w:num>
  <w:num w:numId="12" w16cid:durableId="338847165">
    <w:abstractNumId w:val="0"/>
  </w:num>
  <w:num w:numId="13" w16cid:durableId="4485540">
    <w:abstractNumId w:val="28"/>
  </w:num>
  <w:num w:numId="14" w16cid:durableId="360473248">
    <w:abstractNumId w:val="1"/>
  </w:num>
  <w:num w:numId="15" w16cid:durableId="1798522883">
    <w:abstractNumId w:val="29"/>
  </w:num>
  <w:num w:numId="16" w16cid:durableId="701710439">
    <w:abstractNumId w:val="2"/>
  </w:num>
  <w:num w:numId="17" w16cid:durableId="1525636749">
    <w:abstractNumId w:val="20"/>
  </w:num>
  <w:num w:numId="18" w16cid:durableId="744566898">
    <w:abstractNumId w:val="24"/>
  </w:num>
  <w:num w:numId="19" w16cid:durableId="84428067">
    <w:abstractNumId w:val="19"/>
  </w:num>
  <w:num w:numId="20" w16cid:durableId="802773533">
    <w:abstractNumId w:val="23"/>
  </w:num>
  <w:num w:numId="21" w16cid:durableId="1855920374">
    <w:abstractNumId w:val="8"/>
  </w:num>
  <w:num w:numId="22" w16cid:durableId="1834025470">
    <w:abstractNumId w:val="25"/>
  </w:num>
  <w:num w:numId="23" w16cid:durableId="1366254708">
    <w:abstractNumId w:val="9"/>
  </w:num>
  <w:num w:numId="24" w16cid:durableId="772870097">
    <w:abstractNumId w:val="12"/>
  </w:num>
  <w:num w:numId="25" w16cid:durableId="864976458">
    <w:abstractNumId w:val="17"/>
  </w:num>
  <w:num w:numId="26" w16cid:durableId="654140468">
    <w:abstractNumId w:val="15"/>
  </w:num>
  <w:num w:numId="27" w16cid:durableId="143663616">
    <w:abstractNumId w:val="16"/>
  </w:num>
  <w:num w:numId="28" w16cid:durableId="534200834">
    <w:abstractNumId w:val="14"/>
  </w:num>
  <w:num w:numId="29" w16cid:durableId="1910074253">
    <w:abstractNumId w:val="3"/>
  </w:num>
  <w:num w:numId="30" w16cid:durableId="14191327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163D1"/>
    <w:rsid w:val="0002553B"/>
    <w:rsid w:val="00025AC4"/>
    <w:rsid w:val="000260CC"/>
    <w:rsid w:val="00026CC4"/>
    <w:rsid w:val="00033BAF"/>
    <w:rsid w:val="00033F6C"/>
    <w:rsid w:val="00036CE5"/>
    <w:rsid w:val="00037A31"/>
    <w:rsid w:val="00037F83"/>
    <w:rsid w:val="00042CBE"/>
    <w:rsid w:val="0004309D"/>
    <w:rsid w:val="00043AF8"/>
    <w:rsid w:val="0004420C"/>
    <w:rsid w:val="00044F8E"/>
    <w:rsid w:val="00047A5F"/>
    <w:rsid w:val="000522A7"/>
    <w:rsid w:val="00054B40"/>
    <w:rsid w:val="00055A12"/>
    <w:rsid w:val="00057AAF"/>
    <w:rsid w:val="00064D19"/>
    <w:rsid w:val="00065E37"/>
    <w:rsid w:val="00070249"/>
    <w:rsid w:val="00072018"/>
    <w:rsid w:val="000743EB"/>
    <w:rsid w:val="00082DF1"/>
    <w:rsid w:val="00083FD0"/>
    <w:rsid w:val="000906CC"/>
    <w:rsid w:val="00091F3F"/>
    <w:rsid w:val="00097E2A"/>
    <w:rsid w:val="000A2BC9"/>
    <w:rsid w:val="000A46BC"/>
    <w:rsid w:val="000B154E"/>
    <w:rsid w:val="000B2E0A"/>
    <w:rsid w:val="000B379A"/>
    <w:rsid w:val="000B414C"/>
    <w:rsid w:val="000B6BB4"/>
    <w:rsid w:val="000B78AB"/>
    <w:rsid w:val="000B7A5C"/>
    <w:rsid w:val="000C023E"/>
    <w:rsid w:val="000D154F"/>
    <w:rsid w:val="000D3078"/>
    <w:rsid w:val="000D6B43"/>
    <w:rsid w:val="000E002C"/>
    <w:rsid w:val="000E1E84"/>
    <w:rsid w:val="000E2B23"/>
    <w:rsid w:val="000E399E"/>
    <w:rsid w:val="000E6129"/>
    <w:rsid w:val="000E6D2E"/>
    <w:rsid w:val="000F0D57"/>
    <w:rsid w:val="000F13FA"/>
    <w:rsid w:val="00100DBE"/>
    <w:rsid w:val="00102451"/>
    <w:rsid w:val="00114359"/>
    <w:rsid w:val="00114BDA"/>
    <w:rsid w:val="0011665F"/>
    <w:rsid w:val="00117455"/>
    <w:rsid w:val="00121E34"/>
    <w:rsid w:val="00123984"/>
    <w:rsid w:val="00124813"/>
    <w:rsid w:val="0012483E"/>
    <w:rsid w:val="00134F62"/>
    <w:rsid w:val="00135919"/>
    <w:rsid w:val="00144014"/>
    <w:rsid w:val="00145CC7"/>
    <w:rsid w:val="001468CB"/>
    <w:rsid w:val="0015218E"/>
    <w:rsid w:val="00155351"/>
    <w:rsid w:val="001569A1"/>
    <w:rsid w:val="00166718"/>
    <w:rsid w:val="001707E4"/>
    <w:rsid w:val="00174B35"/>
    <w:rsid w:val="00174CE7"/>
    <w:rsid w:val="00175B65"/>
    <w:rsid w:val="00177772"/>
    <w:rsid w:val="00184061"/>
    <w:rsid w:val="001847ED"/>
    <w:rsid w:val="00184A64"/>
    <w:rsid w:val="001942F8"/>
    <w:rsid w:val="001956AB"/>
    <w:rsid w:val="00197920"/>
    <w:rsid w:val="001A0CD1"/>
    <w:rsid w:val="001A63D0"/>
    <w:rsid w:val="001A6D63"/>
    <w:rsid w:val="001B2621"/>
    <w:rsid w:val="001B2BD8"/>
    <w:rsid w:val="001B4C60"/>
    <w:rsid w:val="001B5551"/>
    <w:rsid w:val="001B6A2B"/>
    <w:rsid w:val="001B6CE9"/>
    <w:rsid w:val="001C3D28"/>
    <w:rsid w:val="00203D87"/>
    <w:rsid w:val="00223EB2"/>
    <w:rsid w:val="002300DE"/>
    <w:rsid w:val="002432BA"/>
    <w:rsid w:val="002466F2"/>
    <w:rsid w:val="0024685C"/>
    <w:rsid w:val="00247520"/>
    <w:rsid w:val="00250516"/>
    <w:rsid w:val="00250D8D"/>
    <w:rsid w:val="0025638E"/>
    <w:rsid w:val="00265950"/>
    <w:rsid w:val="00277747"/>
    <w:rsid w:val="00282F85"/>
    <w:rsid w:val="00282FDF"/>
    <w:rsid w:val="00283137"/>
    <w:rsid w:val="0029352E"/>
    <w:rsid w:val="00294D7D"/>
    <w:rsid w:val="002977B7"/>
    <w:rsid w:val="002A0F9E"/>
    <w:rsid w:val="002A243F"/>
    <w:rsid w:val="002C5FEE"/>
    <w:rsid w:val="002D0C7D"/>
    <w:rsid w:val="002D16E5"/>
    <w:rsid w:val="002F5624"/>
    <w:rsid w:val="0030069C"/>
    <w:rsid w:val="003057A3"/>
    <w:rsid w:val="00306F7B"/>
    <w:rsid w:val="003104AE"/>
    <w:rsid w:val="003107D3"/>
    <w:rsid w:val="00310D46"/>
    <w:rsid w:val="00316EB3"/>
    <w:rsid w:val="0032471C"/>
    <w:rsid w:val="00331ACC"/>
    <w:rsid w:val="00332C51"/>
    <w:rsid w:val="00340878"/>
    <w:rsid w:val="00341BE4"/>
    <w:rsid w:val="0034263E"/>
    <w:rsid w:val="003427F6"/>
    <w:rsid w:val="00343B19"/>
    <w:rsid w:val="0034429D"/>
    <w:rsid w:val="0034546B"/>
    <w:rsid w:val="0035345E"/>
    <w:rsid w:val="003605DF"/>
    <w:rsid w:val="00361B98"/>
    <w:rsid w:val="003625F8"/>
    <w:rsid w:val="003639ED"/>
    <w:rsid w:val="0036548C"/>
    <w:rsid w:val="00367F6D"/>
    <w:rsid w:val="003725B0"/>
    <w:rsid w:val="00391536"/>
    <w:rsid w:val="0039254C"/>
    <w:rsid w:val="0039292F"/>
    <w:rsid w:val="00394969"/>
    <w:rsid w:val="00397CAE"/>
    <w:rsid w:val="003A0344"/>
    <w:rsid w:val="003A6916"/>
    <w:rsid w:val="003B4BBE"/>
    <w:rsid w:val="003D0D44"/>
    <w:rsid w:val="003D2185"/>
    <w:rsid w:val="003D2DDC"/>
    <w:rsid w:val="003D6A38"/>
    <w:rsid w:val="003E12E0"/>
    <w:rsid w:val="003E566A"/>
    <w:rsid w:val="003E7A5B"/>
    <w:rsid w:val="003E7F04"/>
    <w:rsid w:val="00401452"/>
    <w:rsid w:val="004014E1"/>
    <w:rsid w:val="0040421C"/>
    <w:rsid w:val="004060FE"/>
    <w:rsid w:val="004079B4"/>
    <w:rsid w:val="004105C0"/>
    <w:rsid w:val="00412CAA"/>
    <w:rsid w:val="004140F2"/>
    <w:rsid w:val="00415B89"/>
    <w:rsid w:val="004217AE"/>
    <w:rsid w:val="00422BA9"/>
    <w:rsid w:val="00425D61"/>
    <w:rsid w:val="00425E19"/>
    <w:rsid w:val="00436EB9"/>
    <w:rsid w:val="0044123C"/>
    <w:rsid w:val="00441D64"/>
    <w:rsid w:val="004420AA"/>
    <w:rsid w:val="00442BCA"/>
    <w:rsid w:val="00445696"/>
    <w:rsid w:val="00447077"/>
    <w:rsid w:val="0046695E"/>
    <w:rsid w:val="00470052"/>
    <w:rsid w:val="0047216C"/>
    <w:rsid w:val="004822B2"/>
    <w:rsid w:val="004830FF"/>
    <w:rsid w:val="00483CF2"/>
    <w:rsid w:val="0048548C"/>
    <w:rsid w:val="00490B09"/>
    <w:rsid w:val="00491041"/>
    <w:rsid w:val="00491D1D"/>
    <w:rsid w:val="00492E32"/>
    <w:rsid w:val="00494771"/>
    <w:rsid w:val="0049739D"/>
    <w:rsid w:val="004A04ED"/>
    <w:rsid w:val="004A39C4"/>
    <w:rsid w:val="004A6E68"/>
    <w:rsid w:val="004B2CCF"/>
    <w:rsid w:val="004B3A11"/>
    <w:rsid w:val="004B6368"/>
    <w:rsid w:val="004C16AA"/>
    <w:rsid w:val="004C570E"/>
    <w:rsid w:val="004C72B8"/>
    <w:rsid w:val="004E5EC5"/>
    <w:rsid w:val="004E7651"/>
    <w:rsid w:val="004F1D91"/>
    <w:rsid w:val="004F4F1C"/>
    <w:rsid w:val="004F6D0E"/>
    <w:rsid w:val="004F7863"/>
    <w:rsid w:val="00507DA6"/>
    <w:rsid w:val="005111C4"/>
    <w:rsid w:val="005122EA"/>
    <w:rsid w:val="00513A0C"/>
    <w:rsid w:val="00514168"/>
    <w:rsid w:val="0051621F"/>
    <w:rsid w:val="00517620"/>
    <w:rsid w:val="005226E4"/>
    <w:rsid w:val="005252B9"/>
    <w:rsid w:val="00530F10"/>
    <w:rsid w:val="00534707"/>
    <w:rsid w:val="0054050A"/>
    <w:rsid w:val="005434A0"/>
    <w:rsid w:val="00551564"/>
    <w:rsid w:val="00552B61"/>
    <w:rsid w:val="00555EA1"/>
    <w:rsid w:val="00561EE6"/>
    <w:rsid w:val="00565D7C"/>
    <w:rsid w:val="00566292"/>
    <w:rsid w:val="00570AAC"/>
    <w:rsid w:val="00572C6D"/>
    <w:rsid w:val="00573345"/>
    <w:rsid w:val="005738F6"/>
    <w:rsid w:val="0057545A"/>
    <w:rsid w:val="0057740F"/>
    <w:rsid w:val="0058666D"/>
    <w:rsid w:val="00595441"/>
    <w:rsid w:val="005A5A37"/>
    <w:rsid w:val="005B780B"/>
    <w:rsid w:val="005C2645"/>
    <w:rsid w:val="005C6FF1"/>
    <w:rsid w:val="005C71C0"/>
    <w:rsid w:val="005D5814"/>
    <w:rsid w:val="005D70BF"/>
    <w:rsid w:val="005D763F"/>
    <w:rsid w:val="005E32FD"/>
    <w:rsid w:val="005E451B"/>
    <w:rsid w:val="005E5386"/>
    <w:rsid w:val="005F1A74"/>
    <w:rsid w:val="005F6665"/>
    <w:rsid w:val="00605302"/>
    <w:rsid w:val="00605AAD"/>
    <w:rsid w:val="00610242"/>
    <w:rsid w:val="006200AD"/>
    <w:rsid w:val="00620EDF"/>
    <w:rsid w:val="006218C5"/>
    <w:rsid w:val="006247A4"/>
    <w:rsid w:val="00626238"/>
    <w:rsid w:val="0062643D"/>
    <w:rsid w:val="0063478B"/>
    <w:rsid w:val="006362D7"/>
    <w:rsid w:val="00641D7D"/>
    <w:rsid w:val="00642BC5"/>
    <w:rsid w:val="00646E0C"/>
    <w:rsid w:val="00650192"/>
    <w:rsid w:val="00650708"/>
    <w:rsid w:val="006553BC"/>
    <w:rsid w:val="006573C8"/>
    <w:rsid w:val="006673DA"/>
    <w:rsid w:val="00671B90"/>
    <w:rsid w:val="0067278B"/>
    <w:rsid w:val="00673C59"/>
    <w:rsid w:val="00682AAC"/>
    <w:rsid w:val="00687A26"/>
    <w:rsid w:val="00691D07"/>
    <w:rsid w:val="00693CE5"/>
    <w:rsid w:val="00694E66"/>
    <w:rsid w:val="006A5D4A"/>
    <w:rsid w:val="006B279A"/>
    <w:rsid w:val="006C1970"/>
    <w:rsid w:val="006C3324"/>
    <w:rsid w:val="006D08F2"/>
    <w:rsid w:val="006D1D70"/>
    <w:rsid w:val="006D2E56"/>
    <w:rsid w:val="006E04E8"/>
    <w:rsid w:val="006E47C1"/>
    <w:rsid w:val="006F5F48"/>
    <w:rsid w:val="00705F20"/>
    <w:rsid w:val="00712AC0"/>
    <w:rsid w:val="00716FA0"/>
    <w:rsid w:val="00721DBF"/>
    <w:rsid w:val="00721DD9"/>
    <w:rsid w:val="007270FB"/>
    <w:rsid w:val="00735DBA"/>
    <w:rsid w:val="007362F5"/>
    <w:rsid w:val="00736EF6"/>
    <w:rsid w:val="007405A6"/>
    <w:rsid w:val="00751BD4"/>
    <w:rsid w:val="00752E4A"/>
    <w:rsid w:val="007546D8"/>
    <w:rsid w:val="00761583"/>
    <w:rsid w:val="00770EC7"/>
    <w:rsid w:val="007714DF"/>
    <w:rsid w:val="0077269A"/>
    <w:rsid w:val="00773AF9"/>
    <w:rsid w:val="00776FEF"/>
    <w:rsid w:val="0078107F"/>
    <w:rsid w:val="0078430C"/>
    <w:rsid w:val="00784847"/>
    <w:rsid w:val="00794DEC"/>
    <w:rsid w:val="00797E32"/>
    <w:rsid w:val="007A26E0"/>
    <w:rsid w:val="007A56FE"/>
    <w:rsid w:val="007A6DDB"/>
    <w:rsid w:val="007B6E98"/>
    <w:rsid w:val="007C0C85"/>
    <w:rsid w:val="007D6EBF"/>
    <w:rsid w:val="007D7B79"/>
    <w:rsid w:val="007E14A9"/>
    <w:rsid w:val="007E35BB"/>
    <w:rsid w:val="007F11F0"/>
    <w:rsid w:val="007F2F46"/>
    <w:rsid w:val="007F3B26"/>
    <w:rsid w:val="007F3E3D"/>
    <w:rsid w:val="007F4754"/>
    <w:rsid w:val="007F5AC1"/>
    <w:rsid w:val="00804303"/>
    <w:rsid w:val="00806FB4"/>
    <w:rsid w:val="00810602"/>
    <w:rsid w:val="00813CAC"/>
    <w:rsid w:val="00816268"/>
    <w:rsid w:val="00822852"/>
    <w:rsid w:val="00822E4E"/>
    <w:rsid w:val="00824607"/>
    <w:rsid w:val="0083192F"/>
    <w:rsid w:val="00833350"/>
    <w:rsid w:val="00834A9E"/>
    <w:rsid w:val="00834F65"/>
    <w:rsid w:val="008355FA"/>
    <w:rsid w:val="008525D0"/>
    <w:rsid w:val="00852762"/>
    <w:rsid w:val="0085490C"/>
    <w:rsid w:val="00854DD7"/>
    <w:rsid w:val="00861A4A"/>
    <w:rsid w:val="008621C9"/>
    <w:rsid w:val="00862410"/>
    <w:rsid w:val="008626AA"/>
    <w:rsid w:val="0086362F"/>
    <w:rsid w:val="00864E53"/>
    <w:rsid w:val="00870E5A"/>
    <w:rsid w:val="00872F86"/>
    <w:rsid w:val="00877514"/>
    <w:rsid w:val="00877A71"/>
    <w:rsid w:val="00880395"/>
    <w:rsid w:val="00880752"/>
    <w:rsid w:val="008852B8"/>
    <w:rsid w:val="00895A49"/>
    <w:rsid w:val="00897E82"/>
    <w:rsid w:val="008A28C6"/>
    <w:rsid w:val="008A7DC0"/>
    <w:rsid w:val="008B5D86"/>
    <w:rsid w:val="008C4396"/>
    <w:rsid w:val="008D3E1D"/>
    <w:rsid w:val="008E2A0A"/>
    <w:rsid w:val="008F15D8"/>
    <w:rsid w:val="008F2823"/>
    <w:rsid w:val="008F2D7E"/>
    <w:rsid w:val="008F2E0D"/>
    <w:rsid w:val="008F6DC0"/>
    <w:rsid w:val="008F73BC"/>
    <w:rsid w:val="00900116"/>
    <w:rsid w:val="00900D74"/>
    <w:rsid w:val="00901351"/>
    <w:rsid w:val="00902638"/>
    <w:rsid w:val="00905D63"/>
    <w:rsid w:val="00906DA8"/>
    <w:rsid w:val="009142A7"/>
    <w:rsid w:val="00916AB5"/>
    <w:rsid w:val="0092127A"/>
    <w:rsid w:val="00923488"/>
    <w:rsid w:val="00925163"/>
    <w:rsid w:val="009340EF"/>
    <w:rsid w:val="00935EFB"/>
    <w:rsid w:val="009367D2"/>
    <w:rsid w:val="00937E61"/>
    <w:rsid w:val="00951016"/>
    <w:rsid w:val="0095316C"/>
    <w:rsid w:val="0095381F"/>
    <w:rsid w:val="00953ACA"/>
    <w:rsid w:val="009554FC"/>
    <w:rsid w:val="00960037"/>
    <w:rsid w:val="0096309B"/>
    <w:rsid w:val="00964E11"/>
    <w:rsid w:val="00973E14"/>
    <w:rsid w:val="0098218E"/>
    <w:rsid w:val="00984679"/>
    <w:rsid w:val="00992D19"/>
    <w:rsid w:val="009940AD"/>
    <w:rsid w:val="0099551E"/>
    <w:rsid w:val="009A45CB"/>
    <w:rsid w:val="009A60A5"/>
    <w:rsid w:val="009B33FA"/>
    <w:rsid w:val="009B7BF9"/>
    <w:rsid w:val="009C0EAA"/>
    <w:rsid w:val="009C32D2"/>
    <w:rsid w:val="009C66B2"/>
    <w:rsid w:val="009D32FB"/>
    <w:rsid w:val="009E549A"/>
    <w:rsid w:val="009F0CD6"/>
    <w:rsid w:val="009F5507"/>
    <w:rsid w:val="009F5B28"/>
    <w:rsid w:val="00A04455"/>
    <w:rsid w:val="00A107B3"/>
    <w:rsid w:val="00A11B82"/>
    <w:rsid w:val="00A12425"/>
    <w:rsid w:val="00A133D9"/>
    <w:rsid w:val="00A14579"/>
    <w:rsid w:val="00A14918"/>
    <w:rsid w:val="00A23DCD"/>
    <w:rsid w:val="00A3290C"/>
    <w:rsid w:val="00A447AF"/>
    <w:rsid w:val="00A46496"/>
    <w:rsid w:val="00A517CF"/>
    <w:rsid w:val="00A555D2"/>
    <w:rsid w:val="00A616E0"/>
    <w:rsid w:val="00A64CBA"/>
    <w:rsid w:val="00A65FEF"/>
    <w:rsid w:val="00A73E90"/>
    <w:rsid w:val="00A77C6A"/>
    <w:rsid w:val="00A82458"/>
    <w:rsid w:val="00A83C02"/>
    <w:rsid w:val="00A87F42"/>
    <w:rsid w:val="00A92182"/>
    <w:rsid w:val="00AA7C92"/>
    <w:rsid w:val="00AB0E32"/>
    <w:rsid w:val="00AB4374"/>
    <w:rsid w:val="00AB4AFB"/>
    <w:rsid w:val="00AB71F6"/>
    <w:rsid w:val="00AB77A9"/>
    <w:rsid w:val="00AE0878"/>
    <w:rsid w:val="00AE0BF5"/>
    <w:rsid w:val="00AE13F1"/>
    <w:rsid w:val="00AE1C23"/>
    <w:rsid w:val="00AE2062"/>
    <w:rsid w:val="00AE5AA3"/>
    <w:rsid w:val="00AE65E6"/>
    <w:rsid w:val="00B0310E"/>
    <w:rsid w:val="00B06724"/>
    <w:rsid w:val="00B06F2D"/>
    <w:rsid w:val="00B06F87"/>
    <w:rsid w:val="00B11EAD"/>
    <w:rsid w:val="00B16108"/>
    <w:rsid w:val="00B20831"/>
    <w:rsid w:val="00B3218B"/>
    <w:rsid w:val="00B40546"/>
    <w:rsid w:val="00B44061"/>
    <w:rsid w:val="00B45C14"/>
    <w:rsid w:val="00B519BA"/>
    <w:rsid w:val="00B53D34"/>
    <w:rsid w:val="00B57CF4"/>
    <w:rsid w:val="00B6004B"/>
    <w:rsid w:val="00B6037F"/>
    <w:rsid w:val="00B66107"/>
    <w:rsid w:val="00B66C62"/>
    <w:rsid w:val="00B71484"/>
    <w:rsid w:val="00B71968"/>
    <w:rsid w:val="00B819E4"/>
    <w:rsid w:val="00B83C35"/>
    <w:rsid w:val="00B85A06"/>
    <w:rsid w:val="00B85C77"/>
    <w:rsid w:val="00B9081C"/>
    <w:rsid w:val="00B91795"/>
    <w:rsid w:val="00B92A46"/>
    <w:rsid w:val="00B95D39"/>
    <w:rsid w:val="00BA0C2F"/>
    <w:rsid w:val="00BA1FC0"/>
    <w:rsid w:val="00BA21AB"/>
    <w:rsid w:val="00BB0D57"/>
    <w:rsid w:val="00BB2951"/>
    <w:rsid w:val="00BB4EB5"/>
    <w:rsid w:val="00BB76F4"/>
    <w:rsid w:val="00BB7984"/>
    <w:rsid w:val="00BB7DDF"/>
    <w:rsid w:val="00BC076D"/>
    <w:rsid w:val="00BC1A18"/>
    <w:rsid w:val="00BE1EDA"/>
    <w:rsid w:val="00BE259C"/>
    <w:rsid w:val="00C10A94"/>
    <w:rsid w:val="00C149C1"/>
    <w:rsid w:val="00C15D94"/>
    <w:rsid w:val="00C161F1"/>
    <w:rsid w:val="00C16CE6"/>
    <w:rsid w:val="00C17A15"/>
    <w:rsid w:val="00C21924"/>
    <w:rsid w:val="00C26A02"/>
    <w:rsid w:val="00C4422C"/>
    <w:rsid w:val="00C44321"/>
    <w:rsid w:val="00C44806"/>
    <w:rsid w:val="00C47672"/>
    <w:rsid w:val="00C57639"/>
    <w:rsid w:val="00C61245"/>
    <w:rsid w:val="00C64163"/>
    <w:rsid w:val="00C6497B"/>
    <w:rsid w:val="00C652EE"/>
    <w:rsid w:val="00C7438E"/>
    <w:rsid w:val="00C83527"/>
    <w:rsid w:val="00C873EB"/>
    <w:rsid w:val="00C90462"/>
    <w:rsid w:val="00C94198"/>
    <w:rsid w:val="00C95055"/>
    <w:rsid w:val="00CA2D12"/>
    <w:rsid w:val="00CA4241"/>
    <w:rsid w:val="00CA4252"/>
    <w:rsid w:val="00CA44D7"/>
    <w:rsid w:val="00CB00FE"/>
    <w:rsid w:val="00CB3F10"/>
    <w:rsid w:val="00CB4D5A"/>
    <w:rsid w:val="00CC0428"/>
    <w:rsid w:val="00CC7B3F"/>
    <w:rsid w:val="00CD0EA7"/>
    <w:rsid w:val="00CD114B"/>
    <w:rsid w:val="00CD1C5B"/>
    <w:rsid w:val="00CD2BDF"/>
    <w:rsid w:val="00CD36C2"/>
    <w:rsid w:val="00CD74BA"/>
    <w:rsid w:val="00CE49D2"/>
    <w:rsid w:val="00CE7FFC"/>
    <w:rsid w:val="00CF5E77"/>
    <w:rsid w:val="00D01CA4"/>
    <w:rsid w:val="00D01F5C"/>
    <w:rsid w:val="00D03316"/>
    <w:rsid w:val="00D04299"/>
    <w:rsid w:val="00D1179C"/>
    <w:rsid w:val="00D141F3"/>
    <w:rsid w:val="00D158F7"/>
    <w:rsid w:val="00D17D55"/>
    <w:rsid w:val="00D2506B"/>
    <w:rsid w:val="00D256BB"/>
    <w:rsid w:val="00D36325"/>
    <w:rsid w:val="00D41136"/>
    <w:rsid w:val="00D41ED1"/>
    <w:rsid w:val="00D4266B"/>
    <w:rsid w:val="00D43C73"/>
    <w:rsid w:val="00D455C0"/>
    <w:rsid w:val="00D47ACE"/>
    <w:rsid w:val="00D5497C"/>
    <w:rsid w:val="00D60375"/>
    <w:rsid w:val="00D650F6"/>
    <w:rsid w:val="00D712D9"/>
    <w:rsid w:val="00D72439"/>
    <w:rsid w:val="00D830E9"/>
    <w:rsid w:val="00D83587"/>
    <w:rsid w:val="00D8400D"/>
    <w:rsid w:val="00D84BF4"/>
    <w:rsid w:val="00D90D85"/>
    <w:rsid w:val="00DA5AD2"/>
    <w:rsid w:val="00DB04E9"/>
    <w:rsid w:val="00DB45C0"/>
    <w:rsid w:val="00DB5539"/>
    <w:rsid w:val="00DB6B82"/>
    <w:rsid w:val="00DC140B"/>
    <w:rsid w:val="00DD3A5D"/>
    <w:rsid w:val="00DD44A2"/>
    <w:rsid w:val="00DD5262"/>
    <w:rsid w:val="00DE0273"/>
    <w:rsid w:val="00DE315A"/>
    <w:rsid w:val="00DE371E"/>
    <w:rsid w:val="00DF0167"/>
    <w:rsid w:val="00DF2884"/>
    <w:rsid w:val="00DF372D"/>
    <w:rsid w:val="00DF3E6A"/>
    <w:rsid w:val="00DF4913"/>
    <w:rsid w:val="00E12740"/>
    <w:rsid w:val="00E14E40"/>
    <w:rsid w:val="00E20180"/>
    <w:rsid w:val="00E25EC7"/>
    <w:rsid w:val="00E36981"/>
    <w:rsid w:val="00E427BD"/>
    <w:rsid w:val="00E44ADC"/>
    <w:rsid w:val="00E4728F"/>
    <w:rsid w:val="00E47889"/>
    <w:rsid w:val="00E52B19"/>
    <w:rsid w:val="00E5577F"/>
    <w:rsid w:val="00E57FED"/>
    <w:rsid w:val="00E6127A"/>
    <w:rsid w:val="00E77592"/>
    <w:rsid w:val="00E841AA"/>
    <w:rsid w:val="00E8604D"/>
    <w:rsid w:val="00E90822"/>
    <w:rsid w:val="00E93C67"/>
    <w:rsid w:val="00E94D1B"/>
    <w:rsid w:val="00E96B93"/>
    <w:rsid w:val="00EA1B20"/>
    <w:rsid w:val="00EA21F4"/>
    <w:rsid w:val="00EA5D4E"/>
    <w:rsid w:val="00EA6BDF"/>
    <w:rsid w:val="00EA77B5"/>
    <w:rsid w:val="00EC3A89"/>
    <w:rsid w:val="00EC7281"/>
    <w:rsid w:val="00ED3CF4"/>
    <w:rsid w:val="00EE114C"/>
    <w:rsid w:val="00EE6614"/>
    <w:rsid w:val="00EF0947"/>
    <w:rsid w:val="00EF170D"/>
    <w:rsid w:val="00EF6E3A"/>
    <w:rsid w:val="00F002B8"/>
    <w:rsid w:val="00F01CF8"/>
    <w:rsid w:val="00F036DD"/>
    <w:rsid w:val="00F04C6A"/>
    <w:rsid w:val="00F175CA"/>
    <w:rsid w:val="00F2558D"/>
    <w:rsid w:val="00F2717A"/>
    <w:rsid w:val="00F30466"/>
    <w:rsid w:val="00F31771"/>
    <w:rsid w:val="00F33180"/>
    <w:rsid w:val="00F34590"/>
    <w:rsid w:val="00F3502F"/>
    <w:rsid w:val="00F41148"/>
    <w:rsid w:val="00F41A4D"/>
    <w:rsid w:val="00F41FFA"/>
    <w:rsid w:val="00F42A6F"/>
    <w:rsid w:val="00F4339D"/>
    <w:rsid w:val="00F479A3"/>
    <w:rsid w:val="00F5120E"/>
    <w:rsid w:val="00F5427E"/>
    <w:rsid w:val="00F5432F"/>
    <w:rsid w:val="00F55D88"/>
    <w:rsid w:val="00F65036"/>
    <w:rsid w:val="00F73076"/>
    <w:rsid w:val="00F81AE8"/>
    <w:rsid w:val="00F943F8"/>
    <w:rsid w:val="00F96350"/>
    <w:rsid w:val="00FA1621"/>
    <w:rsid w:val="00FA2444"/>
    <w:rsid w:val="00FB642F"/>
    <w:rsid w:val="00FB786F"/>
    <w:rsid w:val="00FC0475"/>
    <w:rsid w:val="00FD75F2"/>
    <w:rsid w:val="00FE157B"/>
    <w:rsid w:val="00FE4199"/>
    <w:rsid w:val="00FF2B69"/>
    <w:rsid w:val="00FF6C55"/>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CBDA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5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paragraph" w:customStyle="1" w:styleId="Default">
    <w:name w:val="Default"/>
    <w:rsid w:val="0067278B"/>
    <w:pPr>
      <w:autoSpaceDE w:val="0"/>
      <w:autoSpaceDN w:val="0"/>
      <w:adjustRightInd w:val="0"/>
    </w:pPr>
    <w:rPr>
      <w:rFonts w:ascii="Arial" w:hAnsi="Arial" w:cs="Arial"/>
      <w:color w:val="000000"/>
      <w:lang w:val="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403685">
      <w:bodyDiv w:val="1"/>
      <w:marLeft w:val="0"/>
      <w:marRight w:val="0"/>
      <w:marTop w:val="0"/>
      <w:marBottom w:val="0"/>
      <w:divBdr>
        <w:top w:val="none" w:sz="0" w:space="0" w:color="auto"/>
        <w:left w:val="none" w:sz="0" w:space="0" w:color="auto"/>
        <w:bottom w:val="none" w:sz="0" w:space="0" w:color="auto"/>
        <w:right w:val="none" w:sz="0" w:space="0" w:color="auto"/>
      </w:divBdr>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ustomXml" Target="../customXml/item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G072022N</Project_x0020_Ref.>
    <FundingCallID xmlns="d2b4f59a-05ce-4744-9d1c-9dd30147ee09">39874</FundingCallID>
    <Code xmlns="d2b4f59a-05ce-4744-9d1c-9dd30147ee09">3M210854</Code>
    <FormID xmlns="d2b4f59a-05ce-4744-9d1c-9dd30147ee09">2148</FormID>
    <_dlc_DocId xmlns="d2b4f59a-05ce-4744-9d1c-9dd30147ee09">P4FNSWA4HVKW-73199252-8209</_dlc_DocId>
    <_dlc_DocIdUrl xmlns="d2b4f59a-05ce-4744-9d1c-9dd30147ee09">
      <Url>https://www.groupware.kuleuven.be/sites/dmpmt/_layouts/15/DocIdRedir.aspx?ID=P4FNSWA4HVKW-73199252-8209</Url>
      <Description>P4FNSWA4HVKW-73199252-8209</Description>
    </_dlc_DocIdUrl>
    <TypeDoc xmlns="de64d03d-2dbc-4782-9fbf-1d8df1c50cf7">Initial</TypeDoc>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2BFBC1C-C5B1-4B87-A6A2-AED502F20792}"/>
</file>

<file path=customXml/itemProps2.xml><?xml version="1.0" encoding="utf-8"?>
<ds:datastoreItem xmlns:ds="http://schemas.openxmlformats.org/officeDocument/2006/customXml" ds:itemID="{590173EB-339D-421A-9048-A91FAB6E0109}"/>
</file>

<file path=customXml/itemProps3.xml><?xml version="1.0" encoding="utf-8"?>
<ds:datastoreItem xmlns:ds="http://schemas.openxmlformats.org/officeDocument/2006/customXml" ds:itemID="{B464C45C-9975-4C9F-89F3-F7F20CDAC66A}"/>
</file>

<file path=customXml/itemProps4.xml><?xml version="1.0" encoding="utf-8"?>
<ds:datastoreItem xmlns:ds="http://schemas.openxmlformats.org/officeDocument/2006/customXml" ds:itemID="{D5ABF155-9357-4D5C-ACE6-9CE537B54C5F}"/>
</file>

<file path=customXml/itemProps5.xml><?xml version="1.0" encoding="utf-8"?>
<ds:datastoreItem xmlns:ds="http://schemas.openxmlformats.org/officeDocument/2006/customXml" ds:itemID="{6C11382C-66E6-4E1D-81C8-469F62E78BBD}"/>
</file>

<file path=docProps/app.xml><?xml version="1.0" encoding="utf-8"?>
<Properties xmlns="http://schemas.openxmlformats.org/officeDocument/2006/extended-properties" xmlns:vt="http://schemas.openxmlformats.org/officeDocument/2006/docPropsVTypes">
  <Template>Normal.dotm</Template>
  <TotalTime>6</TotalTime>
  <Pages>12</Pages>
  <Words>2823</Words>
  <Characters>16097</Characters>
  <Application>Microsoft Office Word</Application>
  <DocSecurity>0</DocSecurity>
  <Lines>134</Lines>
  <Paragraphs>37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KU Leuven</Company>
  <LinksUpToDate>false</LinksUpToDate>
  <CharactersWithSpaces>18883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Myriam Mertens</dc:creator>
  <cp:keywords/>
  <dc:description/>
  <cp:lastModifiedBy>Philip Moons</cp:lastModifiedBy>
  <cp:revision>4</cp:revision>
  <cp:lastPrinted>2019-10-01T13:06:00Z</cp:lastPrinted>
  <dcterms:created xsi:type="dcterms:W3CDTF">2022-05-26T11:11:00Z</dcterms:created>
  <dcterms:modified xsi:type="dcterms:W3CDTF">2022-06-01T11:14:00Z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a6656360-d196-48e5-89d8-f8e3f3899ac1</vt:lpwstr>
  </property>
</Properties>
</file>