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55F9E">
      <w:pPr>
        <w:pBdr>
          <w:bottom w:val="single" w:sz="12" w:space="1" w:color="auto"/>
        </w:pBdr>
        <w:ind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P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7825BBF4" w14:textId="6C63C835" w:rsidR="007252B3" w:rsidRDefault="001021D2" w:rsidP="00EA7D89">
      <w:r w:rsidRPr="001021D2">
        <w:rPr>
          <w:rFonts w:hint="eastAsia"/>
        </w:rPr>
        <w:t>系統狀態為</w:t>
      </w:r>
      <w:r w:rsidRPr="001021D2">
        <w:rPr>
          <w:rFonts w:hint="eastAsia"/>
        </w:rPr>
        <w:t>safe</w:t>
      </w:r>
      <w:r w:rsidRPr="001021D2">
        <w:rPr>
          <w:rFonts w:hint="eastAsia"/>
        </w:rPr>
        <w:t>，進程順序為：</w:t>
      </w:r>
      <w:r w:rsidRPr="001021D2">
        <w:rPr>
          <w:rFonts w:hint="eastAsia"/>
        </w:rPr>
        <w:t>P</w:t>
      </w:r>
      <w:r w:rsidR="008F42AE">
        <w:rPr>
          <w:rFonts w:hint="eastAsia"/>
          <w:vertAlign w:val="subscript"/>
        </w:rPr>
        <w:t>1</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2</w:t>
      </w:r>
      <w:r w:rsidRPr="001021D2">
        <w:rPr>
          <w:rFonts w:hint="eastAsia"/>
        </w:rPr>
        <w:t xml:space="preserve"> </w:t>
      </w:r>
      <w:r w:rsidRPr="001021D2">
        <w:rPr>
          <w:rFonts w:hint="eastAsia"/>
        </w:rPr>
        <w:t>→</w:t>
      </w:r>
      <w:r w:rsidRPr="001021D2">
        <w:rPr>
          <w:rFonts w:hint="eastAsia"/>
        </w:rPr>
        <w:t xml:space="preserve"> P</w:t>
      </w:r>
      <w:r w:rsidRPr="001021D2">
        <w:rPr>
          <w:rFonts w:hint="eastAsia"/>
          <w:vertAlign w:val="subscript"/>
        </w:rPr>
        <w:t>3</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4</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0</w:t>
      </w:r>
    </w:p>
    <w:p w14:paraId="17840C3B" w14:textId="4ED321D3" w:rsidR="00B55F9E" w:rsidRDefault="00B55F9E">
      <w:pPr>
        <w:widowControl/>
      </w:pPr>
      <w:r>
        <w:br w:type="page"/>
      </w:r>
    </w:p>
    <w:p w14:paraId="6D63EBFF" w14:textId="77777777" w:rsidR="00503D46" w:rsidRDefault="00EE5911" w:rsidP="00EE5911">
      <w:pPr>
        <w:rPr>
          <w:highlight w:val="yellow"/>
        </w:rPr>
      </w:pPr>
      <w:r w:rsidRPr="00EE5911">
        <w:rPr>
          <w:highlight w:val="yellow"/>
        </w:rPr>
        <w:lastRenderedPageBreak/>
        <w:t>7.15</w:t>
      </w:r>
      <w:r>
        <w:rPr>
          <w:highlight w:val="yellow"/>
        </w:rPr>
        <w:t xml:space="preserve"> </w:t>
      </w:r>
    </w:p>
    <w:p w14:paraId="16BE5F4A" w14:textId="7B4F9182" w:rsidR="00EE5911" w:rsidRPr="00EE5911" w:rsidRDefault="00503D46" w:rsidP="00EE5911">
      <w:pPr>
        <w:rPr>
          <w:highlight w:val="yellow"/>
        </w:rPr>
      </w:pPr>
      <w:proofErr w:type="gramStart"/>
      <w:r w:rsidRPr="00503D46">
        <w:rPr>
          <w:rFonts w:hint="eastAsia"/>
          <w:highlight w:val="yellow"/>
        </w:rPr>
        <w:t>–</w:t>
      </w:r>
      <w:proofErr w:type="gramEnd"/>
      <w:r>
        <w:rPr>
          <w:rFonts w:hint="eastAsia"/>
          <w:highlight w:val="yellow"/>
        </w:rPr>
        <w:t xml:space="preserve"> </w:t>
      </w:r>
      <w:r w:rsidR="00EE5911" w:rsidRPr="00EE5911">
        <w:rPr>
          <w:highlight w:val="yellow"/>
        </w:rPr>
        <w:t xml:space="preserve">A single lane bridge connects the two Vermont villages of North </w:t>
      </w:r>
      <w:proofErr w:type="spellStart"/>
      <w:r w:rsidR="00EE5911" w:rsidRPr="00EE5911">
        <w:rPr>
          <w:highlight w:val="yellow"/>
        </w:rPr>
        <w:t>Tunbridge</w:t>
      </w:r>
      <w:proofErr w:type="spellEnd"/>
      <w:r w:rsidR="00EE5911" w:rsidRPr="00EE5911">
        <w:rPr>
          <w:highlight w:val="yellow"/>
        </w:rPr>
        <w:t xml:space="preserve"> and South </w:t>
      </w:r>
      <w:proofErr w:type="spellStart"/>
      <w:r w:rsidR="00EE5911" w:rsidRPr="00EE5911">
        <w:rPr>
          <w:highlight w:val="yellow"/>
        </w:rPr>
        <w:t>Tunbridge</w:t>
      </w:r>
      <w:proofErr w:type="spellEnd"/>
      <w:r w:rsidR="00EE5911" w:rsidRPr="00EE5911">
        <w:rPr>
          <w:highlight w:val="yellow"/>
        </w:rPr>
        <w:t>. Farmers in the two villages use this bridge to deliver their produce to the neighbor town.</w:t>
      </w:r>
    </w:p>
    <w:p w14:paraId="6623CCA6" w14:textId="24E6542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The bridge can become deadlocked if a northbound and a southbound farmer get on the bridge at the same time. (Vermont farmers are stubborn and are unable to back up.)</w:t>
      </w:r>
      <w:r w:rsidRPr="00EE5911">
        <w:rPr>
          <w:rFonts w:hint="eastAsia"/>
          <w:highlight w:val="yellow"/>
        </w:rPr>
        <w:t xml:space="preserve"> </w:t>
      </w:r>
    </w:p>
    <w:p w14:paraId="695E69F8" w14:textId="7777777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Initially, do not be concerned about starvation (the situation in which northbound farmers prevent southbound farmers from using the bridge, or vice versa).</w:t>
      </w:r>
    </w:p>
    <w:p w14:paraId="7E83E317" w14:textId="4E827DDF" w:rsidR="00EE5911" w:rsidRPr="003041CD" w:rsidRDefault="003041CD" w:rsidP="00EE5911">
      <w:r w:rsidRPr="003041CD">
        <w:rPr>
          <w:rFonts w:hint="eastAsia"/>
        </w:rPr>
        <w:t>s</w:t>
      </w:r>
      <w:r w:rsidRPr="003041CD">
        <w:t>ad</w:t>
      </w:r>
    </w:p>
    <w:p w14:paraId="605B2CCA" w14:textId="77777777" w:rsidR="003041CD" w:rsidRPr="00EE5911" w:rsidRDefault="003041CD" w:rsidP="00EE5911">
      <w:pPr>
        <w:rPr>
          <w:rFonts w:hint="eastAsia"/>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lastRenderedPageBreak/>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791A" w14:textId="77777777" w:rsidR="00C3167F" w:rsidRDefault="00C3167F" w:rsidP="00F34427">
      <w:r>
        <w:separator/>
      </w:r>
    </w:p>
  </w:endnote>
  <w:endnote w:type="continuationSeparator" w:id="0">
    <w:p w14:paraId="30368EEA" w14:textId="77777777" w:rsidR="00C3167F" w:rsidRDefault="00C3167F"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9219" w14:textId="77777777" w:rsidR="00C3167F" w:rsidRDefault="00C3167F" w:rsidP="00F34427">
      <w:r>
        <w:separator/>
      </w:r>
    </w:p>
  </w:footnote>
  <w:footnote w:type="continuationSeparator" w:id="0">
    <w:p w14:paraId="0FC83D24" w14:textId="77777777" w:rsidR="00C3167F" w:rsidRDefault="00C3167F"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9307715">
    <w:abstractNumId w:val="2"/>
  </w:num>
  <w:num w:numId="2" w16cid:durableId="527572883">
    <w:abstractNumId w:val="7"/>
  </w:num>
  <w:num w:numId="3" w16cid:durableId="165561460">
    <w:abstractNumId w:val="1"/>
  </w:num>
  <w:num w:numId="4" w16cid:durableId="2110851770">
    <w:abstractNumId w:val="3"/>
  </w:num>
  <w:num w:numId="5" w16cid:durableId="444740661">
    <w:abstractNumId w:val="4"/>
  </w:num>
  <w:num w:numId="6" w16cid:durableId="1163662087">
    <w:abstractNumId w:val="6"/>
  </w:num>
  <w:num w:numId="7" w16cid:durableId="476344188">
    <w:abstractNumId w:val="5"/>
  </w:num>
  <w:num w:numId="8" w16cid:durableId="61063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A3F2E"/>
    <w:rsid w:val="000C7381"/>
    <w:rsid w:val="001021D2"/>
    <w:rsid w:val="00103E5F"/>
    <w:rsid w:val="00127361"/>
    <w:rsid w:val="00166638"/>
    <w:rsid w:val="00183594"/>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90809"/>
    <w:rsid w:val="004975AA"/>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351FB"/>
    <w:rsid w:val="00970246"/>
    <w:rsid w:val="0098485D"/>
    <w:rsid w:val="009B78F2"/>
    <w:rsid w:val="009C1686"/>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7906"/>
    <w:rsid w:val="00D653EB"/>
    <w:rsid w:val="00D669E4"/>
    <w:rsid w:val="00D96D53"/>
    <w:rsid w:val="00D97146"/>
    <w:rsid w:val="00DA3A7B"/>
    <w:rsid w:val="00E00D7F"/>
    <w:rsid w:val="00E04B37"/>
    <w:rsid w:val="00E132B2"/>
    <w:rsid w:val="00E21A7B"/>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9536-0381-496A-A60B-44A25151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63</cp:revision>
  <cp:lastPrinted>2023-03-29T14:44:00Z</cp:lastPrinted>
  <dcterms:created xsi:type="dcterms:W3CDTF">2023-03-22T07:30:00Z</dcterms:created>
  <dcterms:modified xsi:type="dcterms:W3CDTF">2023-05-09T13:19:00Z</dcterms:modified>
</cp:coreProperties>
</file>