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043" w:rsidRDefault="007860C5">
      <w:pPr>
        <w:rPr>
          <w:rFonts w:ascii="Times New Roman" w:hAnsi="Times New Roman" w:cs="Arial"/>
          <w:color w:val="92D050"/>
          <w:szCs w:val="21"/>
          <w:shd w:val="clear" w:color="auto" w:fill="FFFFFF"/>
        </w:rPr>
      </w:pPr>
      <w:r w:rsidRPr="00C41E1D">
        <w:rPr>
          <w:rFonts w:ascii="Times New Roman" w:hAnsi="Times New Roman" w:cs="Arial"/>
          <w:color w:val="92D050"/>
          <w:szCs w:val="21"/>
          <w:shd w:val="clear" w:color="auto" w:fill="FFFFFF"/>
        </w:rPr>
        <w:t>Rafal Szlapczynski a</w:t>
      </w:r>
      <w:r w:rsidRPr="00C41E1D">
        <w:rPr>
          <w:rFonts w:ascii="Times New Roman" w:hAnsi="Times New Roman" w:cs="Arial"/>
          <w:color w:val="92D050"/>
          <w:szCs w:val="21"/>
          <w:shd w:val="clear" w:color="auto" w:fill="FFFFFF"/>
        </w:rPr>
        <w:t>，</w:t>
      </w:r>
      <w:r w:rsidRPr="00C41E1D">
        <w:rPr>
          <w:rFonts w:ascii="Times New Roman" w:hAnsi="Times New Roman" w:cs="Arial"/>
          <w:color w:val="92D050"/>
          <w:szCs w:val="21"/>
          <w:shd w:val="clear" w:color="auto" w:fill="FFFFFF"/>
        </w:rPr>
        <w:t>Joanna Szlapczynska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（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2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篇）提出了一种基于</w:t>
      </w:r>
      <w:r w:rsidRPr="00C41E1D">
        <w:rPr>
          <w:rFonts w:ascii="Times New Roman" w:hAnsi="Times New Roman" w:cs="Arial"/>
          <w:color w:val="92D050"/>
          <w:szCs w:val="21"/>
          <w:shd w:val="clear" w:color="auto" w:fill="FFFFFF"/>
        </w:rPr>
        <w:t>Collision Threat Parameters Area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（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CTPA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）显示船舶避碰信息的方法，实现了目标船运动参数，以及针对静态与动态碍航物的危险航向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/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航速组合的可视化显示，并基于剩余</w:t>
      </w:r>
      <w:r w:rsidRPr="00C41E1D">
        <w:rPr>
          <w:rFonts w:ascii="Times New Roman" w:hAnsi="Times New Roman" w:cs="Arial"/>
          <w:color w:val="92D050"/>
          <w:szCs w:val="21"/>
          <w:shd w:val="clear" w:color="auto" w:fill="FFFFFF"/>
        </w:rPr>
        <w:t>remaining Time To Collision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（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TTC</w:t>
      </w:r>
      <w:r w:rsidRPr="00C41E1D">
        <w:rPr>
          <w:rFonts w:ascii="Times New Roman" w:hAnsi="Times New Roman" w:cs="Arial" w:hint="eastAsia"/>
          <w:color w:val="92D050"/>
          <w:szCs w:val="21"/>
          <w:shd w:val="clear" w:color="auto" w:fill="FFFFFF"/>
        </w:rPr>
        <w:t>）过滤系统显示的数据，以便驾驶员可以专注于直接威胁。</w:t>
      </w:r>
    </w:p>
    <w:p w:rsidR="007A4103" w:rsidRDefault="007A4103">
      <w:pPr>
        <w:rPr>
          <w:rFonts w:ascii="Times New Roman" w:hAnsi="Times New Roman" w:cs="Arial"/>
          <w:szCs w:val="21"/>
          <w:shd w:val="clear" w:color="auto" w:fill="FFFFFF"/>
        </w:rPr>
      </w:pPr>
      <w:bookmarkStart w:id="0" w:name="_GoBack"/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船舶领域作为用来描述船舶为了保持安全航行的状态下，不受危险物侵犯的安全水域，相比于固定的最小安全会遇距离（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M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SPD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），可以有效的适应最小安全会遇距离各向异性的航行实际</w:t>
      </w:r>
      <w:r w:rsidRPr="001F0192">
        <w:rPr>
          <w:rFonts w:ascii="Times New Roman" w:hAnsi="Times New Roman" w:cs="Arial" w:hint="eastAsia"/>
          <w:szCs w:val="21"/>
          <w:shd w:val="clear" w:color="auto" w:fill="FFFFFF"/>
        </w:rPr>
        <w:t>。</w:t>
      </w:r>
    </w:p>
    <w:bookmarkEnd w:id="0"/>
    <w:p w:rsidR="007A4103" w:rsidRPr="00594970" w:rsidRDefault="007A4103" w:rsidP="007A4103">
      <w:pPr>
        <w:ind w:firstLine="420"/>
        <w:rPr>
          <w:rFonts w:ascii="Times New Roman" w:hAnsi="Times New Roman" w:cs="Arial"/>
          <w:color w:val="2E3033"/>
          <w:szCs w:val="21"/>
          <w:shd w:val="clear" w:color="auto" w:fill="FFFFFF"/>
        </w:rPr>
      </w:pP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这种方式相比于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D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CPA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与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TCPA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来说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，运用了船舶领域的概念，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在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一些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会遇情况中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，危险度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变化梯度更为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明显，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具有更强的危险探知敏感性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。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并且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根据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会遇危险时间范围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，</w:t>
      </w:r>
      <w:r w:rsidRPr="00594970">
        <w:rPr>
          <w:rFonts w:ascii="Times New Roman" w:hAnsi="Times New Roman" w:cs="Arial"/>
          <w:color w:val="2E3033"/>
          <w:szCs w:val="21"/>
          <w:shd w:val="clear" w:color="auto" w:fill="FFFFFF"/>
        </w:rPr>
        <w:t>可以计算在未来有会遇危险的海域空间信息</w:t>
      </w:r>
      <w:r w:rsidRPr="00594970">
        <w:rPr>
          <w:rFonts w:ascii="Times New Roman" w:hAnsi="Times New Roman" w:cs="Arial" w:hint="eastAsia"/>
          <w:color w:val="2E3033"/>
          <w:szCs w:val="21"/>
          <w:shd w:val="clear" w:color="auto" w:fill="FFFFFF"/>
        </w:rPr>
        <w:t>。</w:t>
      </w:r>
    </w:p>
    <w:p w:rsidR="007A4103" w:rsidRPr="007A4103" w:rsidRDefault="007A4103">
      <w:pPr>
        <w:rPr>
          <w:rFonts w:hint="eastAsia"/>
        </w:rPr>
      </w:pPr>
    </w:p>
    <w:sectPr w:rsidR="007A4103" w:rsidRPr="007A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6F" w:rsidRDefault="00B76C6F" w:rsidP="007860C5">
      <w:r>
        <w:separator/>
      </w:r>
    </w:p>
  </w:endnote>
  <w:endnote w:type="continuationSeparator" w:id="0">
    <w:p w:rsidR="00B76C6F" w:rsidRDefault="00B76C6F" w:rsidP="0078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6F" w:rsidRDefault="00B76C6F" w:rsidP="007860C5">
      <w:r>
        <w:separator/>
      </w:r>
    </w:p>
  </w:footnote>
  <w:footnote w:type="continuationSeparator" w:id="0">
    <w:p w:rsidR="00B76C6F" w:rsidRDefault="00B76C6F" w:rsidP="00786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62"/>
    <w:rsid w:val="00177B7A"/>
    <w:rsid w:val="00532DD9"/>
    <w:rsid w:val="007860C5"/>
    <w:rsid w:val="007A4103"/>
    <w:rsid w:val="009A21FC"/>
    <w:rsid w:val="00B76C6F"/>
    <w:rsid w:val="00DB2304"/>
    <w:rsid w:val="00F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48C1F-FDA3-43CF-B7ED-C26900D4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0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0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2021-01-15T03:04:00Z</dcterms:created>
  <dcterms:modified xsi:type="dcterms:W3CDTF">2021-01-15T05:06:00Z</dcterms:modified>
</cp:coreProperties>
</file>