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7E" w:rsidRPr="00DE44D6" w:rsidRDefault="00DE44D6" w:rsidP="008A2C7E">
      <w:pPr>
        <w:snapToGrid w:val="0"/>
        <w:spacing w:line="360" w:lineRule="exact"/>
        <w:jc w:val="center"/>
        <w:rPr>
          <w:rFonts w:ascii="標楷體" w:eastAsia="標楷體" w:hAnsi="標楷體"/>
          <w:b/>
        </w:rPr>
      </w:pPr>
      <w:r w:rsidRPr="00DE44D6">
        <w:rPr>
          <w:rFonts w:ascii="標楷體" w:eastAsia="標楷體" w:hAnsi="標楷體" w:hint="eastAsia"/>
        </w:rPr>
        <w:t xml:space="preserve">                          </w:t>
      </w:r>
      <w:r w:rsidR="008A2C7E" w:rsidRPr="00F75E90">
        <w:rPr>
          <w:rFonts w:ascii="標楷體" w:eastAsia="標楷體" w:hAnsi="標楷體" w:hint="eastAsia"/>
          <w:u w:val="single"/>
        </w:rPr>
        <w:t xml:space="preserve">電機工程系  四技  </w:t>
      </w:r>
      <w:r w:rsidR="00660630">
        <w:rPr>
          <w:rFonts w:ascii="標楷體" w:eastAsia="標楷體" w:hAnsi="標楷體" w:hint="eastAsia"/>
          <w:u w:val="single"/>
        </w:rPr>
        <w:t>110</w:t>
      </w:r>
      <w:r w:rsidR="008A2C7E" w:rsidRPr="00F75E90">
        <w:rPr>
          <w:rFonts w:ascii="標楷體" w:eastAsia="標楷體" w:hAnsi="標楷體" w:hint="eastAsia"/>
          <w:u w:val="single"/>
        </w:rPr>
        <w:t>學年度入學</w:t>
      </w:r>
      <w:bookmarkStart w:id="0" w:name="課程結構規劃表"/>
      <w:r w:rsidR="008A2C7E" w:rsidRPr="00F75E90">
        <w:rPr>
          <w:rFonts w:ascii="標楷體" w:eastAsia="標楷體" w:hAnsi="標楷體" w:hint="eastAsia"/>
          <w:u w:val="single"/>
        </w:rPr>
        <w:t>課程結構規劃表</w:t>
      </w:r>
      <w:bookmarkEnd w:id="0"/>
      <w:r>
        <w:rPr>
          <w:rFonts w:ascii="標楷體" w:eastAsia="標楷體" w:hAnsi="標楷體" w:hint="eastAsia"/>
          <w:u w:val="single"/>
        </w:rPr>
        <w:t xml:space="preserve">  </w:t>
      </w:r>
      <w:r w:rsidRPr="00DE44D6">
        <w:rPr>
          <w:rFonts w:ascii="標楷體" w:eastAsia="標楷體" w:hAnsi="標楷體" w:hint="eastAsia"/>
        </w:rPr>
        <w:t xml:space="preserve">                              </w:t>
      </w:r>
      <w:r>
        <w:rPr>
          <w:rFonts w:ascii="標楷體" w:eastAsia="標楷體" w:hAnsi="標楷體" w:hint="eastAsia"/>
        </w:rPr>
        <w:t xml:space="preserve">    </w:t>
      </w:r>
      <w:r w:rsidRPr="00DE44D6">
        <w:rPr>
          <w:rFonts w:ascii="標楷體" w:eastAsia="標楷體" w:hAnsi="標楷體" w:hint="eastAsia"/>
          <w:b/>
          <w:color w:val="FF0000"/>
        </w:rPr>
        <w:t xml:space="preserve"> 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"/>
        <w:gridCol w:w="712"/>
        <w:gridCol w:w="1572"/>
        <w:gridCol w:w="1286"/>
        <w:gridCol w:w="900"/>
        <w:gridCol w:w="238"/>
        <w:gridCol w:w="260"/>
        <w:gridCol w:w="938"/>
        <w:gridCol w:w="238"/>
        <w:gridCol w:w="257"/>
        <w:gridCol w:w="912"/>
        <w:gridCol w:w="256"/>
        <w:gridCol w:w="257"/>
        <w:gridCol w:w="903"/>
        <w:gridCol w:w="281"/>
        <w:gridCol w:w="256"/>
        <w:gridCol w:w="895"/>
        <w:gridCol w:w="267"/>
        <w:gridCol w:w="257"/>
        <w:gridCol w:w="863"/>
        <w:gridCol w:w="267"/>
        <w:gridCol w:w="279"/>
        <w:gridCol w:w="917"/>
        <w:gridCol w:w="239"/>
        <w:gridCol w:w="257"/>
        <w:gridCol w:w="898"/>
        <w:gridCol w:w="267"/>
        <w:gridCol w:w="257"/>
      </w:tblGrid>
      <w:tr w:rsidR="008A2C7E" w:rsidRPr="003175DC" w:rsidTr="00A51FFD">
        <w:trPr>
          <w:trHeight w:val="340"/>
          <w:tblHeader/>
          <w:jc w:val="center"/>
        </w:trPr>
        <w:tc>
          <w:tcPr>
            <w:tcW w:w="138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</w:tc>
        <w:tc>
          <w:tcPr>
            <w:tcW w:w="90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91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  <w:tc>
          <w:tcPr>
            <w:tcW w:w="90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三年級</w:t>
            </w:r>
          </w:p>
        </w:tc>
        <w:tc>
          <w:tcPr>
            <w:tcW w:w="9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四年級</w:t>
            </w:r>
          </w:p>
        </w:tc>
      </w:tr>
      <w:tr w:rsidR="008A2C7E" w:rsidRPr="003175DC" w:rsidTr="00A51FFD">
        <w:trPr>
          <w:trHeight w:val="340"/>
          <w:tblHeader/>
          <w:jc w:val="center"/>
        </w:trPr>
        <w:tc>
          <w:tcPr>
            <w:tcW w:w="1381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4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8A2C7E" w:rsidRPr="003175DC" w:rsidTr="00A51FFD">
        <w:trPr>
          <w:trHeight w:val="680"/>
          <w:tblHeader/>
          <w:jc w:val="center"/>
        </w:trPr>
        <w:tc>
          <w:tcPr>
            <w:tcW w:w="138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校共同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12學分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eastAsia="標楷體"/>
                <w:color w:val="0D0D0D" w:themeColor="text1" w:themeTint="F2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D45008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二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三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四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(二)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(三)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(四)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(二)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B1068">
              <w:rPr>
                <w:rFonts w:ascii="標楷體" w:eastAsia="標楷體" w:hAnsi="標楷體" w:cs="新細明體" w:hint="eastAsia"/>
                <w:color w:val="000000"/>
                <w:kern w:val="0"/>
              </w:rPr>
              <w:t>通識課程</w:t>
            </w:r>
          </w:p>
        </w:tc>
        <w:tc>
          <w:tcPr>
            <w:tcW w:w="227" w:type="pct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核心通識</w:t>
            </w:r>
          </w:p>
        </w:tc>
        <w:tc>
          <w:tcPr>
            <w:tcW w:w="50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海洋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科技</w:t>
            </w: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文明發展</w:t>
            </w:r>
          </w:p>
        </w:tc>
        <w:tc>
          <w:tcPr>
            <w:tcW w:w="410" w:type="pct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</w:p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6學分</w:t>
            </w:r>
          </w:p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（每領域必修</w:t>
            </w:r>
          </w:p>
          <w:p w:rsidR="008A2C7E" w:rsidRPr="00D45008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1門）</w:t>
            </w:r>
          </w:p>
        </w:tc>
        <w:tc>
          <w:tcPr>
            <w:tcW w:w="3619" w:type="pct"/>
            <w:gridSpan w:val="2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rPr>
                <w:rFonts w:eastAsia="標楷體"/>
                <w:color w:val="0D0D0D"/>
                <w:sz w:val="22"/>
                <w:szCs w:val="22"/>
              </w:rPr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海洋科技探索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)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海洋文明發展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生命探索與在地關懷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生命與倫理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在地文化探源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創意創新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與數位知能</w:t>
            </w:r>
          </w:p>
        </w:tc>
        <w:tc>
          <w:tcPr>
            <w:tcW w:w="4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創意與創新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運算與程式設計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</w:rPr>
              <w:t>博雅通識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strike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美感與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人文素養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10學分</w:t>
            </w:r>
          </w:p>
          <w:p w:rsidR="008A2C7E" w:rsidRPr="00D45008" w:rsidRDefault="00EF3406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6F62F9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84138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科技與環境永續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社會與知識經濟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歷史與多元思維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全球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未來趨勢</w:t>
            </w:r>
          </w:p>
        </w:tc>
        <w:tc>
          <w:tcPr>
            <w:tcW w:w="410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跨課群認列</w:t>
            </w: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學院共同課程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(由學院開課)</w:t>
            </w:r>
          </w:p>
        </w:tc>
        <w:tc>
          <w:tcPr>
            <w:tcW w:w="227" w:type="pct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20"/>
                <w:szCs w:val="22"/>
              </w:rPr>
            </w:pPr>
            <w:r w:rsidRPr="00B65823">
              <w:rPr>
                <w:rFonts w:eastAsia="標楷體"/>
                <w:kern w:val="0"/>
                <w:sz w:val="20"/>
                <w:szCs w:val="22"/>
              </w:rPr>
              <w:t>工程實作實習</w:t>
            </w:r>
            <w:r w:rsidRPr="00B65823">
              <w:rPr>
                <w:rFonts w:eastAsia="標楷體" w:hint="eastAsia"/>
                <w:kern w:val="0"/>
                <w:sz w:val="20"/>
                <w:szCs w:val="22"/>
              </w:rPr>
              <w:t>/3/3</w:t>
            </w:r>
          </w:p>
          <w:p w:rsidR="00C85FB1" w:rsidRDefault="00C85FB1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C85FB1">
              <w:rPr>
                <w:rFonts w:eastAsia="標楷體" w:hint="eastAsia"/>
                <w:kern w:val="0"/>
                <w:sz w:val="20"/>
                <w:szCs w:val="22"/>
              </w:rPr>
              <w:t>機光電半導體封測</w:t>
            </w:r>
            <w:r w:rsidRPr="00C85FB1">
              <w:rPr>
                <w:rFonts w:eastAsia="標楷體"/>
                <w:kern w:val="0"/>
                <w:sz w:val="20"/>
                <w:szCs w:val="22"/>
              </w:rPr>
              <w:t>/3/3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學院跨領域課程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lastRenderedPageBreak/>
              <w:t>學院開課)</w:t>
            </w:r>
          </w:p>
        </w:tc>
        <w:tc>
          <w:tcPr>
            <w:tcW w:w="227" w:type="pct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選修</w:t>
            </w: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光：訊號與能源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機器人程式編程與演算法概念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/2/2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虛擬實境互動實務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3D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列印實務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lastRenderedPageBreak/>
              <w:t>智慧科技應用專論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</w:t>
            </w:r>
          </w:p>
          <w:p w:rsidR="008A2C7E" w:rsidRPr="00B87EFD" w:rsidRDefault="008A2C7E" w:rsidP="001C6AD2">
            <w:pPr>
              <w:spacing w:line="300" w:lineRule="exact"/>
              <w:rPr>
                <w:rFonts w:eastAsia="標楷體"/>
                <w:color w:val="FF0000"/>
                <w:kern w:val="0"/>
                <w:u w:val="single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車用電子應用及實務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</w:p>
        </w:tc>
      </w:tr>
      <w:tr w:rsidR="008A2C7E" w:rsidRPr="003175DC" w:rsidTr="00A51FFD">
        <w:trPr>
          <w:trHeight w:val="519"/>
          <w:jc w:val="center"/>
        </w:trPr>
        <w:tc>
          <w:tcPr>
            <w:tcW w:w="24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F3C01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3C01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系專業課程</w:t>
            </w:r>
          </w:p>
        </w:tc>
        <w:tc>
          <w:tcPr>
            <w:tcW w:w="22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系共同專業科目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應修學分數55學分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電路學(一)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實務專題(二)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邏輯設計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實務專題(一)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508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20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微積分(一)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微處理機實習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電機概論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F62F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F62F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</w:rPr>
              <w:t>領域專業科目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</w:t>
            </w:r>
          </w:p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6學分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電力電子學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自動控制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57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一般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應修學分數39學分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C310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C310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計算機輔助電路分析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專利師培訓課程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線性代數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電磁學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工程科技英文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1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最佳化原理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電路理論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工程數值方法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數位畫像處理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數位媒體設計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7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數位信號處理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工程倫理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70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工程機率與統計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74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傅立葉變換及應用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實務專題(三)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61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6246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電力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電機應用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圖形監控設計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積體電路應用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電動車馬達固態驅動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固態電源供應器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5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機電能量轉換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節能技術分析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工程電路模擬與設計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特殊電機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5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綠能科技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發變電工程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電力系統分析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電力監控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綠色電能轉換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49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工業配電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B7490F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馬達固態驅動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電力資訊整合概論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17E2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33"/>
          <w:jc w:val="center"/>
        </w:trPr>
        <w:tc>
          <w:tcPr>
            <w:tcW w:w="244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電動車控制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電動車能量管理與控制</w:t>
            </w:r>
          </w:p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7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4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Default="009623A7" w:rsidP="009623A7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機器人導論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光電工程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智慧型系統導論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數位控制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照明設計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微處理機應用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信號與系統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光電系統設計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6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線性系統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6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8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C794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*Python微學分-深度學習實作模組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資料結構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演算法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計算機網路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通訊系統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6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*影像處理微學分-深度學習實作模組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電信概論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數據通訊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JAVA程式設計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Linux系統與程式設計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資訊安全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:rsidTr="00A51FFD">
        <w:trPr>
          <w:trHeight w:val="55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計算機結構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無線網路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資料庫系統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020768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020768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:rsidTr="00A51FFD">
        <w:trPr>
          <w:trHeight w:val="7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Python程式設計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感測網路佈建與應用實務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物聯網應用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8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作業系統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雲端計算概論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8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人工智慧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28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嵌入式系統與AI微學分-深度學習實作模組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影像處理微學分-深度學習實作模組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2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6197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實習</w:t>
            </w: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能源資源暨網路實習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電子電路應用暨實習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5777E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接取網路技術暨實習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電力系統模擬暨實習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0843C2">
              <w:rPr>
                <w:rFonts w:ascii="標楷體" w:eastAsia="標楷體" w:hAnsi="標楷體" w:hint="eastAsia"/>
                <w:sz w:val="16"/>
                <w:szCs w:val="16"/>
              </w:rPr>
              <w:t>校外學期實</w:t>
            </w: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習(二)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484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光電工程暨實習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E93BD8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E93BD8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A39A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網際網路應用暨實習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電力電子分析暨實習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校外學期實習(一)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電腦視覺暨實習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A39A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6CA6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6CA6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電腦輔助邏輯電路解析暨實習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順序控制暨實習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積體電路應用暨實習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校外暑期實習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固態轉換器暨實習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70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MATLAB工程實務應用暨實習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馬達固態驅動暨實習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影像處理暨實習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48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bCs/>
                <w:color w:val="000000" w:themeColor="text1"/>
                <w:sz w:val="16"/>
                <w:szCs w:val="16"/>
              </w:rPr>
              <w:t>機器人控制暨實習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電動車馬達驅動分析暨實習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13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bCs/>
                <w:sz w:val="16"/>
                <w:szCs w:val="16"/>
              </w:rPr>
              <w:t>智慧電網暨實習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33"/>
          <w:jc w:val="center"/>
        </w:trPr>
        <w:tc>
          <w:tcPr>
            <w:tcW w:w="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</w:tbl>
    <w:p w:rsidR="008A2C7E" w:rsidRPr="006B1068" w:rsidRDefault="008A2C7E" w:rsidP="008A2C7E">
      <w:pPr>
        <w:snapToGrid w:val="0"/>
        <w:spacing w:line="360" w:lineRule="atLeast"/>
        <w:ind w:leftChars="177" w:left="425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/>
          <w:b/>
          <w:bCs/>
          <w:color w:val="000000"/>
        </w:rPr>
        <w:t>備註：</w:t>
      </w:r>
      <w:r w:rsidRPr="006B1068">
        <w:rPr>
          <w:rFonts w:ascii="標楷體" w:eastAsia="標楷體" w:hAnsi="標楷體"/>
          <w:color w:val="000000"/>
        </w:rPr>
        <w:t xml:space="preserve"> </w:t>
      </w:r>
    </w:p>
    <w:p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t>一、畢業總學分數為</w:t>
      </w:r>
      <w:r>
        <w:rPr>
          <w:rFonts w:ascii="標楷體" w:eastAsia="標楷體" w:hAnsi="標楷體" w:hint="eastAsia"/>
          <w:color w:val="000000"/>
        </w:rPr>
        <w:t>128</w:t>
      </w:r>
      <w:r w:rsidRPr="006B1068">
        <w:rPr>
          <w:rFonts w:ascii="標楷體" w:eastAsia="標楷體" w:hAnsi="標楷體" w:hint="eastAsia"/>
          <w:color w:val="000000"/>
        </w:rPr>
        <w:t>學分。</w:t>
      </w:r>
    </w:p>
    <w:p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lastRenderedPageBreak/>
        <w:t>二、</w:t>
      </w:r>
      <w:r w:rsidRPr="00B93E7B">
        <w:rPr>
          <w:rFonts w:ascii="標楷體" w:eastAsia="標楷體" w:hAnsi="標楷體" w:hint="eastAsia"/>
          <w:color w:val="000000" w:themeColor="text1"/>
        </w:rPr>
        <w:t>必修61學分，選修39</w:t>
      </w:r>
      <w:r w:rsidRPr="00C964E2">
        <w:rPr>
          <w:rFonts w:ascii="標楷體" w:eastAsia="標楷體" w:hAnsi="標楷體" w:hint="eastAsia"/>
          <w:color w:val="000000"/>
        </w:rPr>
        <w:t>學分。（不含校共同必修課程及通識課程的學分數）</w:t>
      </w:r>
    </w:p>
    <w:p w:rsidR="008A2C7E" w:rsidRDefault="008A2C7E" w:rsidP="008A2C7E">
      <w:pPr>
        <w:snapToGrid w:val="0"/>
        <w:spacing w:line="360" w:lineRule="atLeast"/>
        <w:ind w:leftChars="413" w:left="1416" w:hangingChars="177" w:hanging="425"/>
        <w:rPr>
          <w:rFonts w:ascii="標楷體" w:eastAsia="標楷體" w:hAnsi="標楷體"/>
        </w:rPr>
      </w:pPr>
      <w:r w:rsidRPr="006B1068">
        <w:rPr>
          <w:rFonts w:ascii="標楷體" w:eastAsia="標楷體" w:hAnsi="標楷體" w:hint="eastAsia"/>
          <w:color w:val="000000"/>
        </w:rPr>
        <w:t>三、</w:t>
      </w:r>
      <w:r w:rsidRPr="00C964E2">
        <w:rPr>
          <w:rFonts w:eastAsia="標楷體" w:hAnsi="標楷體"/>
        </w:rPr>
        <w:t>校共同必修課程及</w:t>
      </w:r>
      <w:r w:rsidRPr="00C964E2">
        <w:rPr>
          <w:rFonts w:eastAsia="標楷體" w:hAnsi="標楷體"/>
          <w:kern w:val="0"/>
        </w:rPr>
        <w:t>通識課程</w:t>
      </w:r>
      <w:r w:rsidRPr="00C964E2">
        <w:rPr>
          <w:rFonts w:eastAsia="標楷體"/>
        </w:rPr>
        <w:t>28</w:t>
      </w:r>
      <w:r w:rsidRPr="00C964E2">
        <w:rPr>
          <w:rFonts w:eastAsia="標楷體" w:hAnsi="標楷體"/>
        </w:rPr>
        <w:t>學分</w:t>
      </w:r>
      <w:r w:rsidRPr="007F570C">
        <w:rPr>
          <w:rFonts w:ascii="標楷體" w:eastAsia="標楷體" w:hAnsi="標楷體" w:hint="eastAsia"/>
        </w:rPr>
        <w:t>；相關規定依據本校「共同教育課程實施辦法」、「共同教育課程結構規劃表」及「語言教學實施要點」。</w:t>
      </w:r>
    </w:p>
    <w:p w:rsidR="008A2C7E" w:rsidRPr="006D64E4" w:rsidRDefault="008A2C7E" w:rsidP="002B1831">
      <w:pPr>
        <w:autoSpaceDE w:val="0"/>
        <w:autoSpaceDN w:val="0"/>
        <w:adjustRightInd w:val="0"/>
        <w:ind w:leftChars="414" w:left="1440" w:hangingChars="186" w:hanging="446"/>
        <w:rPr>
          <w:rFonts w:eastAsia="標楷體"/>
        </w:rPr>
      </w:pPr>
      <w:r>
        <w:rPr>
          <w:rFonts w:ascii="標楷體" w:eastAsia="標楷體" w:hAnsi="標楷體" w:hint="eastAsia"/>
          <w:color w:val="000000"/>
        </w:rPr>
        <w:t>四、</w:t>
      </w:r>
      <w:r w:rsidRPr="006D64E4">
        <w:rPr>
          <w:rFonts w:eastAsia="標楷體" w:hint="eastAsia"/>
        </w:rPr>
        <w:t>須修滿英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外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語</w:t>
      </w:r>
      <w:r>
        <w:rPr>
          <w:rFonts w:eastAsia="標楷體"/>
        </w:rPr>
        <w:t>8</w:t>
      </w:r>
      <w:r w:rsidRPr="006D64E4">
        <w:rPr>
          <w:rFonts w:eastAsia="標楷體" w:hint="eastAsia"/>
        </w:rPr>
        <w:t>學分，本國籍學生英語畢業門檻為等同</w:t>
      </w:r>
      <w:r>
        <w:rPr>
          <w:rFonts w:eastAsia="標楷體"/>
        </w:rPr>
        <w:t>CEFR B1</w:t>
      </w:r>
      <w:r w:rsidR="00F962D9">
        <w:rPr>
          <w:rFonts w:eastAsia="標楷體" w:hint="eastAsia"/>
        </w:rPr>
        <w:t>以上程度之</w:t>
      </w:r>
      <w:r w:rsidR="00F962D9" w:rsidRPr="00F962D9">
        <w:rPr>
          <w:rFonts w:eastAsia="標楷體" w:hint="eastAsia"/>
          <w:color w:val="FF0000"/>
        </w:rPr>
        <w:t>各類</w:t>
      </w:r>
      <w:r w:rsidRPr="006D64E4">
        <w:rPr>
          <w:rFonts w:eastAsia="標楷體" w:hint="eastAsia"/>
        </w:rPr>
        <w:t>英檢成績；</w:t>
      </w:r>
      <w:r w:rsidR="00F962D9" w:rsidRPr="00001CF0">
        <w:rPr>
          <w:rFonts w:eastAsia="標楷體" w:hint="eastAsia"/>
          <w:color w:val="FF0000"/>
          <w:u w:val="single"/>
        </w:rPr>
        <w:t>各系自訂英語畢業</w:t>
      </w:r>
      <w:r w:rsidR="00F962D9" w:rsidRPr="00F962D9">
        <w:rPr>
          <w:rFonts w:eastAsia="標楷體" w:hint="eastAsia"/>
          <w:color w:val="FF0000"/>
          <w:u w:val="single"/>
        </w:rPr>
        <w:t>門檻高於校訂者，另依該系規定。在學期間參加</w:t>
      </w:r>
      <w:r w:rsidR="00F962D9" w:rsidRPr="00F962D9">
        <w:rPr>
          <w:rFonts w:eastAsia="標楷體"/>
          <w:color w:val="FF0000"/>
          <w:u w:val="single"/>
        </w:rPr>
        <w:t xml:space="preserve">2 </w:t>
      </w:r>
      <w:r w:rsidR="00F962D9" w:rsidRPr="00F962D9">
        <w:rPr>
          <w:rFonts w:eastAsia="標楷體" w:hint="eastAsia"/>
          <w:color w:val="FF0000"/>
          <w:u w:val="single"/>
        </w:rPr>
        <w:t>次各類英檢考試，未通過者，須提出考試成績證明始得以下列其中一種方式通過：</w:t>
      </w:r>
      <w:r w:rsidR="00F962D9" w:rsidRPr="00F962D9">
        <w:rPr>
          <w:rFonts w:eastAsia="標楷體"/>
          <w:color w:val="FF0000"/>
          <w:u w:val="single"/>
        </w:rPr>
        <w:t>1.</w:t>
      </w:r>
      <w:r w:rsidR="00F962D9" w:rsidRPr="00F962D9">
        <w:rPr>
          <w:rFonts w:eastAsia="標楷體" w:hint="eastAsia"/>
          <w:color w:val="FF0000"/>
          <w:u w:val="single"/>
        </w:rPr>
        <w:t>通過校內英語畢業門檻檢定考試。</w:t>
      </w:r>
      <w:r w:rsidR="00F962D9" w:rsidRPr="00F962D9">
        <w:rPr>
          <w:rFonts w:eastAsia="標楷體"/>
          <w:color w:val="FF0000"/>
          <w:u w:val="single"/>
        </w:rPr>
        <w:t>2.</w:t>
      </w:r>
      <w:r w:rsidR="00F962D9" w:rsidRPr="00F962D9">
        <w:rPr>
          <w:rFonts w:eastAsia="標楷體" w:hint="eastAsia"/>
          <w:color w:val="FF0000"/>
          <w:u w:val="single"/>
        </w:rPr>
        <w:t>參加一期外語教育中心開設之短期英文加強課程，並符合課程簡章規定。</w:t>
      </w:r>
      <w:r w:rsidR="00F962D9" w:rsidRPr="00F962D9">
        <w:rPr>
          <w:rFonts w:eastAsia="標楷體"/>
          <w:color w:val="FF0000"/>
          <w:u w:val="single"/>
        </w:rPr>
        <w:t>3.</w:t>
      </w:r>
      <w:r w:rsidR="00F962D9" w:rsidRPr="00F962D9">
        <w:rPr>
          <w:rFonts w:eastAsia="標楷體" w:hint="eastAsia"/>
          <w:color w:val="FF0000"/>
          <w:u w:val="single"/>
        </w:rPr>
        <w:t>修讀並通過就讀院系開設</w:t>
      </w:r>
      <w:r w:rsidR="00F962D9" w:rsidRPr="00F962D9">
        <w:rPr>
          <w:rFonts w:eastAsia="標楷體"/>
          <w:color w:val="FF0000"/>
          <w:u w:val="single"/>
        </w:rPr>
        <w:t>2</w:t>
      </w:r>
      <w:r w:rsidR="00F962D9" w:rsidRPr="00F962D9">
        <w:rPr>
          <w:rFonts w:eastAsia="標楷體" w:hint="eastAsia"/>
          <w:color w:val="FF0000"/>
          <w:u w:val="single"/>
        </w:rPr>
        <w:t>學分以上全英授課專業課程</w:t>
      </w:r>
      <w:r w:rsidR="00F962D9" w:rsidRPr="00F962D9">
        <w:rPr>
          <w:rFonts w:eastAsia="標楷體"/>
          <w:color w:val="FF0000"/>
          <w:u w:val="single"/>
        </w:rPr>
        <w:t xml:space="preserve">1 </w:t>
      </w:r>
      <w:r w:rsidR="00F962D9" w:rsidRPr="00F962D9">
        <w:rPr>
          <w:rFonts w:eastAsia="標楷體" w:hint="eastAsia"/>
          <w:color w:val="FF0000"/>
          <w:u w:val="single"/>
        </w:rPr>
        <w:t>門。</w:t>
      </w:r>
      <w:r w:rsidRPr="006D64E4">
        <w:rPr>
          <w:rFonts w:eastAsia="標楷體" w:hint="eastAsia"/>
        </w:rPr>
        <w:t>多益成績達</w:t>
      </w:r>
      <w:r>
        <w:rPr>
          <w:rFonts w:eastAsia="標楷體"/>
        </w:rPr>
        <w:t>550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B1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以上者得免修大一英語</w:t>
      </w:r>
      <w:r>
        <w:rPr>
          <w:rFonts w:eastAsia="標楷體"/>
        </w:rPr>
        <w:t>(4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；多益成績達</w:t>
      </w:r>
      <w:r>
        <w:rPr>
          <w:rFonts w:eastAsia="標楷體"/>
        </w:rPr>
        <w:t>785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B2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以上者得免修大一、大二英語</w:t>
      </w:r>
      <w:r>
        <w:rPr>
          <w:rFonts w:eastAsia="標楷體"/>
        </w:rPr>
        <w:t>(8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，但須選修主題式英語或其他外語課程補足語言畢業學分數。其他外語課程請參閱外語教育中心課程結構規劃表。</w:t>
      </w:r>
    </w:p>
    <w:p w:rsidR="008A2C7E" w:rsidRPr="00D80505" w:rsidRDefault="008A2C7E" w:rsidP="008A2C7E">
      <w:pPr>
        <w:snapToGrid w:val="0"/>
        <w:spacing w:line="360" w:lineRule="atLeast"/>
        <w:ind w:leftChars="413" w:left="1416" w:hangingChars="177" w:hanging="425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五、</w:t>
      </w:r>
      <w:r w:rsidRPr="001B14C9">
        <w:rPr>
          <w:rFonts w:ascii="標楷體" w:eastAsia="標楷體" w:hAnsi="標楷體" w:hint="eastAsia"/>
          <w:color w:val="000000"/>
        </w:rPr>
        <w:t>學生修讀所屬學院之「學院共同課程」應認列為本系專業課程學分；修讀所屬學院之「學院跨領域課程」或其他學院開課之課程，則認列為外系課程學分。</w:t>
      </w:r>
    </w:p>
    <w:p w:rsidR="008A2C7E" w:rsidRDefault="008A2C7E" w:rsidP="008A2C7E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六</w:t>
      </w:r>
      <w:r w:rsidRPr="003A6DD6">
        <w:rPr>
          <w:rFonts w:ascii="標楷體" w:eastAsia="標楷體" w:hAnsi="標楷體" w:hint="eastAsia"/>
          <w:color w:val="000000"/>
        </w:rPr>
        <w:t>、</w:t>
      </w:r>
      <w:r w:rsidRPr="003175DC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(一)</w:t>
      </w:r>
      <w:r>
        <w:rPr>
          <w:rFonts w:ascii="標楷體" w:eastAsia="標楷體" w:hAnsi="標楷體" w:hint="eastAsia"/>
          <w:color w:val="000000"/>
        </w:rPr>
        <w:t>本系</w:t>
      </w:r>
      <w:r w:rsidRPr="00336216">
        <w:rPr>
          <w:rFonts w:ascii="標楷體" w:eastAsia="標楷體" w:hAnsi="標楷體" w:hint="eastAsia"/>
          <w:color w:val="000000"/>
        </w:rPr>
        <w:t>專業選修實習課程至少應修2門。</w:t>
      </w:r>
    </w:p>
    <w:p w:rsidR="008A2C7E" w:rsidRPr="00336216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(二)非本系開設之專業選修</w:t>
      </w:r>
      <w:r w:rsidRPr="00F14235">
        <w:rPr>
          <w:rFonts w:ascii="標楷體" w:eastAsia="標楷體" w:hAnsi="標楷體" w:hint="eastAsia"/>
          <w:color w:val="000000"/>
        </w:rPr>
        <w:t>課程</w:t>
      </w:r>
      <w:r>
        <w:rPr>
          <w:rFonts w:ascii="標楷體" w:eastAsia="標楷體" w:hAnsi="標楷體" w:hint="eastAsia"/>
          <w:color w:val="000000"/>
        </w:rPr>
        <w:t>可承認9學分。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三</w:t>
      </w:r>
      <w:r w:rsidRPr="00336216">
        <w:rPr>
          <w:rFonts w:ascii="標楷體" w:eastAsia="標楷體" w:hAnsi="標楷體" w:hint="eastAsia"/>
          <w:color w:val="000000"/>
        </w:rPr>
        <w:t>)學程、檢定、證照等，依照學校規定辦法辦理。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 w:themeColor="text1"/>
        </w:rPr>
      </w:pPr>
      <w:r w:rsidRPr="00B93E7B">
        <w:rPr>
          <w:rFonts w:ascii="標楷體" w:eastAsia="標楷體" w:hAnsi="標楷體" w:hint="eastAsia"/>
          <w:color w:val="000000" w:themeColor="text1"/>
        </w:rPr>
        <w:t>(四)領域專業必修課程至少應修2門；第3門課修畢成績通過後，得依規定申請改列為專業選修學分。</w:t>
      </w:r>
    </w:p>
    <w:p w:rsidR="0007352E" w:rsidRDefault="0007352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 w:rsidRPr="0007352E">
        <w:rPr>
          <w:rFonts w:ascii="標楷體" w:eastAsia="標楷體" w:hAnsi="標楷體" w:hint="eastAsia"/>
          <w:color w:val="FF0000"/>
        </w:rPr>
        <w:t>(五)</w:t>
      </w:r>
      <w:r w:rsidRPr="0007352E">
        <w:rPr>
          <w:rFonts w:ascii="標楷體" w:eastAsia="標楷體" w:hAnsi="標楷體"/>
          <w:color w:val="FF0000"/>
        </w:rPr>
        <w:t>至少需完成</w:t>
      </w:r>
      <w:r w:rsidR="0013051D">
        <w:rPr>
          <w:rFonts w:ascii="標楷體" w:eastAsia="標楷體" w:hAnsi="標楷體" w:hint="eastAsia"/>
          <w:color w:val="FF0000"/>
        </w:rPr>
        <w:t>本</w:t>
      </w:r>
      <w:r w:rsidRPr="0007352E">
        <w:rPr>
          <w:rFonts w:ascii="標楷體" w:eastAsia="標楷體" w:hAnsi="標楷體" w:hint="eastAsia"/>
          <w:color w:val="FF0000"/>
        </w:rPr>
        <w:t>系</w:t>
      </w:r>
      <w:r w:rsidRPr="0007352E">
        <w:rPr>
          <w:rFonts w:ascii="標楷體" w:eastAsia="標楷體" w:hAnsi="標楷體"/>
          <w:color w:val="FF0000"/>
        </w:rPr>
        <w:t>任一種</w:t>
      </w:r>
      <w:r w:rsidRPr="0007352E">
        <w:rPr>
          <w:rFonts w:ascii="標楷體" w:eastAsia="標楷體" w:hAnsi="標楷體" w:hint="eastAsia"/>
          <w:color w:val="FF0000"/>
        </w:rPr>
        <w:t>特色</w:t>
      </w:r>
      <w:r w:rsidRPr="0007352E">
        <w:rPr>
          <w:rFonts w:ascii="標楷體" w:eastAsia="標楷體" w:hAnsi="標楷體"/>
          <w:color w:val="FF0000"/>
        </w:rPr>
        <w:t>學程之修讀並取得學程證明，始得畢業。</w:t>
      </w:r>
    </w:p>
    <w:p w:rsidR="00836323" w:rsidRDefault="00836323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(六)</w:t>
      </w:r>
      <w:r w:rsidRPr="00836323">
        <w:rPr>
          <w:rFonts w:ascii="標楷體" w:eastAsia="標楷體" w:hAnsi="標楷體" w:hint="eastAsia"/>
          <w:color w:val="FF0000"/>
        </w:rPr>
        <w:t>加註 * 本課程視高中職端需求開課，本系大學部學生不得修選。</w:t>
      </w:r>
    </w:p>
    <w:p w:rsidR="008A2C7E" w:rsidRDefault="008A2C7E" w:rsidP="008A2C7E">
      <w:pPr>
        <w:widowControl/>
        <w:rPr>
          <w:rFonts w:ascii="標楷體" w:eastAsia="標楷體" w:hAnsi="標楷體"/>
          <w:color w:val="000000"/>
        </w:rPr>
      </w:pPr>
    </w:p>
    <w:p w:rsidR="00365F67" w:rsidRPr="008A2C7E" w:rsidRDefault="00365F67" w:rsidP="00365F67">
      <w:pPr>
        <w:widowControl/>
        <w:rPr>
          <w:rFonts w:ascii="標楷體" w:eastAsia="標楷體" w:hAnsi="標楷體"/>
          <w:color w:val="000000"/>
        </w:rPr>
      </w:pPr>
    </w:p>
    <w:p w:rsidR="004435EB" w:rsidRDefault="004435EB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E00FF4" w:rsidRPr="003A7151" w:rsidRDefault="00F962D9" w:rsidP="00E00FF4">
      <w:pPr>
        <w:snapToGrid w:val="0"/>
        <w:spacing w:line="0" w:lineRule="atLeast"/>
        <w:jc w:val="center"/>
        <w:rPr>
          <w:rFonts w:eastAsia="標楷體"/>
          <w:color w:val="000000" w:themeColor="text1"/>
        </w:rPr>
      </w:pPr>
      <w:hyperlink w:anchor="本校系科所課程結構規劃表" w:history="1">
        <w:r w:rsidR="00E00FF4" w:rsidRPr="003A7151">
          <w:rPr>
            <w:rStyle w:val="a3"/>
            <w:rFonts w:eastAsia="標楷體"/>
            <w:color w:val="000000" w:themeColor="text1"/>
          </w:rPr>
          <w:t>電機工程系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00FF4" w:rsidRPr="003A7151">
          <w:rPr>
            <w:rStyle w:val="a3"/>
            <w:rFonts w:eastAsia="標楷體"/>
            <w:b/>
            <w:color w:val="000000" w:themeColor="text1"/>
          </w:rPr>
          <w:t>進</w:t>
        </w:r>
        <w:r w:rsidR="00E00FF4" w:rsidRPr="003A7151">
          <w:rPr>
            <w:rStyle w:val="a3"/>
            <w:rFonts w:eastAsia="標楷體"/>
            <w:color w:val="000000" w:themeColor="text1"/>
          </w:rPr>
          <w:t>四技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84535">
          <w:rPr>
            <w:rStyle w:val="a3"/>
            <w:rFonts w:eastAsia="標楷體" w:hint="eastAsia"/>
            <w:color w:val="000000" w:themeColor="text1"/>
          </w:rPr>
          <w:t>110</w:t>
        </w:r>
        <w:r w:rsidR="00E00FF4" w:rsidRPr="003A7151">
          <w:rPr>
            <w:rStyle w:val="a3"/>
            <w:rFonts w:eastAsia="標楷體"/>
            <w:color w:val="000000" w:themeColor="text1"/>
          </w:rPr>
          <w:t>學年度入學課程結構規劃表</w:t>
        </w:r>
      </w:hyperlink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684"/>
        <w:gridCol w:w="1541"/>
        <w:gridCol w:w="1180"/>
        <w:gridCol w:w="970"/>
        <w:gridCol w:w="239"/>
        <w:gridCol w:w="257"/>
        <w:gridCol w:w="954"/>
        <w:gridCol w:w="239"/>
        <w:gridCol w:w="257"/>
        <w:gridCol w:w="976"/>
        <w:gridCol w:w="239"/>
        <w:gridCol w:w="257"/>
        <w:gridCol w:w="945"/>
        <w:gridCol w:w="239"/>
        <w:gridCol w:w="257"/>
        <w:gridCol w:w="885"/>
        <w:gridCol w:w="261"/>
        <w:gridCol w:w="257"/>
        <w:gridCol w:w="851"/>
        <w:gridCol w:w="261"/>
        <w:gridCol w:w="276"/>
        <w:gridCol w:w="904"/>
        <w:gridCol w:w="239"/>
        <w:gridCol w:w="257"/>
        <w:gridCol w:w="876"/>
        <w:gridCol w:w="261"/>
        <w:gridCol w:w="257"/>
      </w:tblGrid>
      <w:tr w:rsidR="004753F3" w:rsidRPr="004753F3" w:rsidTr="00FE66C4">
        <w:trPr>
          <w:trHeight w:val="340"/>
          <w:tblHeader/>
        </w:trPr>
        <w:tc>
          <w:tcPr>
            <w:tcW w:w="1364" w:type="pct"/>
            <w:gridSpan w:val="4"/>
            <w:vMerge w:val="restart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課程類別</w:t>
            </w:r>
          </w:p>
        </w:tc>
        <w:tc>
          <w:tcPr>
            <w:tcW w:w="929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一年級</w:t>
            </w:r>
          </w:p>
        </w:tc>
        <w:tc>
          <w:tcPr>
            <w:tcW w:w="928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二年級</w:t>
            </w:r>
          </w:p>
        </w:tc>
        <w:tc>
          <w:tcPr>
            <w:tcW w:w="889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三年級</w:t>
            </w:r>
          </w:p>
        </w:tc>
        <w:tc>
          <w:tcPr>
            <w:tcW w:w="890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四年級</w:t>
            </w:r>
          </w:p>
        </w:tc>
      </w:tr>
      <w:tr w:rsidR="004753F3" w:rsidRPr="004753F3" w:rsidTr="00FE66C4">
        <w:trPr>
          <w:trHeight w:val="340"/>
          <w:tblHeader/>
        </w:trPr>
        <w:tc>
          <w:tcPr>
            <w:tcW w:w="1364" w:type="pct"/>
            <w:gridSpan w:val="4"/>
            <w:vMerge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467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62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69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7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2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6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4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</w:tr>
      <w:tr w:rsidR="004753F3" w:rsidRPr="004753F3" w:rsidTr="00B70000">
        <w:trPr>
          <w:trHeight w:val="680"/>
          <w:tblHeader/>
        </w:trPr>
        <w:tc>
          <w:tcPr>
            <w:tcW w:w="1364" w:type="pct"/>
            <w:gridSpan w:val="4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 w:val="restar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校共同必修課程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四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通識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博雅通識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trike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美感與人文素養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  <w:p w:rsidR="004E73F6" w:rsidRPr="004753F3" w:rsidRDefault="00BC310D" w:rsidP="00A51FFD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4753F3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科技與環境永續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社會與知識經濟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歷史與多元思維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全球與未來趨勢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5B3174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8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跨課群認列</w:t>
            </w: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4753F3" w:rsidRPr="004753F3" w:rsidTr="00B70000">
        <w:trPr>
          <w:trHeight w:val="526"/>
        </w:trPr>
        <w:tc>
          <w:tcPr>
            <w:tcW w:w="279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 w:hint="eastAsia"/>
                <w:kern w:val="0"/>
              </w:rPr>
              <w:t>系專業課程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必修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系專業必修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59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微處理機暨實習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技術專題(一)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電機機械實習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30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自動控制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98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left" w:pos="816"/>
                <w:tab w:val="right" w:pos="1440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625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</w:p>
        </w:tc>
        <w:tc>
          <w:tcPr>
            <w:tcW w:w="376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資料結構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選修</w:t>
            </w:r>
          </w:p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一般領域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4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網路資源與應用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線性代數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圖控程式語言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工程科技英文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526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微處理機應用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最佳化原理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工程倫理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工程機率與統計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電磁學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專利師培訓課程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計算機輔助電路分析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33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電力領域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電機應用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能源經濟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電能管理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電力監控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70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積體電路應用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應用電子學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電力系統計算機分析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固態電源供應器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01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utoSpaceDE w:val="0"/>
              <w:autoSpaceDN w:val="0"/>
              <w:adjustRightIn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電路理論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特殊電機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馬達固態驅動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綠色電能轉換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工業配電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捷運機電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發變電工程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圖形監控設計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電力系統分析</w:t>
            </w: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16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線性系統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控制系統設計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伺服控制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信號與系統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數位信號處理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光電系統設計3/3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59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照明設計</w:t>
            </w: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00"/>
        </w:trPr>
        <w:tc>
          <w:tcPr>
            <w:tcW w:w="279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電信概論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計算機結構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接取網路技術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無線網路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Linux系統與程式設計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dstrike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作業系統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計算機網路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通訊系統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1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資料庫系統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物聯網應用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人工智慧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B1EE4">
        <w:trPr>
          <w:trHeight w:hRule="exact" w:val="500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JAVA程式設計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機器學習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資訊安全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27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Python程式設計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雲端計算概論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33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94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346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實習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能源資源暨網路實習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電子電路應用暨實習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接取網路技術暨實習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電力系統模擬暨實習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電腦視覺暨實習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525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網際網路應用暨實習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電力電子分析暨實習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bCs/>
                <w:sz w:val="16"/>
                <w:szCs w:val="16"/>
              </w:rPr>
              <w:t>機器人控制暨實習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708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電腦輔助邏輯電路解析暨實習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順序控制暨實習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固態轉換器暨實習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MATLAB工程實務應用暨實習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積體電路應用暨實習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:rsidR="00E00FF4" w:rsidRPr="004C0F11" w:rsidRDefault="00E00FF4" w:rsidP="00E00FF4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4C0F11">
        <w:rPr>
          <w:rFonts w:ascii="標楷體" w:eastAsia="標楷體" w:hAnsi="標楷體"/>
          <w:b/>
          <w:bCs/>
          <w:color w:val="000000"/>
        </w:rPr>
        <w:t>備註：</w:t>
      </w:r>
    </w:p>
    <w:p w:rsidR="00E00FF4" w:rsidRPr="00580A68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lastRenderedPageBreak/>
        <w:t>一、畢業總學分數為 128 學分。</w:t>
      </w:r>
    </w:p>
    <w:p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二、</w:t>
      </w:r>
      <w:r w:rsidRPr="00B93E7B">
        <w:rPr>
          <w:rFonts w:ascii="標楷體" w:eastAsia="標楷體" w:hAnsi="標楷體"/>
          <w:color w:val="000000" w:themeColor="text1"/>
        </w:rPr>
        <w:t xml:space="preserve">必修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59</w:t>
      </w:r>
      <w:r w:rsidRPr="00B93E7B">
        <w:rPr>
          <w:rFonts w:ascii="標楷體" w:eastAsia="標楷體" w:hAnsi="標楷體"/>
          <w:color w:val="000000" w:themeColor="text1"/>
        </w:rPr>
        <w:t xml:space="preserve"> 學分，選修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49</w:t>
      </w:r>
      <w:r w:rsidRPr="00B93E7B">
        <w:rPr>
          <w:rFonts w:ascii="標楷體" w:eastAsia="標楷體" w:hAnsi="標楷體"/>
          <w:color w:val="000000" w:themeColor="text1"/>
        </w:rPr>
        <w:t xml:space="preserve"> 學</w:t>
      </w:r>
      <w:r w:rsidRPr="004C0F11">
        <w:rPr>
          <w:rFonts w:ascii="標楷體" w:eastAsia="標楷體" w:hAnsi="標楷體"/>
          <w:color w:val="000000"/>
        </w:rPr>
        <w:t>分。（不含校共同必修課程及通識課程的學分數）</w:t>
      </w:r>
    </w:p>
    <w:p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三、校共同必修課程及通識課程20學分；相關規定依據本校「共同教育課程實施辦法」、「共同教育課程結構規劃表」及「語言教學實施要點」。</w:t>
      </w:r>
    </w:p>
    <w:p w:rsidR="00E00FF4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四、學生修讀所屬學院之「學院共同課程」應認列為本系專業課程學分；修讀所屬學院之「學院跨領域課程」或其他學院開課之課程，則認列為外系課程學分。</w:t>
      </w:r>
    </w:p>
    <w:p w:rsidR="00E00FF4" w:rsidRPr="004C0F11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</w:t>
      </w:r>
      <w:r w:rsidRPr="004C0F11">
        <w:rPr>
          <w:rFonts w:ascii="標楷體" w:eastAsia="標楷體" w:hAnsi="標楷體"/>
          <w:color w:val="000000"/>
        </w:rPr>
        <w:t>、系所訂定條件（學程、檢定、證照、承認外系學分及其他）：</w:t>
      </w:r>
    </w:p>
    <w:p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/>
          <w:color w:val="000000" w:themeColor="text1"/>
        </w:rPr>
        <w:t>(</w:t>
      </w:r>
      <w:r w:rsidRPr="00F14235">
        <w:rPr>
          <w:rFonts w:eastAsia="標楷體"/>
          <w:color w:val="000000" w:themeColor="text1"/>
        </w:rPr>
        <w:t>一</w:t>
      </w:r>
      <w:r w:rsidRPr="00F14235">
        <w:rPr>
          <w:rFonts w:eastAsia="標楷體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表列者為預訂科目，將依各學期實際需求開課</w:t>
      </w:r>
      <w:r w:rsidRPr="00F14235">
        <w:rPr>
          <w:rFonts w:eastAsia="標楷體"/>
          <w:color w:val="000000" w:themeColor="text1"/>
        </w:rPr>
        <w:t>。</w:t>
      </w:r>
    </w:p>
    <w:p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二</w:t>
      </w:r>
      <w:r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非本系開設之專業選修課程可承認</w:t>
      </w:r>
      <w:r w:rsidRPr="00F14235">
        <w:rPr>
          <w:rFonts w:eastAsia="標楷體" w:hint="eastAsia"/>
          <w:color w:val="000000" w:themeColor="text1"/>
        </w:rPr>
        <w:t>9</w:t>
      </w:r>
      <w:r w:rsidRPr="00F14235">
        <w:rPr>
          <w:rFonts w:eastAsia="標楷體" w:hint="eastAsia"/>
          <w:color w:val="000000" w:themeColor="text1"/>
        </w:rPr>
        <w:t>學分。</w:t>
      </w: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非通識中心開設之課程</w:t>
      </w:r>
      <w:r w:rsidRPr="00F14235">
        <w:rPr>
          <w:rFonts w:eastAsia="標楷體" w:hint="eastAsia"/>
          <w:color w:val="000000" w:themeColor="text1"/>
        </w:rPr>
        <w:t>)</w:t>
      </w:r>
    </w:p>
    <w:p w:rsidR="00453FAB" w:rsidRDefault="00E00FF4" w:rsidP="00B70000">
      <w:pPr>
        <w:snapToGrid w:val="0"/>
        <w:spacing w:line="0" w:lineRule="atLeast"/>
        <w:ind w:leftChars="300" w:left="720" w:firstLineChars="200" w:firstLine="480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</w:t>
      </w:r>
      <w:r w:rsidRPr="00F14235">
        <w:rPr>
          <w:rFonts w:eastAsia="標楷體" w:hint="eastAsia"/>
          <w:color w:val="000000" w:themeColor="text1"/>
        </w:rPr>
        <w:t>(</w:t>
      </w:r>
      <w:r>
        <w:rPr>
          <w:rFonts w:eastAsia="標楷體" w:hint="eastAsia"/>
          <w:color w:val="000000" w:themeColor="text1"/>
        </w:rPr>
        <w:t>三</w:t>
      </w:r>
      <w:r w:rsidRPr="00F14235"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學程、檢定、證照等，依照學校規定辦法辦理。</w:t>
      </w:r>
    </w:p>
    <w:p w:rsidR="00F75E90" w:rsidRPr="00F75E90" w:rsidRDefault="00F75E90" w:rsidP="00EA0456">
      <w:pPr>
        <w:widowControl/>
        <w:rPr>
          <w:rFonts w:eastAsia="標楷體" w:hint="eastAsia"/>
          <w:color w:val="000000" w:themeColor="text1"/>
        </w:rPr>
      </w:pPr>
      <w:bookmarkStart w:id="1" w:name="_GoBack"/>
      <w:bookmarkEnd w:id="1"/>
    </w:p>
    <w:sectPr w:rsidR="00F75E90" w:rsidRPr="00F75E90" w:rsidSect="00103F6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D9" w:rsidRDefault="00F962D9" w:rsidP="00BC2124">
      <w:r>
        <w:separator/>
      </w:r>
    </w:p>
  </w:endnote>
  <w:endnote w:type="continuationSeparator" w:id="0">
    <w:p w:rsidR="00F962D9" w:rsidRDefault="00F962D9" w:rsidP="00B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D9" w:rsidRDefault="00F962D9" w:rsidP="00BC2124">
      <w:r>
        <w:separator/>
      </w:r>
    </w:p>
  </w:footnote>
  <w:footnote w:type="continuationSeparator" w:id="0">
    <w:p w:rsidR="00F962D9" w:rsidRDefault="00F962D9" w:rsidP="00BC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8CE"/>
    <w:multiLevelType w:val="hybridMultilevel"/>
    <w:tmpl w:val="B0BEF09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D639E0"/>
    <w:multiLevelType w:val="hybridMultilevel"/>
    <w:tmpl w:val="6F6274EC"/>
    <w:lvl w:ilvl="0" w:tplc="0A8AA2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mailMerge>
    <w:mainDocumentType w:val="formLetters"/>
    <w:linkToQuery/>
    <w:dataType w:val="textFile"/>
    <w:query w:val="SELECT * FROM C:\Users\user\Desktop\107電機系課程結構規劃表(只改博碩).docx"/>
    <w:activeRecord w:val="-1"/>
    <w:odso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4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B6"/>
    <w:rsid w:val="000013D7"/>
    <w:rsid w:val="00001CF0"/>
    <w:rsid w:val="0000751D"/>
    <w:rsid w:val="000110A9"/>
    <w:rsid w:val="00011F00"/>
    <w:rsid w:val="0001290A"/>
    <w:rsid w:val="000131A8"/>
    <w:rsid w:val="000153C9"/>
    <w:rsid w:val="000166DE"/>
    <w:rsid w:val="00017A85"/>
    <w:rsid w:val="00020768"/>
    <w:rsid w:val="000232E3"/>
    <w:rsid w:val="000253AD"/>
    <w:rsid w:val="00027290"/>
    <w:rsid w:val="000346FA"/>
    <w:rsid w:val="000601CE"/>
    <w:rsid w:val="00063DCB"/>
    <w:rsid w:val="0007352E"/>
    <w:rsid w:val="000772E3"/>
    <w:rsid w:val="00080F0A"/>
    <w:rsid w:val="000843C2"/>
    <w:rsid w:val="00085066"/>
    <w:rsid w:val="000B23CE"/>
    <w:rsid w:val="000C0D24"/>
    <w:rsid w:val="000C1437"/>
    <w:rsid w:val="000C16C1"/>
    <w:rsid w:val="000C3E7B"/>
    <w:rsid w:val="000C3E92"/>
    <w:rsid w:val="000C402B"/>
    <w:rsid w:val="000C52C3"/>
    <w:rsid w:val="000C6768"/>
    <w:rsid w:val="000D4DD3"/>
    <w:rsid w:val="000D7B09"/>
    <w:rsid w:val="000E4CE8"/>
    <w:rsid w:val="000E7810"/>
    <w:rsid w:val="000F0FBD"/>
    <w:rsid w:val="00101EED"/>
    <w:rsid w:val="00103F6C"/>
    <w:rsid w:val="001047F4"/>
    <w:rsid w:val="00116B69"/>
    <w:rsid w:val="00120EF8"/>
    <w:rsid w:val="0013051D"/>
    <w:rsid w:val="00137F5A"/>
    <w:rsid w:val="0014562B"/>
    <w:rsid w:val="0014732C"/>
    <w:rsid w:val="00164CDC"/>
    <w:rsid w:val="00172ED3"/>
    <w:rsid w:val="00176E7F"/>
    <w:rsid w:val="001800EF"/>
    <w:rsid w:val="00181659"/>
    <w:rsid w:val="00184DEB"/>
    <w:rsid w:val="001B0F4E"/>
    <w:rsid w:val="001B14C9"/>
    <w:rsid w:val="001C6AD2"/>
    <w:rsid w:val="001D22D6"/>
    <w:rsid w:val="001D2369"/>
    <w:rsid w:val="001D3FC7"/>
    <w:rsid w:val="001E56F9"/>
    <w:rsid w:val="001F0060"/>
    <w:rsid w:val="001F12FE"/>
    <w:rsid w:val="001F28F0"/>
    <w:rsid w:val="001F75C4"/>
    <w:rsid w:val="00202E6B"/>
    <w:rsid w:val="00203CFA"/>
    <w:rsid w:val="00206733"/>
    <w:rsid w:val="00220599"/>
    <w:rsid w:val="00223829"/>
    <w:rsid w:val="002319CF"/>
    <w:rsid w:val="00233CFF"/>
    <w:rsid w:val="00233E6C"/>
    <w:rsid w:val="00237A30"/>
    <w:rsid w:val="00257EAE"/>
    <w:rsid w:val="00261698"/>
    <w:rsid w:val="00262A65"/>
    <w:rsid w:val="00273368"/>
    <w:rsid w:val="00275B54"/>
    <w:rsid w:val="002770B4"/>
    <w:rsid w:val="00286EB7"/>
    <w:rsid w:val="00290A63"/>
    <w:rsid w:val="00292E18"/>
    <w:rsid w:val="00293BA6"/>
    <w:rsid w:val="00296FFB"/>
    <w:rsid w:val="002A4AA8"/>
    <w:rsid w:val="002A4AAE"/>
    <w:rsid w:val="002A52F1"/>
    <w:rsid w:val="002B1831"/>
    <w:rsid w:val="002B1B43"/>
    <w:rsid w:val="002C2DC0"/>
    <w:rsid w:val="002D1A7A"/>
    <w:rsid w:val="002D1E4B"/>
    <w:rsid w:val="002D23B6"/>
    <w:rsid w:val="002D7DF8"/>
    <w:rsid w:val="002E0622"/>
    <w:rsid w:val="002E2A27"/>
    <w:rsid w:val="002E4678"/>
    <w:rsid w:val="002E5F4A"/>
    <w:rsid w:val="002E5F81"/>
    <w:rsid w:val="002E6E50"/>
    <w:rsid w:val="002E7540"/>
    <w:rsid w:val="002F112D"/>
    <w:rsid w:val="002F1D79"/>
    <w:rsid w:val="002F49E5"/>
    <w:rsid w:val="002F56E3"/>
    <w:rsid w:val="00302D77"/>
    <w:rsid w:val="00305720"/>
    <w:rsid w:val="003079D8"/>
    <w:rsid w:val="00336216"/>
    <w:rsid w:val="00336847"/>
    <w:rsid w:val="00341536"/>
    <w:rsid w:val="0034514B"/>
    <w:rsid w:val="00345F1A"/>
    <w:rsid w:val="00357F04"/>
    <w:rsid w:val="003647E4"/>
    <w:rsid w:val="00365F67"/>
    <w:rsid w:val="00373B4E"/>
    <w:rsid w:val="0037656B"/>
    <w:rsid w:val="00377299"/>
    <w:rsid w:val="0037765B"/>
    <w:rsid w:val="00377F07"/>
    <w:rsid w:val="00386592"/>
    <w:rsid w:val="00390E39"/>
    <w:rsid w:val="0039554E"/>
    <w:rsid w:val="0039672A"/>
    <w:rsid w:val="003A4972"/>
    <w:rsid w:val="003A6DD6"/>
    <w:rsid w:val="003B3DDF"/>
    <w:rsid w:val="003C1DD7"/>
    <w:rsid w:val="003C2AB7"/>
    <w:rsid w:val="003E0D7C"/>
    <w:rsid w:val="003E4A06"/>
    <w:rsid w:val="003E62DB"/>
    <w:rsid w:val="003E692D"/>
    <w:rsid w:val="003F7B91"/>
    <w:rsid w:val="00435AC3"/>
    <w:rsid w:val="00441AAB"/>
    <w:rsid w:val="004435EB"/>
    <w:rsid w:val="0044680A"/>
    <w:rsid w:val="00453FAB"/>
    <w:rsid w:val="00457B40"/>
    <w:rsid w:val="00467BDD"/>
    <w:rsid w:val="004753F3"/>
    <w:rsid w:val="004825E7"/>
    <w:rsid w:val="004A2DAF"/>
    <w:rsid w:val="004A6683"/>
    <w:rsid w:val="004A6D15"/>
    <w:rsid w:val="004A7924"/>
    <w:rsid w:val="004B3A89"/>
    <w:rsid w:val="004B7445"/>
    <w:rsid w:val="004C0F11"/>
    <w:rsid w:val="004C2CA6"/>
    <w:rsid w:val="004C4351"/>
    <w:rsid w:val="004D063E"/>
    <w:rsid w:val="004D5E19"/>
    <w:rsid w:val="004E487B"/>
    <w:rsid w:val="004E5EFF"/>
    <w:rsid w:val="004E6FEA"/>
    <w:rsid w:val="004E73F6"/>
    <w:rsid w:val="004E7748"/>
    <w:rsid w:val="004F3C01"/>
    <w:rsid w:val="004F4BB9"/>
    <w:rsid w:val="004F7D24"/>
    <w:rsid w:val="00502EC9"/>
    <w:rsid w:val="00506245"/>
    <w:rsid w:val="005071C9"/>
    <w:rsid w:val="005119B7"/>
    <w:rsid w:val="00523C70"/>
    <w:rsid w:val="00524AE0"/>
    <w:rsid w:val="005317FA"/>
    <w:rsid w:val="005420B7"/>
    <w:rsid w:val="00542B74"/>
    <w:rsid w:val="00544559"/>
    <w:rsid w:val="00552546"/>
    <w:rsid w:val="00552EA0"/>
    <w:rsid w:val="00554E96"/>
    <w:rsid w:val="00557242"/>
    <w:rsid w:val="00563060"/>
    <w:rsid w:val="00563407"/>
    <w:rsid w:val="00565894"/>
    <w:rsid w:val="00576862"/>
    <w:rsid w:val="005777EC"/>
    <w:rsid w:val="00580A68"/>
    <w:rsid w:val="00580D34"/>
    <w:rsid w:val="00581DF4"/>
    <w:rsid w:val="00584913"/>
    <w:rsid w:val="00585A31"/>
    <w:rsid w:val="0059199F"/>
    <w:rsid w:val="00592186"/>
    <w:rsid w:val="005A05C7"/>
    <w:rsid w:val="005A6D42"/>
    <w:rsid w:val="005B1C24"/>
    <w:rsid w:val="005B3174"/>
    <w:rsid w:val="005B7B3E"/>
    <w:rsid w:val="005C1A6E"/>
    <w:rsid w:val="005D189C"/>
    <w:rsid w:val="005E2255"/>
    <w:rsid w:val="005E7C68"/>
    <w:rsid w:val="005F1ADB"/>
    <w:rsid w:val="00602D20"/>
    <w:rsid w:val="00605B70"/>
    <w:rsid w:val="0061376D"/>
    <w:rsid w:val="00614FD3"/>
    <w:rsid w:val="00617A57"/>
    <w:rsid w:val="0062191A"/>
    <w:rsid w:val="00625BEF"/>
    <w:rsid w:val="00626A71"/>
    <w:rsid w:val="00632B3E"/>
    <w:rsid w:val="00641962"/>
    <w:rsid w:val="00642964"/>
    <w:rsid w:val="0064749F"/>
    <w:rsid w:val="006537B5"/>
    <w:rsid w:val="00655B24"/>
    <w:rsid w:val="00660630"/>
    <w:rsid w:val="00670690"/>
    <w:rsid w:val="00673E21"/>
    <w:rsid w:val="0068144F"/>
    <w:rsid w:val="0069409B"/>
    <w:rsid w:val="006A4C27"/>
    <w:rsid w:val="006B2AA3"/>
    <w:rsid w:val="006B59E6"/>
    <w:rsid w:val="006C4CE1"/>
    <w:rsid w:val="006C52BF"/>
    <w:rsid w:val="006C54D2"/>
    <w:rsid w:val="006D1650"/>
    <w:rsid w:val="006D64E4"/>
    <w:rsid w:val="006E022F"/>
    <w:rsid w:val="006E7C7B"/>
    <w:rsid w:val="006F0AAA"/>
    <w:rsid w:val="006F122B"/>
    <w:rsid w:val="006F62F9"/>
    <w:rsid w:val="007035FD"/>
    <w:rsid w:val="00710635"/>
    <w:rsid w:val="007112EA"/>
    <w:rsid w:val="00717E20"/>
    <w:rsid w:val="00720CC1"/>
    <w:rsid w:val="00727F6C"/>
    <w:rsid w:val="007507EF"/>
    <w:rsid w:val="00750FD0"/>
    <w:rsid w:val="007522FD"/>
    <w:rsid w:val="00753E0D"/>
    <w:rsid w:val="007551B4"/>
    <w:rsid w:val="00760C01"/>
    <w:rsid w:val="00766F47"/>
    <w:rsid w:val="00784803"/>
    <w:rsid w:val="00784C2D"/>
    <w:rsid w:val="00790CD0"/>
    <w:rsid w:val="007A3FEA"/>
    <w:rsid w:val="007B155C"/>
    <w:rsid w:val="007B1624"/>
    <w:rsid w:val="007B693F"/>
    <w:rsid w:val="007C1FD4"/>
    <w:rsid w:val="007D2A6D"/>
    <w:rsid w:val="007D2A93"/>
    <w:rsid w:val="007D6631"/>
    <w:rsid w:val="007F5400"/>
    <w:rsid w:val="007F570C"/>
    <w:rsid w:val="007F7023"/>
    <w:rsid w:val="00801923"/>
    <w:rsid w:val="00806D25"/>
    <w:rsid w:val="00807DD4"/>
    <w:rsid w:val="0081676E"/>
    <w:rsid w:val="00826125"/>
    <w:rsid w:val="00830BDF"/>
    <w:rsid w:val="00831CFE"/>
    <w:rsid w:val="00836323"/>
    <w:rsid w:val="00842ED4"/>
    <w:rsid w:val="0084401C"/>
    <w:rsid w:val="00844878"/>
    <w:rsid w:val="00851A6E"/>
    <w:rsid w:val="0085367C"/>
    <w:rsid w:val="008544BA"/>
    <w:rsid w:val="00855F6B"/>
    <w:rsid w:val="0085603C"/>
    <w:rsid w:val="00861B7A"/>
    <w:rsid w:val="00864CFA"/>
    <w:rsid w:val="00865D48"/>
    <w:rsid w:val="00867DD2"/>
    <w:rsid w:val="00870410"/>
    <w:rsid w:val="00870F7E"/>
    <w:rsid w:val="00871E7A"/>
    <w:rsid w:val="008721DB"/>
    <w:rsid w:val="008753CC"/>
    <w:rsid w:val="00886F15"/>
    <w:rsid w:val="00892D60"/>
    <w:rsid w:val="008965D0"/>
    <w:rsid w:val="008A1621"/>
    <w:rsid w:val="008A2C7E"/>
    <w:rsid w:val="008A2F43"/>
    <w:rsid w:val="008B0C05"/>
    <w:rsid w:val="008B0EA4"/>
    <w:rsid w:val="008B3FA4"/>
    <w:rsid w:val="008C13C9"/>
    <w:rsid w:val="008C2BBD"/>
    <w:rsid w:val="008C3208"/>
    <w:rsid w:val="008D18EA"/>
    <w:rsid w:val="008D3452"/>
    <w:rsid w:val="008D40FF"/>
    <w:rsid w:val="008D4CFB"/>
    <w:rsid w:val="008D7739"/>
    <w:rsid w:val="008E6EE3"/>
    <w:rsid w:val="008F40A6"/>
    <w:rsid w:val="008F5776"/>
    <w:rsid w:val="00900A13"/>
    <w:rsid w:val="0090393D"/>
    <w:rsid w:val="0090561C"/>
    <w:rsid w:val="009139F3"/>
    <w:rsid w:val="00921E5A"/>
    <w:rsid w:val="00922B63"/>
    <w:rsid w:val="009242AE"/>
    <w:rsid w:val="00947A70"/>
    <w:rsid w:val="00950F3A"/>
    <w:rsid w:val="00951F9C"/>
    <w:rsid w:val="0095243B"/>
    <w:rsid w:val="009524C4"/>
    <w:rsid w:val="0095661F"/>
    <w:rsid w:val="00960DBA"/>
    <w:rsid w:val="00962351"/>
    <w:rsid w:val="009623A7"/>
    <w:rsid w:val="00963F60"/>
    <w:rsid w:val="00967B16"/>
    <w:rsid w:val="00971235"/>
    <w:rsid w:val="00984BF2"/>
    <w:rsid w:val="00990667"/>
    <w:rsid w:val="009948EE"/>
    <w:rsid w:val="009952DB"/>
    <w:rsid w:val="009B4A8C"/>
    <w:rsid w:val="009B7E66"/>
    <w:rsid w:val="009C44F0"/>
    <w:rsid w:val="009C610C"/>
    <w:rsid w:val="009D1DD0"/>
    <w:rsid w:val="009D3AF8"/>
    <w:rsid w:val="009D54E4"/>
    <w:rsid w:val="009D6241"/>
    <w:rsid w:val="009E0F56"/>
    <w:rsid w:val="009F53C2"/>
    <w:rsid w:val="00A02AFA"/>
    <w:rsid w:val="00A06C9A"/>
    <w:rsid w:val="00A119FB"/>
    <w:rsid w:val="00A13ECF"/>
    <w:rsid w:val="00A1445B"/>
    <w:rsid w:val="00A213B4"/>
    <w:rsid w:val="00A51FFD"/>
    <w:rsid w:val="00A669C2"/>
    <w:rsid w:val="00A725A8"/>
    <w:rsid w:val="00A75407"/>
    <w:rsid w:val="00A83435"/>
    <w:rsid w:val="00A86CA6"/>
    <w:rsid w:val="00A93456"/>
    <w:rsid w:val="00A96409"/>
    <w:rsid w:val="00AA1FC6"/>
    <w:rsid w:val="00AA39A9"/>
    <w:rsid w:val="00AA5357"/>
    <w:rsid w:val="00AA625C"/>
    <w:rsid w:val="00AB6B7A"/>
    <w:rsid w:val="00AC1904"/>
    <w:rsid w:val="00AC6964"/>
    <w:rsid w:val="00AC6ED9"/>
    <w:rsid w:val="00AC7403"/>
    <w:rsid w:val="00AD14A0"/>
    <w:rsid w:val="00AD26B4"/>
    <w:rsid w:val="00AD7593"/>
    <w:rsid w:val="00AE47C9"/>
    <w:rsid w:val="00AE6A6C"/>
    <w:rsid w:val="00B03A8C"/>
    <w:rsid w:val="00B16189"/>
    <w:rsid w:val="00B1676E"/>
    <w:rsid w:val="00B214FD"/>
    <w:rsid w:val="00B21E5D"/>
    <w:rsid w:val="00B304F0"/>
    <w:rsid w:val="00B324B7"/>
    <w:rsid w:val="00B34676"/>
    <w:rsid w:val="00B45456"/>
    <w:rsid w:val="00B45C81"/>
    <w:rsid w:val="00B54049"/>
    <w:rsid w:val="00B55F66"/>
    <w:rsid w:val="00B61CC4"/>
    <w:rsid w:val="00B70000"/>
    <w:rsid w:val="00B70165"/>
    <w:rsid w:val="00B7490F"/>
    <w:rsid w:val="00B87EF6"/>
    <w:rsid w:val="00B903C1"/>
    <w:rsid w:val="00B915C8"/>
    <w:rsid w:val="00B92AAE"/>
    <w:rsid w:val="00B93E7B"/>
    <w:rsid w:val="00B95745"/>
    <w:rsid w:val="00B96D48"/>
    <w:rsid w:val="00BA3A65"/>
    <w:rsid w:val="00BA709B"/>
    <w:rsid w:val="00BB1EE4"/>
    <w:rsid w:val="00BB2963"/>
    <w:rsid w:val="00BB6D8C"/>
    <w:rsid w:val="00BC2124"/>
    <w:rsid w:val="00BC310D"/>
    <w:rsid w:val="00BC60C5"/>
    <w:rsid w:val="00BD1897"/>
    <w:rsid w:val="00BF39AA"/>
    <w:rsid w:val="00BF74CA"/>
    <w:rsid w:val="00C10FB9"/>
    <w:rsid w:val="00C224EB"/>
    <w:rsid w:val="00C2341F"/>
    <w:rsid w:val="00C244A0"/>
    <w:rsid w:val="00C26ED4"/>
    <w:rsid w:val="00C30B79"/>
    <w:rsid w:val="00C40E04"/>
    <w:rsid w:val="00C41293"/>
    <w:rsid w:val="00C4725F"/>
    <w:rsid w:val="00C55D96"/>
    <w:rsid w:val="00C56FE6"/>
    <w:rsid w:val="00C6034F"/>
    <w:rsid w:val="00C66BE2"/>
    <w:rsid w:val="00C71A78"/>
    <w:rsid w:val="00C746FE"/>
    <w:rsid w:val="00C85FB1"/>
    <w:rsid w:val="00C86146"/>
    <w:rsid w:val="00C93FBA"/>
    <w:rsid w:val="00C964E2"/>
    <w:rsid w:val="00CA3F0A"/>
    <w:rsid w:val="00CA7E3A"/>
    <w:rsid w:val="00CB5A86"/>
    <w:rsid w:val="00CC0DDE"/>
    <w:rsid w:val="00CC6DC5"/>
    <w:rsid w:val="00CD2F4A"/>
    <w:rsid w:val="00CE2368"/>
    <w:rsid w:val="00CE41C5"/>
    <w:rsid w:val="00CF4BCB"/>
    <w:rsid w:val="00CF54D0"/>
    <w:rsid w:val="00D029A7"/>
    <w:rsid w:val="00D0418C"/>
    <w:rsid w:val="00D154D4"/>
    <w:rsid w:val="00D210E3"/>
    <w:rsid w:val="00D23185"/>
    <w:rsid w:val="00D246A8"/>
    <w:rsid w:val="00D26866"/>
    <w:rsid w:val="00D27B87"/>
    <w:rsid w:val="00D33F34"/>
    <w:rsid w:val="00D45008"/>
    <w:rsid w:val="00D45880"/>
    <w:rsid w:val="00D55641"/>
    <w:rsid w:val="00D55A9F"/>
    <w:rsid w:val="00D57E27"/>
    <w:rsid w:val="00D6064E"/>
    <w:rsid w:val="00D671AC"/>
    <w:rsid w:val="00D80505"/>
    <w:rsid w:val="00D942BD"/>
    <w:rsid w:val="00D96154"/>
    <w:rsid w:val="00D96B96"/>
    <w:rsid w:val="00D97041"/>
    <w:rsid w:val="00DA40EB"/>
    <w:rsid w:val="00DC0AF0"/>
    <w:rsid w:val="00DC1E60"/>
    <w:rsid w:val="00DC2045"/>
    <w:rsid w:val="00DC276B"/>
    <w:rsid w:val="00DE44D6"/>
    <w:rsid w:val="00DE4F9E"/>
    <w:rsid w:val="00DE5AD9"/>
    <w:rsid w:val="00DF5901"/>
    <w:rsid w:val="00DF5B5F"/>
    <w:rsid w:val="00E00FF4"/>
    <w:rsid w:val="00E07D62"/>
    <w:rsid w:val="00E10C38"/>
    <w:rsid w:val="00E21632"/>
    <w:rsid w:val="00E32209"/>
    <w:rsid w:val="00E41D18"/>
    <w:rsid w:val="00E463A8"/>
    <w:rsid w:val="00E4674A"/>
    <w:rsid w:val="00E47A6C"/>
    <w:rsid w:val="00E51449"/>
    <w:rsid w:val="00E52302"/>
    <w:rsid w:val="00E56740"/>
    <w:rsid w:val="00E57FDF"/>
    <w:rsid w:val="00E63A91"/>
    <w:rsid w:val="00E805BF"/>
    <w:rsid w:val="00E80F2D"/>
    <w:rsid w:val="00E84535"/>
    <w:rsid w:val="00E93375"/>
    <w:rsid w:val="00E93BD8"/>
    <w:rsid w:val="00E93C1B"/>
    <w:rsid w:val="00EA0456"/>
    <w:rsid w:val="00EA0E2A"/>
    <w:rsid w:val="00EA2CEA"/>
    <w:rsid w:val="00EB606F"/>
    <w:rsid w:val="00EC001F"/>
    <w:rsid w:val="00ED2064"/>
    <w:rsid w:val="00ED74D7"/>
    <w:rsid w:val="00EE06B4"/>
    <w:rsid w:val="00EE12E7"/>
    <w:rsid w:val="00EE390D"/>
    <w:rsid w:val="00EE5BC9"/>
    <w:rsid w:val="00EE6DAE"/>
    <w:rsid w:val="00EF32B9"/>
    <w:rsid w:val="00EF3406"/>
    <w:rsid w:val="00EF780A"/>
    <w:rsid w:val="00F0793A"/>
    <w:rsid w:val="00F14235"/>
    <w:rsid w:val="00F16227"/>
    <w:rsid w:val="00F16997"/>
    <w:rsid w:val="00F478A9"/>
    <w:rsid w:val="00F55254"/>
    <w:rsid w:val="00F55386"/>
    <w:rsid w:val="00F61CC6"/>
    <w:rsid w:val="00F642B1"/>
    <w:rsid w:val="00F658F8"/>
    <w:rsid w:val="00F725D2"/>
    <w:rsid w:val="00F7272F"/>
    <w:rsid w:val="00F75E90"/>
    <w:rsid w:val="00F802FA"/>
    <w:rsid w:val="00F8158F"/>
    <w:rsid w:val="00F81FE5"/>
    <w:rsid w:val="00F85A86"/>
    <w:rsid w:val="00F962D9"/>
    <w:rsid w:val="00FB17BD"/>
    <w:rsid w:val="00FB3948"/>
    <w:rsid w:val="00FB7987"/>
    <w:rsid w:val="00FC11E6"/>
    <w:rsid w:val="00FD3975"/>
    <w:rsid w:val="00FE13B5"/>
    <w:rsid w:val="00FE66C4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4129"/>
    <o:shapelayout v:ext="edit">
      <o:idmap v:ext="edit" data="1"/>
    </o:shapelayout>
  </w:shapeDefaults>
  <w:decimalSymbol w:val="."/>
  <w:listSeparator w:val=","/>
  <w14:docId w14:val="5C60BCA4"/>
  <w15:docId w15:val="{8F9D6CAE-192B-4857-9EE0-0DA141EF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34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D23B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24E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96D4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a">
    <w:name w:val="List Paragraph"/>
    <w:basedOn w:val="a"/>
    <w:uiPriority w:val="34"/>
    <w:qFormat/>
    <w:rsid w:val="00E47A6C"/>
    <w:pPr>
      <w:ind w:leftChars="200" w:left="480"/>
    </w:pPr>
  </w:style>
  <w:style w:type="character" w:styleId="ab">
    <w:name w:val="Emphasis"/>
    <w:basedOn w:val="a0"/>
    <w:uiPriority w:val="20"/>
    <w:qFormat/>
    <w:rsid w:val="00BF74CA"/>
    <w:rPr>
      <w:i/>
      <w:iCs/>
    </w:rPr>
  </w:style>
  <w:style w:type="numbering" w:customStyle="1" w:styleId="1">
    <w:name w:val="無清單1"/>
    <w:next w:val="a2"/>
    <w:uiPriority w:val="99"/>
    <w:semiHidden/>
    <w:unhideWhenUsed/>
    <w:rsid w:val="00453FAB"/>
  </w:style>
  <w:style w:type="paragraph" w:styleId="ac">
    <w:name w:val="Body Text"/>
    <w:basedOn w:val="a"/>
    <w:link w:val="ad"/>
    <w:rsid w:val="00F75E90"/>
    <w:pPr>
      <w:widowControl/>
      <w:autoSpaceDE w:val="0"/>
      <w:autoSpaceDN w:val="0"/>
      <w:adjustRightInd w:val="0"/>
      <w:spacing w:line="240" w:lineRule="atLeast"/>
      <w:ind w:rightChars="-11" w:right="-26"/>
      <w:textAlignment w:val="bottom"/>
    </w:pPr>
    <w:rPr>
      <w:rFonts w:ascii="細明體" w:eastAsia="細明體"/>
      <w:kern w:val="0"/>
      <w:sz w:val="16"/>
      <w:szCs w:val="20"/>
    </w:rPr>
  </w:style>
  <w:style w:type="character" w:customStyle="1" w:styleId="ad">
    <w:name w:val="本文 字元"/>
    <w:basedOn w:val="a0"/>
    <w:link w:val="ac"/>
    <w:rsid w:val="00F75E90"/>
    <w:rPr>
      <w:rFonts w:ascii="細明體" w:eastAsia="細明體" w:hAnsi="Times New Roman" w:cs="Times New Roman"/>
      <w:kern w:val="0"/>
      <w:sz w:val="16"/>
      <w:szCs w:val="20"/>
    </w:rPr>
  </w:style>
  <w:style w:type="numbering" w:customStyle="1" w:styleId="2">
    <w:name w:val="無清單2"/>
    <w:next w:val="a2"/>
    <w:uiPriority w:val="99"/>
    <w:semiHidden/>
    <w:unhideWhenUsed/>
    <w:rsid w:val="00365F67"/>
  </w:style>
  <w:style w:type="numbering" w:customStyle="1" w:styleId="11">
    <w:name w:val="無清單11"/>
    <w:next w:val="a2"/>
    <w:uiPriority w:val="99"/>
    <w:semiHidden/>
    <w:unhideWhenUsed/>
    <w:rsid w:val="003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5E7A3-1D8F-4B4C-8CB9-57952DC4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USER</cp:lastModifiedBy>
  <cp:revision>2</cp:revision>
  <cp:lastPrinted>2021-03-29T03:38:00Z</cp:lastPrinted>
  <dcterms:created xsi:type="dcterms:W3CDTF">2021-07-26T02:44:00Z</dcterms:created>
  <dcterms:modified xsi:type="dcterms:W3CDTF">2021-07-26T02:44:00Z</dcterms:modified>
</cp:coreProperties>
</file>