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6"/>
          <w:szCs w:val="26"/>
        </w:rPr>
        <w:t xml:space="preserve">VtR Incorporated</w:t>
      </w:r>
    </w:p>
    <w:p>
      <w:pPr>
        <w:spacing w:after="0" w:before="100"/>
        <w:jc w:val="center"/>
      </w:pP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SMART on FHIR 應用程式</w:t>
      </w:r>
    </w:p>
    <w:p>
      <w:pPr>
        <w:spacing w:after="0" w:before="9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3D38"/>
          <w:sz w:val="52"/>
          <w:szCs w:val="52"/>
        </w:rPr>
        <w:t xml:space="preserve">台灣血脂 CDS</w:t>
      </w:r>
    </w:p>
    <w:p>
      <w:pPr>
        <w:spacing w:after="0" w:before="160"/>
        <w:jc w:val="center"/>
      </w:pPr>
      <w:r>
        <w:rPr>
          <w:rFonts w:ascii="Microsoft JhengHei" w:cs="Microsoft JhengHei" w:eastAsia="Microsoft JhengHei" w:hAnsi="Microsoft JhengHei"/>
          <w:color w:val="1A1A1A"/>
          <w:sz w:val="26"/>
          <w:szCs w:val="26"/>
        </w:rPr>
        <w:t xml:space="preserve">SMART on FHIR 臨床決策支援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color w:val="6B7280"/>
          <w:sz w:val="22"/>
          <w:szCs w:val="22"/>
        </w:rPr>
        <w:t xml:space="preserve">軟體規格書 (Software Specification)</w:t>
      </w:r>
    </w:p>
    <w:p>
      <w:pPr>
        <w:spacing w:after="1400"/>
      </w:pP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版本：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v1.0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日期：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2026-07-21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提出單位：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VtR Incorporated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測試環境：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衛生福利部 臺灣醫療資訊標準大平台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文件狀態：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沙盒實測通過</w:t>
      </w:r>
    </w:p>
    <w:p>
      <w:r>
        <w:br w:type="page"/>
      </w:r>
    </w:p>
    <w:p>
      <w:pPr>
        <w:pBdr>
          <w:bottom w:val="single" w:color="0F766E" w:sz="8" w:space="6"/>
        </w:pBdr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0F3D38"/>
          <w:sz w:val="28"/>
          <w:szCs w:val="28"/>
        </w:rPr>
        <w:t xml:space="preserve">目次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1. 文件資訊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2. 產品概述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3. 功能規格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4. 系統架構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5. 資訊安全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6. 資料來源與依據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7. 本土化設計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8. 測試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9. 已知限制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10. 提案資訊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11. 免責聲明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1. 文件資訊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文件名稱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台灣血脂 CDS — 軟體規格書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應用程式名稱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台灣血脂 CDS（Taiwan Lipid CDS）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2026-07-21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類型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SMART on FHIR 應用程式（Provider-facing, Web）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提出單位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VtR Incorporated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測試環境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衛生福利部 臺灣醫療資訊標準大平台 thas.mohw.gov.tw/v/r4/fhir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文件狀態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開發完成，thas 沙盒實測通過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2. 產品概述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2.1 定位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在醫師開立處方的當下，將病人的診斷與血脂檢驗值，即時對照</w:t>
      </w:r>
      <w:r>
        <w:rPr>
          <w:rFonts w:ascii="Microsoft JhengHei" w:cs="Microsoft JhengHei" w:eastAsia="Microsoft JhengHei" w:hAnsi="Microsoft JhengHei"/>
          <w:b/>
          <w:bCs/>
        </w:rPr>
        <w:t xml:space="preserve">台灣血脂治療指引</w:t>
      </w:r>
      <w:r>
        <w:rPr>
          <w:rFonts w:ascii="Microsoft JhengHei" w:cs="Microsoft JhengHei" w:eastAsia="Microsoft JhengHei" w:hAnsi="Microsoft JhengHei"/>
        </w:rPr>
        <w:t xml:space="preserve">與</w:t>
      </w:r>
      <w:r>
        <w:rPr>
          <w:rFonts w:ascii="Microsoft JhengHei" w:cs="Microsoft JhengHei" w:eastAsia="Microsoft JhengHei" w:hAnsi="Microsoft JhengHei"/>
          <w:b/>
          <w:bCs/>
        </w:rPr>
        <w:t xml:space="preserve">健保給付規定</w:t>
      </w:r>
      <w:r>
        <w:rPr>
          <w:rFonts w:ascii="Microsoft JhengHei" w:cs="Microsoft JhengHei" w:eastAsia="Microsoft JhengHei" w:hAnsi="Microsoft JhengHei"/>
        </w:rPr>
        <w:t xml:space="preserve">，呈現心血管風險分層、LDL-C 治療目標與現值差距。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  <w:b/>
          <w:bCs/>
        </w:rPr>
        <w:t xml:space="preserve">核心價值</w:t>
      </w:r>
      <w:r>
        <w:rPr>
          <w:rFonts w:ascii="Microsoft JhengHei" w:cs="Microsoft JhengHei" w:eastAsia="Microsoft JhengHei" w:hAnsi="Microsoft JhengHei"/>
        </w:rPr>
        <w:t xml:space="preserve">：把散落於臨床指引與健保給付規定中的門檻，帶到需要它的時間點與畫面上。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09" w:sz="18"/>
              <w:bottom w:val="none"/>
              <w:right w:val="none"/>
            </w:tcBorders>
            <w:shd w:fill="FBF4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本系統執行「資料呈現與門檻對照」，不做治療方案建議。用藥決策屬醫師職權。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2.2 使用者與情境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情境</w:t>
            </w:r>
          </w:p>
        </w:tc>
        <w:tc>
          <w:tcPr>
            <w:tcW w:type="dxa" w:w="3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需要回答的問題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主治醫師</w:t>
            </w:r>
          </w:p>
        </w:tc>
        <w:tc>
          <w:tcPr>
            <w:tcW w:type="dxa" w:w="3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診間看診、開立或調整降血脂藥物</w:t>
            </w:r>
          </w:p>
        </w:tc>
        <w:tc>
          <w:tcPr>
            <w:tcW w:type="dxa" w:w="3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這位病人的 LDL 該壓到多低？現在差多少？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個案管理師</w:t>
            </w:r>
          </w:p>
        </w:tc>
        <w:tc>
          <w:tcPr>
            <w:tcW w:type="dxa" w:w="3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慢性病追蹤</w:t>
            </w:r>
          </w:p>
        </w:tc>
        <w:tc>
          <w:tcPr>
            <w:tcW w:type="dxa" w:w="3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檢驗值趨勢如何？是否需回診衛教？</w:t>
            </w:r>
          </w:p>
        </w:tc>
      </w:tr>
    </w:tbl>
    <w:p>
      <w:pPr>
        <w:spacing w:after="100" w:line="288"/>
      </w:pPr>
      <w:r>
        <w:rPr>
          <w:rFonts w:ascii="Microsoft JhengHei" w:cs="Microsoft JhengHei" w:eastAsia="Microsoft JhengHei" w:hAnsi="Microsoft JhengHei"/>
          <w:b/>
          <w:bCs/>
        </w:rPr>
        <w:t xml:space="preserve">典型流程</w:t>
      </w:r>
      <w:r>
        <w:rPr>
          <w:rFonts w:ascii="Microsoft JhengHei" w:cs="Microsoft JhengHei" w:eastAsia="Microsoft JhengHei" w:hAnsi="Microsoft JhengHei"/>
        </w:rPr>
        <w:t xml:space="preserve">：醫師於院內系統開啟病人病歷 → 點選本 App → 系統自動帶入該病人 → 即時顯示風險分層與 LDL 目標對照。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3. 功能規格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 血脂評估（主頁）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2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資料來源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病人標頭</w:t>
            </w:r>
          </w:p>
        </w:tc>
        <w:tc>
          <w:tcPr>
            <w:tcW w:type="dxa" w:w="4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中文姓名、性別、年齡、身分證字號、病歷號、診斷標籤</w:t>
            </w:r>
          </w:p>
        </w:tc>
        <w:tc>
          <w:tcPr>
            <w:tcW w:type="dxa" w:w="2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FHIR Patient / Condition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風險分層</w:t>
            </w:r>
          </w:p>
        </w:tc>
        <w:tc>
          <w:tcPr>
            <w:tcW w:type="dxa" w:w="4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極高／高／中／低風險 + 判定說明</w:t>
            </w:r>
          </w:p>
        </w:tc>
        <w:tc>
          <w:tcPr>
            <w:tcW w:type="dxa" w:w="2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 Condition 推導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LDL-C 治療目標</w:t>
            </w:r>
          </w:p>
        </w:tc>
        <w:tc>
          <w:tcPr>
            <w:tcW w:type="dxa" w:w="4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 55 / 70 / 100 / 116 mg/dL</w:t>
            </w:r>
          </w:p>
        </w:tc>
        <w:tc>
          <w:tcPr>
            <w:tcW w:type="dxa" w:w="2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指引門檻表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目前 LDL-C</w:t>
            </w:r>
          </w:p>
        </w:tc>
        <w:tc>
          <w:tcPr>
            <w:tcW w:type="dxa" w:w="4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最新值、達標狀態、與目標差距</w:t>
            </w:r>
          </w:p>
        </w:tc>
        <w:tc>
          <w:tcPr>
            <w:tcW w:type="dxa" w:w="2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FHIR Observation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分層依據</w:t>
            </w:r>
          </w:p>
        </w:tc>
        <w:tc>
          <w:tcPr>
            <w:tcW w:type="dxa" w:w="4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逐條列出「哪個診斷 → 為什麼算這一級」</w:t>
            </w:r>
          </w:p>
        </w:tc>
        <w:tc>
          <w:tcPr>
            <w:tcW w:type="dxa" w:w="2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推導過程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現值 vs 目標</w:t>
            </w:r>
          </w:p>
        </w:tc>
        <w:tc>
          <w:tcPr>
            <w:tcW w:type="dxa" w:w="4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橫條圖對照</w:t>
            </w:r>
          </w:p>
        </w:tc>
        <w:tc>
          <w:tcPr>
            <w:tcW w:type="dxa" w:w="2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血脂用藥與健保</w:t>
            </w:r>
          </w:p>
        </w:tc>
        <w:tc>
          <w:tcPr>
            <w:tcW w:type="dxa" w:w="4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藥品 → 健保代號、中文品名、ATC、支付價、給付章節</w:t>
            </w:r>
          </w:p>
        </w:tc>
        <w:tc>
          <w:tcPr>
            <w:tcW w:type="dxa" w:w="2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健保用藥品項查詢項目檔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3.1.1 風險分層規則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2160"/>
      </w:tblGrid>
      <w:tr>
        <w:trPr>
          <w:tblHeader/>
        </w:trPr>
        <w:tc>
          <w:tcPr>
            <w:tcW w:type="dxa" w:w="4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2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分層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LDL 目標 (mg/dL)</w:t>
            </w:r>
          </w:p>
        </w:tc>
      </w:tr>
      <w:tr>
        <w:tc>
          <w:tcPr>
            <w:tcW w:type="dxa" w:w="4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確診 ASCVD</w:t>
            </w:r>
          </w:p>
        </w:tc>
        <w:tc>
          <w:tcPr>
            <w:tcW w:type="dxa" w:w="2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極高風險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 55</w:t>
            </w:r>
          </w:p>
        </w:tc>
      </w:tr>
      <w:tr>
        <w:tc>
          <w:tcPr>
            <w:tcW w:type="dxa" w:w="4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糖尿病 且（CKD 或 高血壓）</w:t>
            </w:r>
          </w:p>
        </w:tc>
        <w:tc>
          <w:tcPr>
            <w:tcW w:type="dxa" w:w="2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極高風險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 55</w:t>
            </w:r>
          </w:p>
        </w:tc>
      </w:tr>
      <w:tr>
        <w:tc>
          <w:tcPr>
            <w:tcW w:type="dxa" w:w="4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糖尿病 / CKD / 家族性高膽固醇血症</w:t>
            </w:r>
          </w:p>
        </w:tc>
        <w:tc>
          <w:tcPr>
            <w:tcW w:type="dxa" w:w="2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高風險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 70</w:t>
            </w:r>
          </w:p>
        </w:tc>
      </w:tr>
      <w:tr>
        <w:tc>
          <w:tcPr>
            <w:tcW w:type="dxa" w:w="4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高血壓 或 血脂異常</w:t>
            </w:r>
          </w:p>
        </w:tc>
        <w:tc>
          <w:tcPr>
            <w:tcW w:type="dxa" w:w="2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中風險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 100</w:t>
            </w:r>
          </w:p>
        </w:tc>
      </w:tr>
      <w:tr>
        <w:tc>
          <w:tcPr>
            <w:tcW w:type="dxa" w:w="4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以上皆無</w:t>
            </w:r>
          </w:p>
        </w:tc>
        <w:tc>
          <w:tcPr>
            <w:tcW w:type="dxa" w:w="2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低風險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 116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3.1.2 診斷比對方式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以 </w:t>
      </w:r>
      <w:r>
        <w:rPr>
          <w:rFonts w:ascii="Microsoft JhengHei" w:cs="Microsoft JhengHei" w:eastAsia="Microsoft JhengHei" w:hAnsi="Microsoft JhengHei"/>
          <w:b/>
          <w:bCs/>
        </w:rPr>
        <w:t xml:space="preserve">SNOMED CT code</w:t>
      </w:r>
      <w:r>
        <w:rPr>
          <w:rFonts w:ascii="Microsoft JhengHei" w:cs="Microsoft JhengHei" w:eastAsia="Microsoft JhengHei" w:hAnsi="Microsoft JhengHei"/>
        </w:rPr>
        <w:t xml:space="preserve"> 為主、</w:t>
      </w:r>
      <w:r>
        <w:rPr>
          <w:rFonts w:ascii="Microsoft JhengHei" w:cs="Microsoft JhengHei" w:eastAsia="Microsoft JhengHei" w:hAnsi="Microsoft JhengHei"/>
          <w:b/>
          <w:bCs/>
        </w:rPr>
        <w:t xml:space="preserve">診斷文字</w:t>
      </w:r>
      <w:r>
        <w:rPr>
          <w:rFonts w:ascii="Microsoft JhengHei" w:cs="Microsoft JhengHei" w:eastAsia="Microsoft JhengHei" w:hAnsi="Microsoft JhengHei"/>
        </w:rPr>
        <w:t xml:space="preserve">（中英文）為輔的雙軌比對。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09" w:sz="18"/>
              <w:bottom w:val="none"/>
              <w:right w:val="none"/>
            </w:tcBorders>
            <w:shd w:fill="FBF4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設計理由：thas 的 Condition 只有 SNOMED CT，沒有 ICD-10。若僅以 ICD-10 前綴比對，在此環境永遠不會觸發。無診斷時明確顯示「無法可靠分層」，不以預設低風險門檻誤導。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3.2 檢驗趨勢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最新值卡片 + LDL-C／HbA1c 時間序列圖。涵蓋項目：LDL-C、HDL-C、總膽固醇、三酸甘油酯、HbA1c、空腹血糖、肌酸酐、eGFR、血壓。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3.3 用藥與健保對應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全部處方逐筆對應健保藥品代號、中文品名、ATC、支付價，並標示比對品質（相符／劑量待確認／劑型不符／未收錄）。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3.4 資料來源頁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明列 FHIR 端點、授權狀態、查詢時間與耗時、健保資料集版本與授權條款。所有畫面資料均為即時查詢結果，不使用離線快取。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4. 系統架構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4.1 架構圖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5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Browser :5301  (Vite SPA, ECharts)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 |  /api/*   &lt;- access_token 不進瀏覽器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Backend :8801  (Node.js / Express, BFF)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 |  SMART OAuth2 + PKCE，token 僅存 server session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FHIR Server  thas.mohw.gov.tw/v/r4/fhir</w:t>
            </w:r>
          </w:p>
        </w:tc>
      </w:tr>
    </w:tbl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採前後端分離（BFF, Backend-for-Frontend）架構。access_token 僅存於後端 session，前端僅呼叫自家 /api/*，token 不進瀏覽器。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4.2 技術堆疊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技術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前端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Vite、原生 JavaScript（hash router SPA）、Apache ECharts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後端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Node.js 22、Express、express-session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共用套件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@tw-smart/smart-client（SMART OAuth + FHIR 正規化）、@tw-smart/nhi-data（健保藥品資料）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測試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Playwright（e2e、SMART Launch 實測、截圖）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4.3 FHIR 相容性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FHIR 版本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R4 (4.0.1)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使用資源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Patient, Condition, Observation, MedicationRequest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存取方式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REST GET，即時查詢，無離線快取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4.4 使用的術語標準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標準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5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實際代碼範例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SNOMED CT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診斷比對</w:t>
            </w:r>
          </w:p>
        </w:tc>
        <w:tc>
          <w:tcPr>
            <w:tcW w:type="dxa" w:w="5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44054006 第2型糖尿病、38341003 高血壓、55822004 高血脂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LOINC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檢驗項目</w:t>
            </w:r>
          </w:p>
        </w:tc>
        <w:tc>
          <w:tcPr>
            <w:tcW w:type="dxa" w:w="5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LDL-C 2089-1／18262-6、HbA1c 4548-4、收縮壓 8480-6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ATC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藥品分類</w:t>
            </w:r>
          </w:p>
        </w:tc>
        <w:tc>
          <w:tcPr>
            <w:tcW w:type="dxa" w:w="5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C10AA05 atorvastatin（取自健保署藥品檔）</w:t>
            </w:r>
          </w:p>
        </w:tc>
      </w:tr>
      <w:tr>
        <w:tc>
          <w:tcPr>
            <w:tcW w:type="dxa" w:w="1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健保藥品代號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給付對應</w:t>
            </w:r>
          </w:p>
        </w:tc>
        <w:tc>
          <w:tcPr>
            <w:tcW w:type="dxa" w:w="5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取自健保用藥品項查詢項目檔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09" w:sz="18"/>
              <w:bottom w:val="none"/>
              <w:right w:val="none"/>
            </w:tcBorders>
            <w:shd w:fill="FBF4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LOINC 別名設計：同一檢驗項目在不同院所可能使用不同 LOINC 代碼。thas 的 LDL-C 使用 2089-1，國際 sandbox 常見 18262-6。系統以別名表同時比對，避免換環境即失效。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5. 資訊安全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 授權與認證（SMART App Launch IG）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實作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授權模式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EHR Launch（iss + launch）／ Standalone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認證模式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公開 client + PKCE (S256)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Discovery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.well-known/smart-configuration，失敗退回 CapabilityStatement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launch openid fhirUser profile patient/*.read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CSRF 防護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state 隨機值 + callback 比對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Token 保管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僅存後端 session（httpOnly cookie），不進瀏覽器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身分識別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OIDC fhirUser（取得執行操作的醫師身分）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5.2 傳輸與資料保護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現況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正式部署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access_token 保管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後端 session（BFF）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Cookie 安全屬性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httpOnly / sameSite=lax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另加 secure（HTTPS）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安全標頭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nosniff / frame-DENY / no-referrer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另加 HSTS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傳輸加密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開發為 http://localhost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反向代理提供 TLS/HTTPS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id_token 驗簽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解析 claims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以 issuer JWKS 驗簽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稽核紀錄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console log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寫入 AuditEvent / SIEM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5.3 個資與合規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</w:rPr>
        <w:t xml:space="preserve">本系統為公開測試環境，僅使用合成／測試病人資料，不上傳真實病歷。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</w:rPr>
        <w:t xml:space="preserve">身分證字號等識別碼僅於畫面呈現，不落地儲存於本系統。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</w:rPr>
        <w:t xml:space="preserve">金鑰與密鑰不進版控（.env 於 .gitignore）。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6. 資料來源與依據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6.1 臨床指引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  <w:tc>
          <w:tcPr>
            <w:tcW w:type="dxa" w:w="3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6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2022 台灣高血壓、高血脂及糖尿病治療指引（中華民國心臟學會／台灣高血壓學會）</w:t>
            </w:r>
          </w:p>
        </w:tc>
        <w:tc>
          <w:tcPr>
            <w:tcW w:type="dxa" w:w="3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風險分層與 LDL 目標</w:t>
            </w:r>
          </w:p>
        </w:tc>
      </w:tr>
      <w:tr>
        <w:tc>
          <w:tcPr>
            <w:tcW w:type="dxa" w:w="6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2019 ESC/EAS Guidelines for the management of dyslipidaemias（doi:10.1093/eurheartj/ehz455）</w:t>
            </w:r>
          </w:p>
        </w:tc>
        <w:tc>
          <w:tcPr>
            <w:tcW w:type="dxa" w:w="3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LDL 目標門檻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6.2 健保給付規定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章節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2.6.1. 降血脂藥物給付規定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要點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須先經飲食控制及生活型態調整 3–6 個月無效後始得使用；用藥後每 3–6 個月追蹤；TLC 應持續進行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出處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中央健康保險署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6.3 健保藥品資料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資料集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健保用藥品項查詢項目檔（政府資料開放平臺 dataset 23715）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來源機關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衛生福利部中央健康保險署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授權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政府資料開放授權條款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更新頻率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原始規模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224,455 筆 → 索引 156 種成分 / 54 藥理類別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取用欄位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藥品代號、中文品名、成分、支付價、ATC 代碼、給付規定章節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7. 本土化設計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實作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語言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全繁體中文介面；檢驗項目、藥品、診斷皆中文化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姓名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優先顯示 name.text 中文姓名（陳大明），英文名為輔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識別碼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身分證字號（moi.gov.tw / boca.gov.tw system）、病歷號（MR type）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藥品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台灣品牌名對照（伯基 Bokey、保栓通 Plavix、可悅您 Cozaar、佳糖維 Januvia…）；顯示健保中文品名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給付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健保給付規定章節與連結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指引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以台灣治療指引為主，國際指引為輔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8. 測試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8.1 測試結果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5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API 整合</w:t>
            </w:r>
          </w:p>
        </w:tc>
        <w:tc>
          <w:tcPr>
            <w:tcW w:type="dxa" w:w="5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對 thas 即時查詢 → 分層 → 目標對照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通過（840 ms）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SMART EHR Launch</w:t>
            </w:r>
          </w:p>
        </w:tc>
        <w:tc>
          <w:tcPr>
            <w:tcW w:type="dxa" w:w="5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discovery → authorize → 醫師登入 → 病人選擇 → token → 渲染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通過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前端</w:t>
            </w:r>
          </w:p>
        </w:tc>
        <w:tc>
          <w:tcPr>
            <w:tcW w:type="dxa" w:w="5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四頁渲染、無自身網域 console error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通過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8.2 SMART Launch 通過判準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不以「畫面有無內容」判定，而以下列三項同時成立：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5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1. 後端 session 持有 access_token   (/api/context -&gt; authorized: 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2. 畫面病人來自授權後查詢           (非開放查詢 fallback)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3. 取得 fhirUser                    (OIDC 身分識別生效)</w:t>
            </w:r>
          </w:p>
        </w:tc>
      </w:tr>
    </w:tbl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實測結果：authorized: true · fhirUser: Practitioner/147533 · scope: launch openid fhirUser profile patient/*.read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8.3 測試病人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病人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Patient/sun-1234567 陳大明 · 男 · 47歲 · 身分證 A123456789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診斷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第2型糖尿病 (44054006)、高血壓 (38341003)、高血脂 (55822004)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檢驗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LDL-C 158.8 · HbA1c 7.7% · 空腹血糖 195.3 · 收縮壓 148.4 · 肌酸酐 0.6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預期結果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極高風險 → LDL 目標 &lt; 55 → 未達標，高於目標 103.8 mg/dL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09" w:sz="18"/>
              <w:bottom w:val="none"/>
              <w:right w:val="none"/>
            </w:tcBorders>
            <w:shd w:fill="FBF4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診斷資料補齊說明：該病人原無 Condition 資源。依官方《1014 SMART 測試環境與上架流程》第 58 頁「啟動測試前，先使用 API 測試工具匯入符合 APP 使用情境之測試資料」之要求，補入三筆與其既有檢驗值及處方一致的診斷（非虛構），並標註 meta.tag = tw-smart-apps-seed 以供辨識與清除。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9. 已知限制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900"/>
        <w:gridCol w:w="2960"/>
      </w:tblGrid>
      <w:tr>
        <w:trPr>
          <w:tblHeader/>
        </w:trP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限制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影響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處置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風險分層僅依編碼診斷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無 Condition 時無法可靠分層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明確顯示「無法分層」，不給假結論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未納入吸菸、家族史等非編碼危險因子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分層可能低估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導入時由醫師補充判斷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藥品索引涵蓋 156 種常用成分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罕用藥顯示「未收錄」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依需求擴充後重建索引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未對應 TW Core IG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資料模型依 thas 現況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待 TW Core 於該環境普及後對應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id_token 未驗簽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目前僅解析 claims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正式部署改以 issuer JWKS 驗簽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無稽核紀錄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目前為 console log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正式部署寫入 AuditEvent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開發環境為 http://localhost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無 TLS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正式部署由反向代理提供 HTTPS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10. 提案資訊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對應「臺灣50優良 SMART on FHIR 應用程式徵案」提案表欄位：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應用程式類型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網路應用程式（Web）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應用程式名稱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台灣血脂 CDS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分類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疾病管理／臨床決策支援／資料視覺化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專科別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心臟血管內科、新陳代謝科、家庭醫學科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適用對象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醫事人員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作業系統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Web（跨平台）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FHIR 相容性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R4 (4.0.1)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使用術語值集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SNOMED CT、LOINC、ATC、健保藥品代號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 IG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HL7 SMART App Launch IG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啟動連結 (Launch URL)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&lt;部署網域&gt;/launch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重新導向連結 (Redirect URL)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&lt;部署網域&gt;/callback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11. 免責聲明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本系統為臨床決策參考工具，呈現指引門檻與健保給付規定之對照結果，不構成醫療建議，亦不取代醫師專業判斷。實際給付以中央健康保險署最新公告為準。導入前應由院內規則委員會覆核門檻設定與診斷比對邏輯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 頁 / 共 </w:t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5" w:sz="4" w:space="4"/>
      </w:pBdr>
      <w:tabs>
        <w:tab w:val="right" w:pos="9360"/>
      </w:tabs>
      <w:spacing w:after="0"/>
    </w:pP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台灣血脂 CDS · 軟體規格書</w:t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	VtR Incorporated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8" w:space="6"/>
      </w:pBd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0F3D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0F766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JhengHei" w:cs="Microsoft JhengHei" w:eastAsia="Microsoft JhengHei" w:hAnsi="Microsoft JhengHe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2026-07-22T02:22:52.415Z</dcterms:created>
  <dcterms:modified xsi:type="dcterms:W3CDTF">2026-07-22T02:22:52.415Z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