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231"/>
      </w:tblGrid>
      <w:tr w:rsidR="006442C2" w14:paraId="5FB30308" w14:textId="77777777" w:rsidTr="00B86127">
        <w:trPr>
          <w:trHeight w:val="312"/>
        </w:trPr>
        <w:tc>
          <w:tcPr>
            <w:tcW w:w="2130" w:type="dxa"/>
            <w:vMerge w:val="restart"/>
            <w:vAlign w:val="center"/>
          </w:tcPr>
          <w:p w14:paraId="4929468E" w14:textId="77777777" w:rsidR="006442C2" w:rsidRDefault="001B4E66">
            <w:pPr>
              <w:widowControl/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  <w:t>投入高等教育的财力与人力资源</w:t>
            </w:r>
          </w:p>
          <w:p w14:paraId="4F849066" w14:textId="77777777" w:rsidR="006442C2" w:rsidRDefault="001B4E66">
            <w:pPr>
              <w:widowControl/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0"/>
                <w:szCs w:val="20"/>
                <w:lang w:bidi="ar"/>
              </w:rPr>
              <w:t>（成本，资金）</w:t>
            </w:r>
          </w:p>
        </w:tc>
        <w:tc>
          <w:tcPr>
            <w:tcW w:w="2231" w:type="dxa"/>
          </w:tcPr>
          <w:p w14:paraId="2BA47897" w14:textId="78D462BB" w:rsidR="006442C2" w:rsidRDefault="00BD78A0">
            <w:r>
              <w:rPr>
                <w:rFonts w:hint="eastAsia"/>
              </w:rPr>
              <w:t>大专经费支出</w:t>
            </w:r>
          </w:p>
        </w:tc>
      </w:tr>
      <w:tr w:rsidR="006442C2" w14:paraId="2AB02EB3" w14:textId="77777777" w:rsidTr="00B86127">
        <w:trPr>
          <w:trHeight w:val="312"/>
        </w:trPr>
        <w:tc>
          <w:tcPr>
            <w:tcW w:w="2130" w:type="dxa"/>
            <w:vMerge/>
            <w:vAlign w:val="center"/>
          </w:tcPr>
          <w:p w14:paraId="7188435D" w14:textId="77777777" w:rsidR="006442C2" w:rsidRDefault="006442C2"/>
        </w:tc>
        <w:tc>
          <w:tcPr>
            <w:tcW w:w="2231" w:type="dxa"/>
          </w:tcPr>
          <w:p w14:paraId="138D317C" w14:textId="183CB258" w:rsidR="006442C2" w:rsidRDefault="00BD78A0">
            <w:r>
              <w:rPr>
                <w:rFonts w:hint="eastAsia"/>
              </w:rPr>
              <w:t>每个学生的支出</w:t>
            </w:r>
          </w:p>
        </w:tc>
      </w:tr>
      <w:tr w:rsidR="006442C2" w14:paraId="16099B5A" w14:textId="77777777" w:rsidTr="00B86127">
        <w:trPr>
          <w:trHeight w:val="312"/>
        </w:trPr>
        <w:tc>
          <w:tcPr>
            <w:tcW w:w="2130" w:type="dxa"/>
            <w:vMerge/>
            <w:vAlign w:val="center"/>
          </w:tcPr>
          <w:p w14:paraId="43FC5BE6" w14:textId="77777777" w:rsidR="006442C2" w:rsidRDefault="006442C2"/>
        </w:tc>
        <w:tc>
          <w:tcPr>
            <w:tcW w:w="2231" w:type="dxa"/>
          </w:tcPr>
          <w:p w14:paraId="435E5C59" w14:textId="77777777" w:rsidR="006442C2" w:rsidRDefault="006442C2"/>
        </w:tc>
      </w:tr>
      <w:tr w:rsidR="006442C2" w14:paraId="6E99418F" w14:textId="77777777" w:rsidTr="00B86127">
        <w:trPr>
          <w:trHeight w:val="312"/>
        </w:trPr>
        <w:tc>
          <w:tcPr>
            <w:tcW w:w="2130" w:type="dxa"/>
            <w:vMerge w:val="restart"/>
            <w:vAlign w:val="center"/>
          </w:tcPr>
          <w:p w14:paraId="09997715" w14:textId="77777777" w:rsidR="006442C2" w:rsidRDefault="001B4E66">
            <w:pPr>
              <w:widowControl/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  <w:t>受高等教育机会、</w:t>
            </w:r>
            <w:r>
              <w:rPr>
                <w:rFonts w:ascii="楷体" w:eastAsia="楷体" w:hAnsi="楷体" w:cs="楷体" w:hint="eastAsia"/>
                <w:color w:val="000000"/>
                <w:kern w:val="0"/>
                <w:sz w:val="20"/>
                <w:szCs w:val="20"/>
                <w:lang w:bidi="ar"/>
              </w:rPr>
              <w:t>参与和深造</w:t>
            </w:r>
          </w:p>
          <w:p w14:paraId="5F7A1A9F" w14:textId="77777777" w:rsidR="006442C2" w:rsidRDefault="001B4E66">
            <w:pPr>
              <w:widowControl/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0"/>
                <w:szCs w:val="20"/>
                <w:lang w:bidi="ar"/>
              </w:rPr>
              <w:t>（机会）</w:t>
            </w:r>
          </w:p>
        </w:tc>
        <w:tc>
          <w:tcPr>
            <w:tcW w:w="2231" w:type="dxa"/>
          </w:tcPr>
          <w:p w14:paraId="6A5C363A" w14:textId="24AD268A" w:rsidR="00246422" w:rsidRDefault="00246422">
            <w:r>
              <w:rPr>
                <w:rFonts w:hint="eastAsia"/>
              </w:rPr>
              <w:t>总入学率</w:t>
            </w:r>
          </w:p>
        </w:tc>
      </w:tr>
      <w:tr w:rsidR="006442C2" w14:paraId="084202BC" w14:textId="77777777" w:rsidTr="00B86127">
        <w:trPr>
          <w:trHeight w:val="312"/>
        </w:trPr>
        <w:tc>
          <w:tcPr>
            <w:tcW w:w="2130" w:type="dxa"/>
            <w:vMerge/>
            <w:vAlign w:val="center"/>
          </w:tcPr>
          <w:p w14:paraId="0874F9C6" w14:textId="77777777" w:rsidR="006442C2" w:rsidRDefault="006442C2"/>
        </w:tc>
        <w:tc>
          <w:tcPr>
            <w:tcW w:w="2231" w:type="dxa"/>
          </w:tcPr>
          <w:p w14:paraId="0A9EC6EC" w14:textId="427A1E89" w:rsidR="006442C2" w:rsidRDefault="00FB4E57">
            <w:r>
              <w:rPr>
                <w:rFonts w:hint="eastAsia"/>
              </w:rPr>
              <w:t>留学生占学生规模的比例</w:t>
            </w:r>
          </w:p>
        </w:tc>
      </w:tr>
      <w:tr w:rsidR="006442C2" w14:paraId="0B5E2130" w14:textId="77777777" w:rsidTr="00B86127">
        <w:trPr>
          <w:trHeight w:val="312"/>
        </w:trPr>
        <w:tc>
          <w:tcPr>
            <w:tcW w:w="2130" w:type="dxa"/>
            <w:vMerge/>
            <w:vAlign w:val="center"/>
          </w:tcPr>
          <w:p w14:paraId="676FA635" w14:textId="77777777" w:rsidR="006442C2" w:rsidRDefault="006442C2"/>
        </w:tc>
        <w:tc>
          <w:tcPr>
            <w:tcW w:w="2231" w:type="dxa"/>
          </w:tcPr>
          <w:p w14:paraId="7046FCD5" w14:textId="77777777" w:rsidR="006442C2" w:rsidRDefault="00FB4E57">
            <w:r>
              <w:rPr>
                <w:rFonts w:hint="eastAsia"/>
              </w:rPr>
              <w:t>国际学生</w:t>
            </w:r>
          </w:p>
          <w:p w14:paraId="41483D22" w14:textId="3E7664EE" w:rsidR="00FB4E57" w:rsidRDefault="00FB4E57">
            <w:r>
              <w:rPr>
                <w:rFonts w:hint="eastAsia"/>
              </w:rPr>
              <w:t>出国学生比例</w:t>
            </w:r>
          </w:p>
        </w:tc>
      </w:tr>
      <w:tr w:rsidR="006442C2" w14:paraId="6DFC8638" w14:textId="77777777" w:rsidTr="00B86127">
        <w:trPr>
          <w:trHeight w:val="619"/>
        </w:trPr>
        <w:tc>
          <w:tcPr>
            <w:tcW w:w="2130" w:type="dxa"/>
            <w:vMerge w:val="restart"/>
            <w:vAlign w:val="center"/>
          </w:tcPr>
          <w:p w14:paraId="352BEE21" w14:textId="77777777" w:rsidR="006442C2" w:rsidRDefault="001B4E66">
            <w:pPr>
              <w:widowControl/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  <w:t>高等学校的学习环境和组织管理</w:t>
            </w:r>
          </w:p>
          <w:p w14:paraId="715B2A99" w14:textId="77777777" w:rsidR="006442C2" w:rsidRDefault="001B4E66">
            <w:pPr>
              <w:widowControl/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0"/>
                <w:szCs w:val="20"/>
                <w:lang w:bidi="ar"/>
              </w:rPr>
              <w:t>（公平）</w:t>
            </w:r>
          </w:p>
        </w:tc>
        <w:tc>
          <w:tcPr>
            <w:tcW w:w="2231" w:type="dxa"/>
            <w:vMerge w:val="restart"/>
          </w:tcPr>
          <w:p w14:paraId="58BE784D" w14:textId="77777777" w:rsidR="007813D0" w:rsidRDefault="007813D0">
            <w:r>
              <w:rPr>
                <w:rFonts w:hint="eastAsia"/>
              </w:rPr>
              <w:t>私立招生比例</w:t>
            </w:r>
          </w:p>
          <w:p w14:paraId="517E1BC7" w14:textId="17E854A2" w:rsidR="00FB4E57" w:rsidRDefault="00FB4E57">
            <w:r>
              <w:rPr>
                <w:rFonts w:hint="eastAsia"/>
              </w:rPr>
              <w:t>女学生招生比例</w:t>
            </w:r>
          </w:p>
        </w:tc>
      </w:tr>
      <w:tr w:rsidR="006442C2" w14:paraId="39785104" w14:textId="77777777" w:rsidTr="00B86127">
        <w:trPr>
          <w:trHeight w:val="619"/>
        </w:trPr>
        <w:tc>
          <w:tcPr>
            <w:tcW w:w="2130" w:type="dxa"/>
            <w:vMerge/>
            <w:vAlign w:val="center"/>
          </w:tcPr>
          <w:p w14:paraId="0BB605E3" w14:textId="77777777" w:rsidR="006442C2" w:rsidRDefault="006442C2"/>
        </w:tc>
        <w:tc>
          <w:tcPr>
            <w:tcW w:w="2231" w:type="dxa"/>
            <w:vMerge/>
          </w:tcPr>
          <w:p w14:paraId="610C8C89" w14:textId="77777777" w:rsidR="006442C2" w:rsidRDefault="006442C2"/>
        </w:tc>
      </w:tr>
      <w:tr w:rsidR="006442C2" w14:paraId="428243A1" w14:textId="77777777" w:rsidTr="00B86127">
        <w:tc>
          <w:tcPr>
            <w:tcW w:w="2130" w:type="dxa"/>
            <w:vAlign w:val="center"/>
          </w:tcPr>
          <w:p w14:paraId="57C8D9D9" w14:textId="77777777" w:rsidR="006442C2" w:rsidRDefault="001B4E66">
            <w:pPr>
              <w:widowControl/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  <w:t xml:space="preserve">高等学校学生的成绩 </w:t>
            </w:r>
          </w:p>
          <w:p w14:paraId="4F5A3A0A" w14:textId="77777777" w:rsidR="006442C2" w:rsidRDefault="001B4E66">
            <w:pPr>
              <w:widowControl/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0"/>
                <w:szCs w:val="20"/>
                <w:lang w:bidi="ar"/>
              </w:rPr>
              <w:t>（教育质量）</w:t>
            </w:r>
          </w:p>
        </w:tc>
        <w:tc>
          <w:tcPr>
            <w:tcW w:w="2231" w:type="dxa"/>
          </w:tcPr>
          <w:p w14:paraId="7E858012" w14:textId="77777777" w:rsidR="006442C2" w:rsidRDefault="007813D0">
            <w:r>
              <w:rPr>
                <w:rFonts w:hint="eastAsia"/>
              </w:rPr>
              <w:t>总毕业率</w:t>
            </w:r>
          </w:p>
          <w:p w14:paraId="34DE5EC4" w14:textId="77777777" w:rsidR="00BD78A0" w:rsidRDefault="00BD78A0" w:rsidP="00BD78A0">
            <w:r>
              <w:rPr>
                <w:rFonts w:hint="eastAsia"/>
              </w:rPr>
              <w:t>受教育年限</w:t>
            </w:r>
          </w:p>
          <w:p w14:paraId="1C9B9AF7" w14:textId="77777777" w:rsidR="001B4E66" w:rsidRDefault="001B4E66" w:rsidP="00BD78A0">
            <w:r>
              <w:rPr>
                <w:rFonts w:hint="eastAsia"/>
              </w:rPr>
              <w:t>SQ</w:t>
            </w:r>
            <w:r>
              <w:rPr>
                <w:rFonts w:hint="eastAsia"/>
              </w:rPr>
              <w:t>排名</w:t>
            </w:r>
          </w:p>
          <w:p w14:paraId="5371742A" w14:textId="46A57378" w:rsidR="001B4E66" w:rsidRDefault="001B4E66" w:rsidP="00BD78A0"/>
        </w:tc>
      </w:tr>
      <w:tr w:rsidR="006442C2" w14:paraId="7BDDA12B" w14:textId="77777777" w:rsidTr="00B86127">
        <w:tc>
          <w:tcPr>
            <w:tcW w:w="2130" w:type="dxa"/>
            <w:vAlign w:val="center"/>
          </w:tcPr>
          <w:p w14:paraId="1A693F33" w14:textId="77777777" w:rsidR="006442C2" w:rsidRDefault="001B4E66">
            <w:pPr>
              <w:widowControl/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  <w:t xml:space="preserve">高等教育社会产出和劳动力市场产出 </w:t>
            </w:r>
          </w:p>
          <w:p w14:paraId="52AA347C" w14:textId="77777777" w:rsidR="006442C2" w:rsidRDefault="001B4E66">
            <w:pPr>
              <w:widowControl/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0"/>
                <w:szCs w:val="20"/>
                <w:lang w:bidi="ar"/>
              </w:rPr>
              <w:t>（学位的价值）</w:t>
            </w:r>
          </w:p>
        </w:tc>
        <w:tc>
          <w:tcPr>
            <w:tcW w:w="2231" w:type="dxa"/>
          </w:tcPr>
          <w:p w14:paraId="66AC5249" w14:textId="77777777" w:rsidR="006442C2" w:rsidRDefault="006442C2"/>
        </w:tc>
      </w:tr>
      <w:tr w:rsidR="006442C2" w14:paraId="1C21C343" w14:textId="77777777" w:rsidTr="00B86127">
        <w:tc>
          <w:tcPr>
            <w:tcW w:w="2130" w:type="dxa"/>
            <w:vAlign w:val="center"/>
          </w:tcPr>
          <w:p w14:paraId="007CE8FC" w14:textId="77777777" w:rsidR="006442C2" w:rsidRDefault="001B4E66">
            <w:pPr>
              <w:widowControl/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0"/>
                <w:szCs w:val="20"/>
                <w:lang w:bidi="ar"/>
              </w:rPr>
              <w:t>科研水平</w:t>
            </w:r>
          </w:p>
          <w:p w14:paraId="5302B07C" w14:textId="77777777" w:rsidR="006442C2" w:rsidRDefault="001B4E66">
            <w:pPr>
              <w:widowControl/>
              <w:rPr>
                <w:rFonts w:ascii="楷体" w:eastAsia="楷体" w:hAnsi="楷体" w:cs="楷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0"/>
                <w:szCs w:val="20"/>
                <w:lang w:bidi="ar"/>
              </w:rPr>
              <w:t>（研究水平）</w:t>
            </w:r>
          </w:p>
        </w:tc>
        <w:tc>
          <w:tcPr>
            <w:tcW w:w="2231" w:type="dxa"/>
          </w:tcPr>
          <w:p w14:paraId="293973F2" w14:textId="544B8CEC" w:rsidR="006442C2" w:rsidRDefault="001B4E66">
            <w:r>
              <w:rPr>
                <w:rFonts w:hint="eastAsia"/>
              </w:rPr>
              <w:t>学术排名</w:t>
            </w:r>
          </w:p>
        </w:tc>
      </w:tr>
    </w:tbl>
    <w:p w14:paraId="564CAB98" w14:textId="77777777" w:rsidR="006442C2" w:rsidRDefault="006442C2"/>
    <w:sectPr w:rsidR="00644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99E0C24"/>
    <w:rsid w:val="001B4E66"/>
    <w:rsid w:val="00246422"/>
    <w:rsid w:val="006442C2"/>
    <w:rsid w:val="007813D0"/>
    <w:rsid w:val="00B86127"/>
    <w:rsid w:val="00BD78A0"/>
    <w:rsid w:val="00D45CC0"/>
    <w:rsid w:val="00FB4E57"/>
    <w:rsid w:val="03C40B03"/>
    <w:rsid w:val="08330F22"/>
    <w:rsid w:val="09676735"/>
    <w:rsid w:val="0B211DFD"/>
    <w:rsid w:val="0DAD4A5C"/>
    <w:rsid w:val="0DBC654B"/>
    <w:rsid w:val="13254BA3"/>
    <w:rsid w:val="138C15ED"/>
    <w:rsid w:val="150C2068"/>
    <w:rsid w:val="17516490"/>
    <w:rsid w:val="1966184F"/>
    <w:rsid w:val="1C2C3522"/>
    <w:rsid w:val="1D074FB2"/>
    <w:rsid w:val="206B6812"/>
    <w:rsid w:val="23403984"/>
    <w:rsid w:val="299E0C24"/>
    <w:rsid w:val="2B885FFF"/>
    <w:rsid w:val="2DD9268B"/>
    <w:rsid w:val="2E601396"/>
    <w:rsid w:val="329D5F39"/>
    <w:rsid w:val="339D2AB7"/>
    <w:rsid w:val="34AE6F2C"/>
    <w:rsid w:val="3C7338F7"/>
    <w:rsid w:val="3D4F529B"/>
    <w:rsid w:val="44162ACF"/>
    <w:rsid w:val="4D0874B5"/>
    <w:rsid w:val="4D230743"/>
    <w:rsid w:val="4DD95574"/>
    <w:rsid w:val="4F0B3B6D"/>
    <w:rsid w:val="558D7855"/>
    <w:rsid w:val="558E7061"/>
    <w:rsid w:val="562659F6"/>
    <w:rsid w:val="5982219B"/>
    <w:rsid w:val="5D812533"/>
    <w:rsid w:val="5DC50A47"/>
    <w:rsid w:val="5E882736"/>
    <w:rsid w:val="5E955D6C"/>
    <w:rsid w:val="608C56F5"/>
    <w:rsid w:val="60FC209A"/>
    <w:rsid w:val="624C4350"/>
    <w:rsid w:val="63D17DE4"/>
    <w:rsid w:val="67BF095E"/>
    <w:rsid w:val="68DE51CC"/>
    <w:rsid w:val="6A9D2365"/>
    <w:rsid w:val="6AC50AEC"/>
    <w:rsid w:val="6D1107AD"/>
    <w:rsid w:val="70A64672"/>
    <w:rsid w:val="72B2009A"/>
    <w:rsid w:val="73492F64"/>
    <w:rsid w:val="734979A7"/>
    <w:rsid w:val="734F59CB"/>
    <w:rsid w:val="76B37E06"/>
    <w:rsid w:val="7D3E0AD4"/>
    <w:rsid w:val="7FE8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070BC"/>
  <w15:docId w15:val="{9A00AFA8-C023-4B28-A2EB-390FCB3D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chopsticks1387695968</dc:creator>
  <cp:lastModifiedBy>Administrator</cp:lastModifiedBy>
  <cp:revision>7</cp:revision>
  <dcterms:created xsi:type="dcterms:W3CDTF">2021-02-05T11:25:00Z</dcterms:created>
  <dcterms:modified xsi:type="dcterms:W3CDTF">2021-02-05T16:19:00Z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