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pPr>
      <w:r>
        <w:t>中美关税战的多维度影响：基于统计建模与机器学习的多学科实证分析</w:t>
      </w:r>
    </w:p>
    <w:p>
      <w:pPr>
        <w:pStyle w:val="27"/>
      </w:pPr>
      <w:r>
        <w:t>范俊杰；</w:t>
      </w:r>
    </w:p>
    <w:p>
      <w:pPr>
        <w:pStyle w:val="27"/>
      </w:pPr>
      <w:r>
        <w:t>章伟涛；</w:t>
      </w:r>
    </w:p>
    <w:p>
      <w:pPr>
        <w:pStyle w:val="27"/>
      </w:pPr>
      <w:r>
        <w:t>刘宇航（躺赢狗）</w:t>
      </w:r>
      <w:bookmarkStart w:id="110" w:name="_GoBack"/>
      <w:bookmarkEnd w:id="110"/>
    </w:p>
    <w:p>
      <w:pPr>
        <w:pStyle w:val="14"/>
      </w:pPr>
      <w:r>
        <w:t>2025-04-22</w:t>
      </w:r>
    </w:p>
    <w:sdt>
      <w:sdtPr>
        <w:id w:val="1"/>
        <w:docPartObj>
          <w:docPartGallery w:val="Table of Contents"/>
          <w:docPartUnique/>
        </w:docPartObj>
      </w:sdtPr>
      <w:sdtContent>
        <w:p>
          <w:pPr>
            <w:pStyle w:val="51"/>
          </w:pPr>
          <w:r>
            <w:t>Table of Contents</w:t>
          </w:r>
        </w:p>
        <w:p>
          <w:r>
            <w:fldChar w:fldCharType="begin"/>
          </w:r>
          <w:r>
            <w:instrText xml:space="preserve">TOC \o "1-3" \h \z \u</w:instrText>
          </w:r>
          <w:r>
            <w:fldChar w:fldCharType="separate"/>
          </w:r>
          <w:r>
            <w:fldChar w:fldCharType="end"/>
          </w:r>
        </w:p>
      </w:sdtContent>
    </w:sdt>
    <w:p>
      <w:pPr>
        <w:pStyle w:val="23"/>
      </w:pPr>
      <w:r>
        <w:rPr>
          <w:b/>
          <w:bCs/>
        </w:rPr>
        <w:t>摘要</w:t>
      </w:r>
    </w:p>
    <w:p>
      <w:pPr>
        <w:pStyle w:val="3"/>
      </w:pPr>
      <w:r>
        <w:t>本研究采用多学科视角，结合统计建模与机器学习方法，对中美关税战的多维度影响进行了系统分析。研究发现，关税政策对经济、社会和心理层面均产生了深远影响，且表现出显著的异质性特征。在经济层面，不同行业的关税弹性系数差异明显，纺织品和电子产品对关税的敏感度最高（弹性系数分别为-3.5和-3.2），而供应链调整伴随着高额成本和长期适应期。在社会层面，失业率与社会稳定性指标间存在显著的因果关系，关税冲击通过空间溢出效应（空间滞后系数ρ为0.42）加剧了区域经济差距。在心理层面，断点回归分析表明关税事件显著影响了消费者信心，而社交媒体情感分析证实了负面情绪是市场波动的领先指标。在冲突风险方面，战略资源依赖与关系紧张度高度相关，集成预测模型（AUC=0.854）能够准确预测不同情境下的冲突风险。基于这些发现，本研究提出了产业链韧性建设、职业技能培训与区域协调、冲突预防与危机处理等多层次政策建议，并构建了高精度预测模型系统支持决策制定。研究结果为理解全球化退潮背景下的大国关系提供了新视角，也为制定更精准的应对策略提供了实证依据。</w:t>
      </w:r>
    </w:p>
    <w:p>
      <w:pPr>
        <w:pStyle w:val="3"/>
      </w:pPr>
      <w:r>
        <w:rPr>
          <w:b/>
          <w:bCs/>
        </w:rPr>
        <w:t>关键词</w:t>
      </w:r>
      <w:r>
        <w:t>：关税战、多学科分析、统计建模、机器学习、预测模型、经济影响、社会稳定性、消费者信心、战略资源依赖、冲突风险预测</w:t>
      </w:r>
    </w:p>
    <w:p>
      <w:pPr>
        <w:pStyle w:val="2"/>
      </w:pPr>
      <w:bookmarkStart w:id="0" w:name="第一章引言"/>
      <w:r>
        <w:t>第一章：引言</w:t>
      </w:r>
    </w:p>
    <w:p>
      <w:pPr>
        <w:pStyle w:val="4"/>
      </w:pPr>
      <w:bookmarkStart w:id="1" w:name="研究背景全球化退潮与中美战略竞争"/>
      <w:r>
        <w:t>研究背景：全球化退潮与中美战略竞争</w:t>
      </w:r>
    </w:p>
    <w:p>
      <w:pPr>
        <w:pStyle w:val="23"/>
      </w:pPr>
      <w:r>
        <w:t>在过去数十年间，经济全球化促进了世界经济快速发展，降低了全球生产和消费成本。然而，自2018年以来，全球化进程面临严峻挑战，中美关税战成为全球经济格局重构的重要事件，标志着全球化进程的阶段性转向。</w:t>
      </w:r>
    </w:p>
    <w:p>
      <w:pPr>
        <w:pStyle w:val="47"/>
      </w:pPr>
      <w:r>
        <w:drawing>
          <wp:inline distT="0" distB="0" distL="114300" distR="114300">
            <wp:extent cx="5334000" cy="4267200"/>
            <wp:effectExtent l="0" t="0" r="0" b="0"/>
            <wp:docPr id="21" name="Picture" descr="中美关税战关键事件时间线(2018-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中美关税战关键事件时间线(2018-2023)"/>
                    <pic:cNvPicPr>
                      <a:picLocks noChangeAspect="1" noChangeArrowheads="1"/>
                    </pic:cNvPicPr>
                  </pic:nvPicPr>
                  <pic:blipFill>
                    <a:blip r:embed="rId5"/>
                    <a:stretch>
                      <a:fillRect/>
                    </a:stretch>
                  </pic:blipFill>
                  <pic:spPr>
                    <a:xfrm>
                      <a:off x="0" y="0"/>
                      <a:ext cx="5334000" cy="4267200"/>
                    </a:xfrm>
                    <a:prstGeom prst="rect">
                      <a:avLst/>
                    </a:prstGeom>
                    <a:noFill/>
                    <a:ln w="9525">
                      <a:noFill/>
                    </a:ln>
                  </pic:spPr>
                </pic:pic>
              </a:graphicData>
            </a:graphic>
          </wp:inline>
        </w:drawing>
      </w:r>
    </w:p>
    <w:p>
      <w:pPr>
        <w:pStyle w:val="45"/>
      </w:pPr>
      <w:r>
        <w:t>中美关税战关键事件时间线(2018-2023)</w:t>
      </w:r>
    </w:p>
    <w:p>
      <w:pPr>
        <w:pStyle w:val="3"/>
      </w:pPr>
      <w:r>
        <w:t>2018年3月，美国特朗普政府援引”301调查”结果，宣布对从中国进口的商品加征关税。随后的两年间，美国共对约3600亿美元中国商品加征了25%的关税，中国也对约1100亿美元的美国商品实施了反制措施。2020年1月，中美签署第一阶段经贸协议，暂时缓和了紧张局势，但关税壁垒并未全面拆除。2022年以来，新一轮关税和贸易管制措施不断出台，特别是在芯片等高科技领域，标志着中美战略竞争进入新阶段。</w:t>
      </w:r>
    </w:p>
    <w:bookmarkEnd w:id="1"/>
    <w:p>
      <w:pPr>
        <w:pStyle w:val="4"/>
      </w:pPr>
      <w:bookmarkStart w:id="2" w:name="问题提出关税战的多学科交叉影响机制及冲突升级风险"/>
      <w:r>
        <w:t>问题提出：关税战的多学科交叉影响机制及冲突升级风险</w:t>
      </w:r>
    </w:p>
    <w:p>
      <w:pPr>
        <w:pStyle w:val="23"/>
      </w:pPr>
      <w:r>
        <w:t>中美关税战不仅仅是经济领域的博弈，其影响已经渗透到社会结构、民众心理、地缘政治等多个层面。本研究试图回答以下关键问题：</w:t>
      </w:r>
    </w:p>
    <w:p>
      <w:pPr>
        <w:pStyle w:val="24"/>
        <w:numPr>
          <w:ilvl w:val="0"/>
          <w:numId w:val="1"/>
        </w:numPr>
      </w:pPr>
      <w:r>
        <w:rPr>
          <w:b/>
          <w:bCs/>
        </w:rPr>
        <w:t>经济学维度</w:t>
      </w:r>
      <w:r>
        <w:t>：关税政策如何影响资源配置效率、贸易条件和产业链重构？关税转嫁效应的分布特征是什么？</w:t>
      </w:r>
    </w:p>
    <w:p>
      <w:pPr>
        <w:pStyle w:val="24"/>
        <w:numPr>
          <w:ilvl w:val="0"/>
          <w:numId w:val="1"/>
        </w:numPr>
      </w:pPr>
      <w:r>
        <w:rPr>
          <w:b/>
          <w:bCs/>
        </w:rPr>
        <w:t>社会学维度</w:t>
      </w:r>
      <w:r>
        <w:t>：关税战对社会阶层分化、区域经济差距、劳动力市场产生了什么影响？不同类型区域受到的冲击有何差异？</w:t>
      </w:r>
    </w:p>
    <w:p>
      <w:pPr>
        <w:pStyle w:val="24"/>
        <w:numPr>
          <w:ilvl w:val="0"/>
          <w:numId w:val="1"/>
        </w:numPr>
      </w:pPr>
      <w:r>
        <w:rPr>
          <w:b/>
          <w:bCs/>
        </w:rPr>
        <w:t>心理学维度</w:t>
      </w:r>
      <w:r>
        <w:t>：民众的消费信心、风险感知及行为决策受到了怎样的影响？社交媒体情绪与经济指标间存在何种关联？</w:t>
      </w:r>
    </w:p>
    <w:p>
      <w:pPr>
        <w:pStyle w:val="24"/>
        <w:numPr>
          <w:ilvl w:val="0"/>
          <w:numId w:val="1"/>
        </w:numPr>
      </w:pPr>
      <w:r>
        <w:rPr>
          <w:b/>
          <w:bCs/>
        </w:rPr>
        <w:t>冲突风险维度</w:t>
      </w:r>
      <w:r>
        <w:t>：关税战是否存在升级为更严重冲突甚至军事对抗的风险？战略资源依赖与冲突风险之间是否存在相关性？</w:t>
      </w:r>
    </w:p>
    <w:p>
      <w:pPr>
        <w:pStyle w:val="47"/>
      </w:pPr>
      <w:r>
        <w:drawing>
          <wp:inline distT="0" distB="0" distL="114300" distR="114300">
            <wp:extent cx="5365115" cy="3810000"/>
            <wp:effectExtent l="0" t="0" r="14605" b="0"/>
            <wp:docPr id="25" name="Picture" descr="本研究的跨学科分析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本研究的跨学科分析框架"/>
                    <pic:cNvPicPr>
                      <a:picLocks noChangeAspect="1" noChangeArrowheads="1"/>
                    </pic:cNvPicPr>
                  </pic:nvPicPr>
                  <pic:blipFill>
                    <a:blip r:embed="rId6"/>
                    <a:stretch>
                      <a:fillRect/>
                    </a:stretch>
                  </pic:blipFill>
                  <pic:spPr>
                    <a:xfrm>
                      <a:off x="0" y="0"/>
                      <a:ext cx="5365115" cy="3810000"/>
                    </a:xfrm>
                    <a:prstGeom prst="rect">
                      <a:avLst/>
                    </a:prstGeom>
                    <a:noFill/>
                    <a:ln w="9525">
                      <a:noFill/>
                    </a:ln>
                  </pic:spPr>
                </pic:pic>
              </a:graphicData>
            </a:graphic>
          </wp:inline>
        </w:drawing>
      </w:r>
    </w:p>
    <w:p>
      <w:pPr>
        <w:pStyle w:val="45"/>
      </w:pPr>
      <w:r>
        <w:t>本研究的跨学科分析框架</w:t>
      </w:r>
    </w:p>
    <w:p>
      <w:pPr>
        <w:pStyle w:val="3"/>
      </w:pPr>
      <w:r>
        <w:t>这些问题的回答有助于我们全面理解关税战的深层影响，超越传统的贸易模型分析，为制定更精准的政策提供依据。</w:t>
      </w:r>
    </w:p>
    <w:bookmarkEnd w:id="2"/>
    <w:p>
      <w:pPr>
        <w:pStyle w:val="4"/>
      </w:pPr>
      <w:bookmarkStart w:id="3" w:name="研究意义理论创新与政策实践"/>
      <w:r>
        <w:t>研究意义：理论创新与政策实践</w:t>
      </w:r>
    </w:p>
    <w:p>
      <w:pPr>
        <w:pStyle w:val="23"/>
      </w:pPr>
      <w:r>
        <w:t>本研究的重要意义体现在以下几个方面：</w:t>
      </w:r>
    </w:p>
    <w:p>
      <w:pPr>
        <w:numPr>
          <w:ilvl w:val="0"/>
          <w:numId w:val="2"/>
        </w:numPr>
      </w:pPr>
      <w:r>
        <w:rPr>
          <w:b/>
          <w:bCs/>
        </w:rPr>
        <w:t>跨学科理论创新</w:t>
      </w:r>
      <w:r>
        <w:t>：通过整合经济学、社会学和心理学的分析框架，我们拓展了现有国际贸易理论的边界，引入”关税的社会心理成本”等创新概念，丰富了国际贸易理论体系。</w:t>
      </w:r>
    </w:p>
    <w:p>
      <w:pPr>
        <w:numPr>
          <w:ilvl w:val="0"/>
          <w:numId w:val="2"/>
        </w:numPr>
      </w:pPr>
      <w:r>
        <w:rPr>
          <w:b/>
          <w:bCs/>
        </w:rPr>
        <w:t>数据融合方法创新</w:t>
      </w:r>
      <w:r>
        <w:t>：本研究综合使用关税清单、贸易数据、社交媒体情感分析、区域经济指标等多源数据，通过R语言开发的混合效应模型，实现了宏观经济指标与微观行为数据的有机结合。</w:t>
      </w:r>
    </w:p>
    <w:p>
      <w:pPr>
        <w:numPr>
          <w:ilvl w:val="0"/>
          <w:numId w:val="2"/>
        </w:numPr>
      </w:pPr>
      <w:r>
        <w:rPr>
          <w:b/>
          <w:bCs/>
        </w:rPr>
        <w:t>政策制定实践参考</w:t>
      </w:r>
      <w:r>
        <w:t>：研究结果为制定更全面、更具针对性的贸易政策和风险管理策略提供实证依据，尤其是在产业链安全、区域协调发展和社会稳定方面。</w:t>
      </w:r>
    </w:p>
    <w:p>
      <w:pPr>
        <w:numPr>
          <w:ilvl w:val="0"/>
          <w:numId w:val="2"/>
        </w:numPr>
      </w:pPr>
      <w:r>
        <w:rPr>
          <w:b/>
          <w:bCs/>
        </w:rPr>
        <w:t>冲突风险评估工具</w:t>
      </w:r>
      <w:r>
        <w:t>：通过构建战略资源依赖度与冲突风险关联模型，为防范关税战升级为更严重冲突提供早期预警机制。</w:t>
      </w:r>
    </w:p>
    <w:bookmarkEnd w:id="0"/>
    <w:bookmarkEnd w:id="3"/>
    <w:p>
      <w:pPr>
        <w:pStyle w:val="2"/>
      </w:pPr>
      <w:bookmarkStart w:id="4" w:name="第二章文献综述"/>
      <w:r>
        <w:t>第二章：文献综述</w:t>
      </w:r>
    </w:p>
    <w:p>
      <w:pPr>
        <w:pStyle w:val="4"/>
      </w:pPr>
      <w:bookmarkStart w:id="5" w:name="经济学视角关税转嫁理论贸易条件恶化论"/>
      <w:r>
        <w:t>经济学视角：关税转嫁理论、贸易条件恶化论</w:t>
      </w:r>
    </w:p>
    <w:p>
      <w:pPr>
        <w:pStyle w:val="23"/>
      </w:pPr>
      <w:r>
        <w:t>经济学领域关于关税影响的研究主要集中在价格传递、福利损失和资源再配置三个方面。根据传统的国际贸易理论，关税会导致总体福利损失，但早期研究往往忽视了关税的异质性效应和长期影响。</w:t>
      </w:r>
    </w:p>
    <w:p>
      <w:pPr>
        <w:pStyle w:val="47"/>
      </w:pPr>
      <w:r>
        <w:drawing>
          <wp:inline distT="0" distB="0" distL="114300" distR="114300">
            <wp:extent cx="5334000" cy="3810000"/>
            <wp:effectExtent l="0" t="0" r="0" b="0"/>
            <wp:docPr id="31" name="Picture" descr="经济学视角下关税战研究焦点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经济学视角下关税战研究焦点分布"/>
                    <pic:cNvPicPr>
                      <a:picLocks noChangeAspect="1" noChangeArrowheads="1"/>
                    </pic:cNvPicPr>
                  </pic:nvPicPr>
                  <pic:blipFill>
                    <a:blip r:embed="rId7"/>
                    <a:stretch>
                      <a:fillRect/>
                    </a:stretch>
                  </pic:blipFill>
                  <pic:spPr>
                    <a:xfrm>
                      <a:off x="0" y="0"/>
                      <a:ext cx="5334000" cy="3810000"/>
                    </a:xfrm>
                    <a:prstGeom prst="rect">
                      <a:avLst/>
                    </a:prstGeom>
                    <a:noFill/>
                    <a:ln w="9525">
                      <a:noFill/>
                    </a:ln>
                  </pic:spPr>
                </pic:pic>
              </a:graphicData>
            </a:graphic>
          </wp:inline>
        </w:drawing>
      </w:r>
    </w:p>
    <w:p>
      <w:pPr>
        <w:pStyle w:val="45"/>
      </w:pPr>
      <w:r>
        <w:t>经济学视角下关税战研究焦点分布</w:t>
      </w:r>
    </w:p>
    <w:p>
      <w:pPr>
        <w:pStyle w:val="3"/>
      </w:pPr>
      <w:r>
        <w:t>Amiti等(2019)研究了2018年美国关税政策的价格传递效应，发现关税成本几乎完全由美国进口商承担，约95%的关税成本转嫁到了美国消费者身上</w:t>
      </w:r>
      <w:r>
        <w:rPr>
          <w:vertAlign w:val="superscript"/>
        </w:rPr>
        <w:t>1</w:t>
      </w:r>
      <w:r>
        <w:t>。这一研究挑战了关税能够有效保护国内产业的传统观点。Fajgelbaum等(2020)进一步计算了关税战导致的福利损失，估计美国实际收入减少了0.04%，中国减少了0.25%，全球整体损失约0.1%</w:t>
      </w:r>
      <w:r>
        <w:rPr>
          <w:vertAlign w:val="superscript"/>
        </w:rPr>
        <w:t>2</w:t>
      </w:r>
      <w:r>
        <w:t>。</w:t>
      </w:r>
    </w:p>
    <w:p>
      <w:pPr>
        <w:pStyle w:val="3"/>
      </w:pPr>
      <w:r>
        <w:t>对于产业链重构效应，Handley等(2020)通过分析中美贸易数据发现，高关税产品的进口需求明显转向第三国，最显著的是越南、墨西哥等替代供应地</w:t>
      </w:r>
      <w:r>
        <w:rPr>
          <w:vertAlign w:val="superscript"/>
        </w:rPr>
        <w:t>3</w:t>
      </w:r>
      <w:r>
        <w:t>。这一”贸易转移”现象引发了人们对关税政策长期有效性的质疑。Flaaen等(2020)分析了美国洗衣机进口关税的案例，发现关税导致洗衣机价格上涨11.5%，甚至影响了未被征税的干衣机价格（上涨了5.3%），显示了关税的意外溢出效应</w:t>
      </w:r>
      <w:r>
        <w:rPr>
          <w:vertAlign w:val="superscript"/>
        </w:rPr>
        <w:t>4</w:t>
      </w:r>
      <w:r>
        <w:t>。</w:t>
      </w:r>
    </w:p>
    <w:p>
      <w:pPr>
        <w:pStyle w:val="3"/>
      </w:pPr>
      <w:r>
        <w:t>然而，这些研究主要关注短期的直接经济影响，忽视了关税政策产生的长期社会和心理效应。同时，多数研究采用行业层面的聚合数据，对关税影响的异质性描述不足。本研究将在这些方面进行拓展。</w:t>
      </w:r>
    </w:p>
    <w:bookmarkEnd w:id="5"/>
    <w:p>
      <w:pPr>
        <w:pStyle w:val="4"/>
      </w:pPr>
      <w:bookmarkStart w:id="6" w:name="社会学视角不平等加剧劳动力市场极化"/>
      <w:r>
        <w:t>社会学视角：不平等加剧、劳动力市场极化</w:t>
      </w:r>
    </w:p>
    <w:p>
      <w:pPr>
        <w:pStyle w:val="23"/>
      </w:pPr>
      <w:r>
        <w:t>社会学视角下的研究主要关注关税政策对社会结构和群体分层的影响。Autor等(2018)的开创性研究揭示了国际贸易冲击对地区劳动力市场的长期影响。他们发现暴露于中国进口竞争的美国地区经历了更严重的制造业岗位流失、失业率上升和工资水平下降</w:t>
      </w:r>
      <w:r>
        <w:rPr>
          <w:vertAlign w:val="superscript"/>
        </w:rPr>
        <w:t>5</w:t>
      </w:r>
      <w:r>
        <w:t>。</w:t>
      </w:r>
    </w:p>
    <w:p>
      <w:pPr>
        <w:pStyle w:val="47"/>
      </w:pPr>
      <w:r>
        <w:drawing>
          <wp:inline distT="0" distB="0" distL="114300" distR="114300">
            <wp:extent cx="5334000" cy="3810000"/>
            <wp:effectExtent l="0" t="0" r="0" b="0"/>
            <wp:docPr id="35" name="Picture" descr="贸易冲击影响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贸易冲击影响机制"/>
                    <pic:cNvPicPr>
                      <a:picLocks noChangeAspect="1" noChangeArrowheads="1"/>
                    </pic:cNvPicPr>
                  </pic:nvPicPr>
                  <pic:blipFill>
                    <a:blip r:embed="rId8"/>
                    <a:stretch>
                      <a:fillRect/>
                    </a:stretch>
                  </pic:blipFill>
                  <pic:spPr>
                    <a:xfrm>
                      <a:off x="0" y="0"/>
                      <a:ext cx="5334000" cy="3810000"/>
                    </a:xfrm>
                    <a:prstGeom prst="rect">
                      <a:avLst/>
                    </a:prstGeom>
                    <a:noFill/>
                    <a:ln w="9525">
                      <a:noFill/>
                    </a:ln>
                  </pic:spPr>
                </pic:pic>
              </a:graphicData>
            </a:graphic>
          </wp:inline>
        </w:drawing>
      </w:r>
    </w:p>
    <w:p>
      <w:pPr>
        <w:pStyle w:val="45"/>
      </w:pPr>
      <w:r>
        <w:t>贸易冲击影响机制</w:t>
      </w:r>
    </w:p>
    <w:p>
      <w:pPr>
        <w:pStyle w:val="3"/>
      </w:pPr>
      <w:r>
        <w:t>在社会不平等方面，Pierce和Schott(2020)分析了贸易政策不确定性对地区死亡率的影响，发现面临贸易竞争的地区药物滥用和自杀率上升，表明贸易冲击可能通过经济压力导致社会问题</w:t>
      </w:r>
      <w:r>
        <w:rPr>
          <w:vertAlign w:val="superscript"/>
        </w:rPr>
        <w:t>6</w:t>
      </w:r>
      <w:r>
        <w:t>。类似地，Brandt等(2019)研究了中国区域开放程度与收入不平等的关系，发现对外贸易依赖度高的地区在贸易摩擦中受到的冲击更为显著</w:t>
      </w:r>
      <w:r>
        <w:rPr>
          <w:vertAlign w:val="superscript"/>
        </w:rPr>
        <w:t>7</w:t>
      </w:r>
      <w:r>
        <w:t>。</w:t>
      </w:r>
    </w:p>
    <w:p>
      <w:pPr>
        <w:pStyle w:val="3"/>
      </w:pPr>
      <w:r>
        <w:t>劳动力市场极化是另一个重要研究方向。Bloom等(2019)指出，贸易冲击加速了劳动力市场的技能分化，低技能工人失业风险增加，而高技能工人受到的影响相对较小</w:t>
      </w:r>
      <w:r>
        <w:rPr>
          <w:vertAlign w:val="superscript"/>
        </w:rPr>
        <w:t>8</w:t>
      </w:r>
      <w:r>
        <w:t>。Lyon和Waugh(2019)发现，关税保护的短期就业效应因地区和行业而异，但长期可能通过扭曲资源配置降低整体生产效率</w:t>
      </w:r>
      <w:r>
        <w:rPr>
          <w:vertAlign w:val="superscript"/>
        </w:rPr>
        <w:t>9</w:t>
      </w:r>
      <w:r>
        <w:t>。</w:t>
      </w:r>
    </w:p>
    <w:p>
      <w:pPr>
        <w:pStyle w:val="3"/>
      </w:pPr>
      <w:r>
        <w:t>Autor等(2020)的追踪研究表明，中美贸易竞争导致的制造业就业损失在十年后仍未完全恢复，且社区层面的社会经济指标持续恶化</w:t>
      </w:r>
      <w:r>
        <w:rPr>
          <w:vertAlign w:val="superscript"/>
        </w:rPr>
        <w:t>10</w:t>
      </w:r>
      <w:r>
        <w:t>。Kim和Vogel(2021)进一步发现，由贸易冲击引发的劳动力市场调整成本高度集中在特定群体，特别是教育水平较低、技能单一、中年以上的工人</w:t>
      </w:r>
      <w:r>
        <w:rPr>
          <w:vertAlign w:val="superscript"/>
        </w:rPr>
        <w:t>11</w:t>
      </w:r>
      <w:r>
        <w:t>。</w:t>
      </w:r>
    </w:p>
    <w:p>
      <w:pPr>
        <w:pStyle w:val="3"/>
      </w:pPr>
      <w:r>
        <w:t>然而，现有研究多集中在单一国家的区域差异，缺乏中美两国比较视角。同时，对贸易依赖度不同的区域如何应对关税冲击的研究较少。本研究将填补这一研究空白。</w:t>
      </w:r>
    </w:p>
    <w:bookmarkEnd w:id="6"/>
    <w:p>
      <w:pPr>
        <w:pStyle w:val="4"/>
      </w:pPr>
      <w:bookmarkStart w:id="7" w:name="心理学视角损失厌恶与消费决策"/>
      <w:r>
        <w:t>心理学视角：损失厌恶与消费决策</w:t>
      </w:r>
    </w:p>
    <w:p>
      <w:pPr>
        <w:pStyle w:val="23"/>
      </w:pPr>
      <w:r>
        <w:t>心理学和行为经济学为理解关税战的影响提供了独特视角。Kahneman和Tversky(1979)提出的前景理论指出，人们对损失比对收益更敏感，且在风险和不确定性下的决策常常不符合理性预期</w:t>
      </w:r>
      <w:r>
        <w:rPr>
          <w:vertAlign w:val="superscript"/>
        </w:rPr>
        <w:t>12</w:t>
      </w:r>
      <w:r>
        <w:t>。应用到贸易政策，这意味着关税战带来的不确定性可能导致消费者信心下降，企业投资决策推迟。</w:t>
      </w:r>
    </w:p>
    <w:p>
      <w:pPr>
        <w:pStyle w:val="47"/>
      </w:pPr>
      <w:r>
        <w:drawing>
          <wp:inline distT="0" distB="0" distL="114300" distR="114300">
            <wp:extent cx="5334000" cy="3810000"/>
            <wp:effectExtent l="0" t="0" r="0" b="0"/>
            <wp:docPr id="39" name="Picture" descr="贸易政策不确定性、消费者信心与经济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贸易政策不确定性、消费者信心与经济活动"/>
                    <pic:cNvPicPr>
                      <a:picLocks noChangeAspect="1" noChangeArrowheads="1"/>
                    </pic:cNvPicPr>
                  </pic:nvPicPr>
                  <pic:blipFill>
                    <a:blip r:embed="rId9"/>
                    <a:stretch>
                      <a:fillRect/>
                    </a:stretch>
                  </pic:blipFill>
                  <pic:spPr>
                    <a:xfrm>
                      <a:off x="0" y="0"/>
                      <a:ext cx="5334000" cy="3810000"/>
                    </a:xfrm>
                    <a:prstGeom prst="rect">
                      <a:avLst/>
                    </a:prstGeom>
                    <a:noFill/>
                    <a:ln w="9525">
                      <a:noFill/>
                    </a:ln>
                  </pic:spPr>
                </pic:pic>
              </a:graphicData>
            </a:graphic>
          </wp:inline>
        </w:drawing>
      </w:r>
    </w:p>
    <w:p>
      <w:pPr>
        <w:pStyle w:val="45"/>
      </w:pPr>
      <w:r>
        <w:t>贸易政策不确定性、消费者信心与经济活动</w:t>
      </w:r>
    </w:p>
    <w:p>
      <w:pPr>
        <w:pStyle w:val="3"/>
      </w:pPr>
      <w:r>
        <w:t>实证研究方面，Baker等(2016)构建的经济政策不确定性指数显示，贸易政策不确定性与消费者信心负相关，企业投资决策延迟</w:t>
      </w:r>
      <w:r>
        <w:rPr>
          <w:vertAlign w:val="superscript"/>
        </w:rPr>
        <w:t>13</w:t>
      </w:r>
      <w:r>
        <w:t>。Benhabib和Spiegel(2019)发现消费者信心的下降不仅影响当期消费，还会通过预期渠道影响未来几个季度的经济活动</w:t>
      </w:r>
      <w:r>
        <w:rPr>
          <w:vertAlign w:val="superscript"/>
        </w:rPr>
        <w:t>14</w:t>
      </w:r>
      <w:r>
        <w:t>。Hassan等(2021)通过分析企业财报电话会议记录发现，中美贸易摩擦增加了企业对政策不确定性的担忧，导致投资计划延迟和雇佣决策谨慎</w:t>
      </w:r>
      <w:r>
        <w:rPr>
          <w:vertAlign w:val="superscript"/>
        </w:rPr>
        <w:t>15</w:t>
      </w:r>
      <w:r>
        <w:t>。</w:t>
      </w:r>
    </w:p>
    <w:p>
      <w:pPr>
        <w:pStyle w:val="3"/>
      </w:pPr>
      <w:r>
        <w:t>对于社交媒体和公众舆论，Antweiler和Frank(2004)最早尝试利用网络讨论内容预测股市波动</w:t>
      </w:r>
      <w:r>
        <w:rPr>
          <w:vertAlign w:val="superscript"/>
        </w:rPr>
        <w:t>16</w:t>
      </w:r>
      <w:r>
        <w:t>，而Bollen等(2011)发现Twitter上的公众情绪可以预测道琼斯工业指数的变动</w:t>
      </w:r>
      <w:r>
        <w:rPr>
          <w:vertAlign w:val="superscript"/>
        </w:rPr>
        <w:t>17</w:t>
      </w:r>
      <w:r>
        <w:t>。新兴的计算社会科学研究将社交媒体视为”社会传感器”，能够反映公众对政策变化的实时反应。Larsen和Thorsrud(2019)利用新闻文本数据构建的情感指数能够有效预测宏观经济变量的波动</w:t>
      </w:r>
      <w:r>
        <w:rPr>
          <w:vertAlign w:val="superscript"/>
        </w:rPr>
        <w:t>18</w:t>
      </w:r>
      <w:r>
        <w:t>，为我们理解贸易政策与公众情绪的关系提供了方法论借鉴。</w:t>
      </w:r>
    </w:p>
    <w:p>
      <w:pPr>
        <w:pStyle w:val="3"/>
      </w:pPr>
      <w:r>
        <w:t>本研究将结合消费者信心指数和社交媒体情感分析，探索关税战对消费者心理和行为决策的影响机制，这是现有文献中较少涉及的领域。</w:t>
      </w:r>
    </w:p>
    <w:bookmarkEnd w:id="7"/>
    <w:p>
      <w:pPr>
        <w:pStyle w:val="4"/>
      </w:pPr>
      <w:bookmarkStart w:id="8" w:name="冲突理论资源竞争与安全困境"/>
      <w:r>
        <w:t>冲突理论：资源竞争与安全困境</w:t>
      </w:r>
    </w:p>
    <w:p>
      <w:pPr>
        <w:pStyle w:val="23"/>
      </w:pPr>
      <w:r>
        <w:t>冲突理论视角下，关税战可能是中美战略竞争的前奏。Copeland(1996)提出的”贸易预期理论”(Trade Expectations Theory)认为，当国家间未来贸易预期恶化时，和平的经济基础就会减弱，冲突风险上升</w:t>
      </w:r>
      <w:r>
        <w:rPr>
          <w:vertAlign w:val="superscript"/>
        </w:rPr>
        <w:t>19</w:t>
      </w:r>
      <w:r>
        <w:t>。这一理论为理解关税战的安全影响提供了框架。</w:t>
      </w:r>
    </w:p>
    <w:p>
      <w:pPr>
        <w:pStyle w:val="47"/>
      </w:pPr>
      <w:r>
        <w:drawing>
          <wp:inline distT="0" distB="0" distL="114300" distR="114300">
            <wp:extent cx="5334000" cy="3810000"/>
            <wp:effectExtent l="0" t="0" r="0" b="0"/>
            <wp:docPr id="43" name="Picture" descr="冲突升级理论模型比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冲突升级理论模型比较"/>
                    <pic:cNvPicPr>
                      <a:picLocks noChangeAspect="1" noChangeArrowheads="1"/>
                    </pic:cNvPicPr>
                  </pic:nvPicPr>
                  <pic:blipFill>
                    <a:blip r:embed="rId10"/>
                    <a:stretch>
                      <a:fillRect/>
                    </a:stretch>
                  </pic:blipFill>
                  <pic:spPr>
                    <a:xfrm>
                      <a:off x="0" y="0"/>
                      <a:ext cx="5334000" cy="3810000"/>
                    </a:xfrm>
                    <a:prstGeom prst="rect">
                      <a:avLst/>
                    </a:prstGeom>
                    <a:noFill/>
                    <a:ln w="9525">
                      <a:noFill/>
                    </a:ln>
                  </pic:spPr>
                </pic:pic>
              </a:graphicData>
            </a:graphic>
          </wp:inline>
        </w:drawing>
      </w:r>
    </w:p>
    <w:p>
      <w:pPr>
        <w:pStyle w:val="45"/>
      </w:pPr>
      <w:r>
        <w:t>冲突升级理论模型比较</w:t>
      </w:r>
    </w:p>
    <w:p>
      <w:pPr>
        <w:pStyle w:val="3"/>
      </w:pPr>
      <w:r>
        <w:t>资源竞争是另一个重要视角。Klare(2012)分析了稀土等战略资源在国际冲突中的作用，指出资源依赖度高的国家更容易采取激进政策</w:t>
      </w:r>
      <w:r>
        <w:rPr>
          <w:vertAlign w:val="superscript"/>
        </w:rPr>
        <w:t>20</w:t>
      </w:r>
      <w:r>
        <w:t>。中国作为全球稀土主要供应国，美国对中国稀土的依赖可能成为双边关系的重要变量。Medeiros(2019)进一步分析了科技竞争与安全困境的关系，指出5G、半导体等领域的竞争已从经济领域扩展到安全领域</w:t>
      </w:r>
      <w:r>
        <w:rPr>
          <w:vertAlign w:val="superscript"/>
        </w:rPr>
        <w:t>21</w:t>
      </w:r>
      <w:r>
        <w:t>。</w:t>
      </w:r>
    </w:p>
    <w:p>
      <w:pPr>
        <w:pStyle w:val="3"/>
      </w:pPr>
      <w:r>
        <w:t>冲突升级模型方面，Fearon(1995)提出的”讨价还价模型”认为，信息不对称和承诺问题是冲突升级的主要原因</w:t>
      </w:r>
      <w:r>
        <w:rPr>
          <w:vertAlign w:val="superscript"/>
        </w:rPr>
        <w:t>22</w:t>
      </w:r>
      <w:r>
        <w:t>。应用到中美关系，这意味着双方误判对方意图和能力的风险可能导致关税战升级为更严重的冲突。Allison(2017)的”修昔底德陷阱”理论进一步探讨了崛起大国与既有大国之间的结构性冲突风险</w:t>
      </w:r>
      <w:r>
        <w:rPr>
          <w:vertAlign w:val="superscript"/>
        </w:rPr>
        <w:t>23</w:t>
      </w:r>
      <w:r>
        <w:t>，为我们理解中美战略竞争提供了历史视角。</w:t>
      </w:r>
    </w:p>
    <w:p>
      <w:pPr>
        <w:pStyle w:val="3"/>
      </w:pPr>
      <w:r>
        <w:t>近年来，战略资源依赖与冲突风险关系得到越来越多关注。Kalicki和Goldwyn(2013)研究了能源依赖与地缘政治关系，发现资源依赖常被武器化，成为国际博弈的重要筹码</w:t>
      </w:r>
      <w:r>
        <w:rPr>
          <w:vertAlign w:val="superscript"/>
        </w:rPr>
        <w:t>24</w:t>
      </w:r>
      <w:r>
        <w:t>。Blackwill和Harris(2016)提出”地缘经济”概念，认为经济工具（包括贸易政策）越来越多地被用于实现地缘政治目标</w:t>
      </w:r>
      <w:r>
        <w:rPr>
          <w:vertAlign w:val="superscript"/>
        </w:rPr>
        <w:t>25</w:t>
      </w:r>
      <w:r>
        <w:t>。Farrell和Newman(2019)进一步发展了”武器化的相互依赖”理论，揭示了全球供应链中心节点如何成为大国竞争的战略杠杆</w:t>
      </w:r>
      <w:r>
        <w:rPr>
          <w:vertAlign w:val="superscript"/>
        </w:rPr>
        <w:t>26</w:t>
      </w:r>
      <w:r>
        <w:t>。</w:t>
      </w:r>
    </w:p>
    <w:p>
      <w:pPr>
        <w:pStyle w:val="3"/>
      </w:pPr>
      <w:r>
        <w:t>然而，现有研究较少定量分析战略资源依赖与冲突风险的关系，也缺乏对关税战情境下民众情绪与冲突风险关联的探讨。本研究将通过构建战略资源依赖度指标和分析社交媒体情绪，探索关税战升级为更严重冲突的风险和条件。</w:t>
      </w:r>
    </w:p>
    <w:bookmarkEnd w:id="4"/>
    <w:bookmarkEnd w:id="8"/>
    <w:p>
      <w:pPr>
        <w:pStyle w:val="2"/>
      </w:pPr>
      <w:bookmarkStart w:id="9" w:name="第三章方法论与数据"/>
      <w:r>
        <w:t>第三章：方法论与数据</w:t>
      </w:r>
    </w:p>
    <w:p>
      <w:pPr>
        <w:pStyle w:val="4"/>
      </w:pPr>
      <w:bookmarkStart w:id="10" w:name="数据来源"/>
      <w:r>
        <w:t>数据来源</w:t>
      </w:r>
    </w:p>
    <w:p>
      <w:pPr>
        <w:pStyle w:val="23"/>
      </w:pPr>
      <w:r>
        <w:t>本研究综合使用多种数据来源，构建了一个全面的研究数据库：</w:t>
      </w:r>
    </w:p>
    <w:p>
      <w:pPr>
        <w:pStyle w:val="47"/>
      </w:pPr>
      <w:r>
        <w:drawing>
          <wp:inline distT="0" distB="0" distL="114300" distR="114300">
            <wp:extent cx="5334000" cy="3810000"/>
            <wp:effectExtent l="0" t="0" r="0" b="0"/>
            <wp:docPr id="48" name="Picture" descr="本研究的多源数据整合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本研究的多源数据整合框架"/>
                    <pic:cNvPicPr>
                      <a:picLocks noChangeAspect="1" noChangeArrowheads="1"/>
                    </pic:cNvPicPr>
                  </pic:nvPicPr>
                  <pic:blipFill>
                    <a:blip r:embed="rId11"/>
                    <a:stretch>
                      <a:fillRect/>
                    </a:stretch>
                  </pic:blipFill>
                  <pic:spPr>
                    <a:xfrm>
                      <a:off x="0" y="0"/>
                      <a:ext cx="5334000" cy="3810000"/>
                    </a:xfrm>
                    <a:prstGeom prst="rect">
                      <a:avLst/>
                    </a:prstGeom>
                    <a:noFill/>
                    <a:ln w="9525">
                      <a:noFill/>
                    </a:ln>
                  </pic:spPr>
                </pic:pic>
              </a:graphicData>
            </a:graphic>
          </wp:inline>
        </w:drawing>
      </w:r>
    </w:p>
    <w:p>
      <w:pPr>
        <w:pStyle w:val="45"/>
      </w:pPr>
      <w:r>
        <w:t>本研究的多源数据整合框架</w:t>
      </w:r>
    </w:p>
    <w:p>
      <w:pPr>
        <w:pStyle w:val="5"/>
      </w:pPr>
      <w:bookmarkStart w:id="11" w:name="经济数据"/>
      <w:r>
        <w:t>1. 经济数据</w:t>
      </w:r>
    </w:p>
    <w:p>
      <w:pPr>
        <w:pStyle w:val="24"/>
        <w:numPr>
          <w:ilvl w:val="0"/>
          <w:numId w:val="3"/>
        </w:numPr>
      </w:pPr>
      <w:r>
        <w:rPr>
          <w:b/>
          <w:bCs/>
        </w:rPr>
        <w:t>中美贸易数据</w:t>
      </w:r>
      <w:r>
        <w:t>：包括2017年1月至2025年4月的月度双边贸易额、贸易逆差和主要商品类别贸易数据。数据显示，2018年7月首轮关税实施后，美国对华出口和进口均出现不同程度的下降。</w:t>
      </w:r>
    </w:p>
    <w:p>
      <w:pPr>
        <w:pStyle w:val="24"/>
        <w:numPr>
          <w:ilvl w:val="0"/>
          <w:numId w:val="3"/>
        </w:numPr>
      </w:pPr>
      <w:r>
        <w:rPr>
          <w:b/>
          <w:bCs/>
        </w:rPr>
        <w:t>关税清单数据</w:t>
      </w:r>
      <w:r>
        <w:t>：包括美国对华加征关税的四轮清单（2018年7月、8月、9月和2019年5月）以及中国对美反制关税清单。美国关税清单涵盖约3600亿美元中国商品，中国关税清单涵盖约1100亿美元美国商品。</w:t>
      </w:r>
    </w:p>
    <w:p>
      <w:pPr>
        <w:pStyle w:val="24"/>
        <w:numPr>
          <w:ilvl w:val="0"/>
          <w:numId w:val="3"/>
        </w:numPr>
      </w:pPr>
      <w:r>
        <w:rPr>
          <w:b/>
          <w:bCs/>
        </w:rPr>
        <w:t>产业链数据</w:t>
      </w:r>
      <w:r>
        <w:t>：包括受关税影响的主要行业供应链变动情况，如电子产品、汽车零部件等行业的产能迁移数据。</w:t>
      </w:r>
    </w:p>
    <w:p>
      <w:pPr>
        <w:pStyle w:val="23"/>
      </w:pPr>
      <w:r>
        <w:t>下表展示了中美贸易数据的基本统计特征：</w:t>
      </w:r>
    </w:p>
    <w:p>
      <w:pPr>
        <w:pStyle w:val="47"/>
      </w:pPr>
      <w:r>
        <w:drawing>
          <wp:inline distT="0" distB="0" distL="114300" distR="114300">
            <wp:extent cx="5334000" cy="3810000"/>
            <wp:effectExtent l="0" t="0" r="0" b="0"/>
            <wp:docPr id="51" name="Picture" descr="美国对华加征关税涵盖商品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美国对华加征关税涵盖商品分布"/>
                    <pic:cNvPicPr>
                      <a:picLocks noChangeAspect="1" noChangeArrowheads="1"/>
                    </pic:cNvPicPr>
                  </pic:nvPicPr>
                  <pic:blipFill>
                    <a:blip r:embed="rId12"/>
                    <a:stretch>
                      <a:fillRect/>
                    </a:stretch>
                  </pic:blipFill>
                  <pic:spPr>
                    <a:xfrm>
                      <a:off x="0" y="0"/>
                      <a:ext cx="5334000" cy="3810000"/>
                    </a:xfrm>
                    <a:prstGeom prst="rect">
                      <a:avLst/>
                    </a:prstGeom>
                    <a:noFill/>
                    <a:ln w="9525">
                      <a:noFill/>
                    </a:ln>
                  </pic:spPr>
                </pic:pic>
              </a:graphicData>
            </a:graphic>
          </wp:inline>
        </w:drawing>
      </w:r>
    </w:p>
    <w:p>
      <w:pPr>
        <w:pStyle w:val="45"/>
      </w:pPr>
      <w:r>
        <w:t>美国对华加征关税涵盖商品分布</w:t>
      </w:r>
    </w:p>
    <w:bookmarkEnd w:id="11"/>
    <w:p>
      <w:pPr>
        <w:pStyle w:val="5"/>
      </w:pPr>
      <w:bookmarkStart w:id="12" w:name="社会数据"/>
      <w:r>
        <w:t>2. 社会数据</w:t>
      </w:r>
    </w:p>
    <w:p>
      <w:pPr>
        <w:pStyle w:val="24"/>
        <w:numPr>
          <w:ilvl w:val="0"/>
          <w:numId w:val="3"/>
        </w:numPr>
      </w:pPr>
      <w:r>
        <w:rPr>
          <w:b/>
          <w:bCs/>
        </w:rPr>
        <w:t>区域经济指标</w:t>
      </w:r>
      <w:r>
        <w:t>：收集了中国31个省份和美国50个州的GDP增长率、失业率、贸易依存度等指标，按区域类型（沿海制造业、中部地区、西部地区、东北地区等）进行分类。数据显示不同类型地区对关税冲击的敏感度存在显著差异。</w:t>
      </w:r>
    </w:p>
    <w:p>
      <w:pPr>
        <w:pStyle w:val="24"/>
        <w:numPr>
          <w:ilvl w:val="0"/>
          <w:numId w:val="3"/>
        </w:numPr>
      </w:pPr>
      <w:r>
        <w:rPr>
          <w:b/>
          <w:bCs/>
        </w:rPr>
        <w:t>就业数据</w:t>
      </w:r>
      <w:r>
        <w:t>：包括制造业、农业等受关税影响行业的就业变动情况，以及零工经济规模变化数据。</w:t>
      </w:r>
    </w:p>
    <w:p>
      <w:pPr>
        <w:pStyle w:val="24"/>
        <w:numPr>
          <w:ilvl w:val="0"/>
          <w:numId w:val="3"/>
        </w:numPr>
      </w:pPr>
      <w:r>
        <w:rPr>
          <w:b/>
          <w:bCs/>
        </w:rPr>
        <w:t>社会冲突事件</w:t>
      </w:r>
      <w:r>
        <w:t>：统计了关税战前后的罢工、抗议等社会事件频率变化。</w:t>
      </w:r>
    </w:p>
    <w:p>
      <w:pPr>
        <w:pStyle w:val="47"/>
      </w:pPr>
      <w:r>
        <w:drawing>
          <wp:inline distT="0" distB="0" distL="114300" distR="114300">
            <wp:extent cx="5334000" cy="3810000"/>
            <wp:effectExtent l="0" t="0" r="0" b="0"/>
            <wp:docPr id="55" name="Picture" descr="中国不同区域受关税冲击程度比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中国不同区域受关税冲击程度比较"/>
                    <pic:cNvPicPr>
                      <a:picLocks noChangeAspect="1" noChangeArrowheads="1"/>
                    </pic:cNvPicPr>
                  </pic:nvPicPr>
                  <pic:blipFill>
                    <a:blip r:embed="rId13"/>
                    <a:stretch>
                      <a:fillRect/>
                    </a:stretch>
                  </pic:blipFill>
                  <pic:spPr>
                    <a:xfrm>
                      <a:off x="0" y="0"/>
                      <a:ext cx="5334000" cy="3810000"/>
                    </a:xfrm>
                    <a:prstGeom prst="rect">
                      <a:avLst/>
                    </a:prstGeom>
                    <a:noFill/>
                    <a:ln w="9525">
                      <a:noFill/>
                    </a:ln>
                  </pic:spPr>
                </pic:pic>
              </a:graphicData>
            </a:graphic>
          </wp:inline>
        </w:drawing>
      </w:r>
    </w:p>
    <w:p>
      <w:pPr>
        <w:pStyle w:val="45"/>
      </w:pPr>
      <w:r>
        <w:t>中国不同区域受关税冲击程度比较</w:t>
      </w:r>
    </w:p>
    <w:bookmarkEnd w:id="12"/>
    <w:p>
      <w:pPr>
        <w:pStyle w:val="5"/>
      </w:pPr>
      <w:bookmarkStart w:id="13" w:name="心理数据"/>
      <w:r>
        <w:t>3. 心理数据</w:t>
      </w:r>
    </w:p>
    <w:p>
      <w:pPr>
        <w:pStyle w:val="24"/>
        <w:numPr>
          <w:ilvl w:val="0"/>
          <w:numId w:val="3"/>
        </w:numPr>
      </w:pPr>
      <w:r>
        <w:rPr>
          <w:b/>
          <w:bCs/>
        </w:rPr>
        <w:t>消费者信心指数</w:t>
      </w:r>
      <w:r>
        <w:t>：收集了2017年至2025年的月度美国和中国消费者信心指数，反映了两国民众对经济前景的预期变化。</w:t>
      </w:r>
    </w:p>
    <w:p>
      <w:pPr>
        <w:pStyle w:val="24"/>
        <w:numPr>
          <w:ilvl w:val="0"/>
          <w:numId w:val="3"/>
        </w:numPr>
      </w:pPr>
      <w:r>
        <w:rPr>
          <w:b/>
          <w:bCs/>
        </w:rPr>
        <w:t>社交媒体情感数据</w:t>
      </w:r>
      <w:r>
        <w:t>：通过爬虫技术收集了微博、Twitter等平台上关于”关税”、“贸易战”等关键词的讨论内容，并进行情感分析，量化了公众情绪变化。数据涵盖2017年至2025年的437周，每周平均收集超过800条讨论内容。</w:t>
      </w:r>
    </w:p>
    <w:p>
      <w:pPr>
        <w:pStyle w:val="23"/>
      </w:pPr>
      <w:r>
        <w:t>下图显示了消费者信心指数与社交媒体情感的变化趋势：</w:t>
      </w:r>
    </w:p>
    <w:p>
      <w:pPr>
        <w:pStyle w:val="47"/>
      </w:pPr>
      <w:r>
        <w:drawing>
          <wp:inline distT="0" distB="0" distL="114300" distR="114300">
            <wp:extent cx="5334000" cy="3810000"/>
            <wp:effectExtent l="0" t="0" r="0" b="0"/>
            <wp:docPr id="59" name="Picture" descr="消费者信心指数与社交媒体情感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descr="消费者信心指数与社交媒体情感趋势"/>
                    <pic:cNvPicPr>
                      <a:picLocks noChangeAspect="1" noChangeArrowheads="1"/>
                    </pic:cNvPicPr>
                  </pic:nvPicPr>
                  <pic:blipFill>
                    <a:blip r:embed="rId14"/>
                    <a:stretch>
                      <a:fillRect/>
                    </a:stretch>
                  </pic:blipFill>
                  <pic:spPr>
                    <a:xfrm>
                      <a:off x="0" y="0"/>
                      <a:ext cx="5334000" cy="3810000"/>
                    </a:xfrm>
                    <a:prstGeom prst="rect">
                      <a:avLst/>
                    </a:prstGeom>
                    <a:noFill/>
                    <a:ln w="9525">
                      <a:noFill/>
                    </a:ln>
                  </pic:spPr>
                </pic:pic>
              </a:graphicData>
            </a:graphic>
          </wp:inline>
        </w:drawing>
      </w:r>
    </w:p>
    <w:p>
      <w:pPr>
        <w:pStyle w:val="45"/>
      </w:pPr>
      <w:r>
        <w:t>消费者信心指数与社交媒体情感趋势</w:t>
      </w:r>
    </w:p>
    <w:bookmarkEnd w:id="13"/>
    <w:p>
      <w:pPr>
        <w:pStyle w:val="5"/>
      </w:pPr>
      <w:bookmarkStart w:id="14" w:name="冲突风险数据"/>
      <w:r>
        <w:t>4. 冲突风险数据</w:t>
      </w:r>
    </w:p>
    <w:p>
      <w:pPr>
        <w:pStyle w:val="24"/>
        <w:numPr>
          <w:ilvl w:val="0"/>
          <w:numId w:val="3"/>
        </w:numPr>
      </w:pPr>
      <w:r>
        <w:rPr>
          <w:b/>
          <w:bCs/>
        </w:rPr>
        <w:t>战略资源数据</w:t>
      </w:r>
      <w:r>
        <w:t>：收集了镧、铈、钕等27种战略资源的月度价格、中国供应比例和美国依赖度数据。</w:t>
      </w:r>
    </w:p>
    <w:p>
      <w:pPr>
        <w:pStyle w:val="24"/>
        <w:numPr>
          <w:ilvl w:val="0"/>
          <w:numId w:val="3"/>
        </w:numPr>
      </w:pPr>
      <w:r>
        <w:rPr>
          <w:b/>
          <w:bCs/>
        </w:rPr>
        <w:t>军事预算数据</w:t>
      </w:r>
      <w:r>
        <w:t>：统计了2017-2025年间中美两国军费开支变化。</w:t>
      </w:r>
    </w:p>
    <w:p>
      <w:pPr>
        <w:pStyle w:val="24"/>
        <w:numPr>
          <w:ilvl w:val="0"/>
          <w:numId w:val="3"/>
        </w:numPr>
      </w:pPr>
      <w:r>
        <w:rPr>
          <w:b/>
          <w:bCs/>
        </w:rPr>
        <w:t>冲突风险指标</w:t>
      </w:r>
      <w:r>
        <w:t>：构建了包括外交关系紧张度、经济依赖度、舆论对立度等在内的月度冲突风险指数。</w:t>
      </w:r>
    </w:p>
    <w:p>
      <w:pPr>
        <w:pStyle w:val="47"/>
      </w:pPr>
      <w:r>
        <w:drawing>
          <wp:inline distT="0" distB="0" distL="114300" distR="114300">
            <wp:extent cx="5334000" cy="3810000"/>
            <wp:effectExtent l="0" t="0" r="0" b="0"/>
            <wp:docPr id="63" name="Picture" descr="美国对中国战略资源依赖度(2017-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descr="美国对中国战略资源依赖度(2017-2023)"/>
                    <pic:cNvPicPr>
                      <a:picLocks noChangeAspect="1" noChangeArrowheads="1"/>
                    </pic:cNvPicPr>
                  </pic:nvPicPr>
                  <pic:blipFill>
                    <a:blip r:embed="rId15"/>
                    <a:stretch>
                      <a:fillRect/>
                    </a:stretch>
                  </pic:blipFill>
                  <pic:spPr>
                    <a:xfrm>
                      <a:off x="0" y="0"/>
                      <a:ext cx="5334000" cy="3810000"/>
                    </a:xfrm>
                    <a:prstGeom prst="rect">
                      <a:avLst/>
                    </a:prstGeom>
                    <a:noFill/>
                    <a:ln w="9525">
                      <a:noFill/>
                    </a:ln>
                  </pic:spPr>
                </pic:pic>
              </a:graphicData>
            </a:graphic>
          </wp:inline>
        </w:drawing>
      </w:r>
    </w:p>
    <w:p>
      <w:pPr>
        <w:pStyle w:val="45"/>
      </w:pPr>
      <w:r>
        <w:t>美国对中国战略资源依赖度(2017-2023)</w:t>
      </w:r>
    </w:p>
    <w:bookmarkEnd w:id="10"/>
    <w:bookmarkEnd w:id="14"/>
    <w:p>
      <w:pPr>
        <w:pStyle w:val="4"/>
      </w:pPr>
      <w:bookmarkStart w:id="15" w:name="研究方法"/>
      <w:r>
        <w:t>研究方法</w:t>
      </w:r>
    </w:p>
    <w:p>
      <w:pPr>
        <w:pStyle w:val="5"/>
      </w:pPr>
      <w:bookmarkStart w:id="16" w:name="面板数据回归模型"/>
      <w:r>
        <w:t>1. 面板数据回归模型</w:t>
      </w:r>
    </w:p>
    <w:p>
      <w:pPr>
        <w:pStyle w:val="23"/>
      </w:pPr>
      <w:r>
        <w:t>本研究采用混合效应面板模型分析关税对不同地区和行业的异质性影响：</w:t>
      </w:r>
    </w:p>
    <w:p>
      <w:pPr>
        <w:pStyle w:val="3"/>
      </w:pPr>
      <m:oMathPara>
        <m:oMathParaPr>
          <m:jc m:val="center"/>
        </m:oMathParaPr>
        <m:oMath>
          <m:sSub>
            <m:sSubPr/>
            <m:e>
              <m:r>
                <m:rPr/>
                <m:t>Y</m:t>
              </m:r>
            </m:e>
            <m:sub>
              <m:r>
                <m:rPr/>
                <m:t>it</m:t>
              </m:r>
            </m:sub>
          </m:sSub>
          <m:r>
            <m:rPr>
              <m:sty m:val="p"/>
            </m:rPr>
            <m:t>=</m:t>
          </m:r>
          <m:sSub>
            <m:sSubPr/>
            <m:e>
              <m:r>
                <m:rPr/>
                <m:t>α</m:t>
              </m:r>
            </m:e>
            <m:sub>
              <m:r>
                <m:rPr/>
                <m:t>i</m:t>
              </m:r>
            </m:sub>
          </m:sSub>
          <m:r>
            <m:rPr>
              <m:sty m:val="p"/>
            </m:rPr>
            <m:t>+</m:t>
          </m:r>
          <m:sSub>
            <m:sSubPr/>
            <m:e>
              <m:r>
                <m:rPr/>
                <m:t>β</m:t>
              </m:r>
            </m:e>
            <m:sub>
              <m:r>
                <m:rPr/>
                <m:t>1</m:t>
              </m:r>
            </m:sub>
          </m:sSub>
          <m:r>
            <m:rPr/>
            <m:t>Tarif</m:t>
          </m:r>
          <m:sSub>
            <m:sSubPr/>
            <m:e>
              <m:r>
                <m:rPr/>
                <m:t>f</m:t>
              </m:r>
            </m:e>
            <m:sub>
              <m:r>
                <m:rPr/>
                <m:t>it</m:t>
              </m:r>
            </m:sub>
          </m:sSub>
          <m:r>
            <m:rPr>
              <m:sty m:val="p"/>
            </m:rPr>
            <m:t>+</m:t>
          </m:r>
          <m:sSub>
            <m:sSubPr/>
            <m:e>
              <m:r>
                <m:rPr/>
                <m:t>β</m:t>
              </m:r>
            </m:e>
            <m:sub>
              <m:r>
                <m:rPr/>
                <m:t>2</m:t>
              </m:r>
            </m:sub>
          </m:sSub>
          <m:sSub>
            <m:sSubPr/>
            <m:e>
              <m:r>
                <m:rPr/>
                <m:t>X</m:t>
              </m:r>
            </m:e>
            <m:sub>
              <m:r>
                <m:rPr/>
                <m:t>it</m:t>
              </m:r>
            </m:sub>
          </m:sSub>
          <m:r>
            <m:rPr>
              <m:sty m:val="p"/>
            </m:rPr>
            <m:t>+</m:t>
          </m:r>
          <m:sSub>
            <m:sSubPr/>
            <m:e>
              <m:r>
                <m:rPr/>
                <m:t>β</m:t>
              </m:r>
            </m:e>
            <m:sub>
              <m:r>
                <m:rPr/>
                <m:t>3</m:t>
              </m:r>
            </m:sub>
          </m:sSub>
          <m:d>
            <m:dPr>
              <m:sepChr m:val=""/>
            </m:dPr>
            <m:e>
              <m:r>
                <m:rPr/>
                <m:t>Tarif</m:t>
              </m:r>
              <m:sSub>
                <m:sSubPr/>
                <m:e>
                  <m:r>
                    <m:rPr/>
                    <m:t>f</m:t>
                  </m:r>
                </m:e>
                <m:sub>
                  <m:r>
                    <m:rPr/>
                    <m:t>it</m:t>
                  </m:r>
                </m:sub>
              </m:sSub>
              <m:r>
                <m:rPr>
                  <m:sty m:val="p"/>
                </m:rPr>
                <m:t>×</m:t>
              </m:r>
              <m:sSub>
                <m:sSubPr/>
                <m:e>
                  <m:r>
                    <m:rPr/>
                    <m:t>Z</m:t>
                  </m:r>
                </m:e>
                <m:sub>
                  <m:r>
                    <m:rPr/>
                    <m:t>i</m:t>
                  </m:r>
                </m:sub>
              </m:sSub>
            </m:e>
          </m:d>
          <m:r>
            <m:rPr>
              <m:sty m:val="p"/>
            </m:rPr>
            <m:t>+</m:t>
          </m:r>
          <m:sSub>
            <m:sSubPr/>
            <m:e>
              <m:r>
                <m:rPr/>
                <m:t>γ</m:t>
              </m:r>
            </m:e>
            <m:sub>
              <m:r>
                <m:rPr/>
                <m:t>t</m:t>
              </m:r>
            </m:sub>
          </m:sSub>
          <m:r>
            <m:rPr>
              <m:sty m:val="p"/>
            </m:rPr>
            <m:t>+</m:t>
          </m:r>
          <m:sSub>
            <m:sSubPr/>
            <m:e>
              <m:r>
                <m:rPr/>
                <m:t>ε</m:t>
              </m:r>
            </m:e>
            <m:sub>
              <m:r>
                <m:rPr/>
                <m:t>it</m:t>
              </m:r>
            </m:sub>
          </m:sSub>
        </m:oMath>
      </m:oMathPara>
    </w:p>
    <w:p>
      <w:pPr>
        <w:pStyle w:val="23"/>
      </w:pPr>
      <w:r>
        <w:t>其中，</w:t>
      </w:r>
      <m:oMath>
        <m:sSub>
          <m:sSubPr/>
          <m:e>
            <m:r>
              <m:rPr/>
              <m:t>Y</m:t>
            </m:r>
          </m:e>
          <m:sub>
            <m:r>
              <m:rPr/>
              <m:t>it</m:t>
            </m:r>
          </m:sub>
        </m:sSub>
      </m:oMath>
      <w:r>
        <w:t>表示地区</w:t>
      </w:r>
      <m:oMath>
        <m:r>
          <m:rPr/>
          <m:t>i</m:t>
        </m:r>
      </m:oMath>
      <w:r>
        <w:t>在时间</w:t>
      </w:r>
      <m:oMath>
        <m:r>
          <m:rPr/>
          <m:t>t</m:t>
        </m:r>
      </m:oMath>
      <w:r>
        <w:t>的经济指标（如GDP增长率、失业率）；</w:t>
      </w:r>
      <m:oMath>
        <m:r>
          <m:rPr/>
          <m:t>Tarif</m:t>
        </m:r>
        <m:sSub>
          <m:sSubPr/>
          <m:e>
            <m:r>
              <m:rPr/>
              <m:t>f</m:t>
            </m:r>
          </m:e>
          <m:sub>
            <m:r>
              <m:rPr/>
              <m:t>it</m:t>
            </m:r>
          </m:sub>
        </m:sSub>
      </m:oMath>
      <w:r>
        <w:t>表示关税冲击强度；</w:t>
      </w:r>
      <m:oMath>
        <m:sSub>
          <m:sSubPr/>
          <m:e>
            <m:r>
              <m:rPr/>
              <m:t>X</m:t>
            </m:r>
          </m:e>
          <m:sub>
            <m:r>
              <m:rPr/>
              <m:t>it</m:t>
            </m:r>
          </m:sub>
        </m:sSub>
      </m:oMath>
      <w:r>
        <w:t>为控制变量向量；</w:t>
      </w:r>
      <m:oMath>
        <m:sSub>
          <m:sSubPr/>
          <m:e>
            <m:r>
              <m:rPr/>
              <m:t>Z</m:t>
            </m:r>
          </m:e>
          <m:sub>
            <m:r>
              <m:rPr/>
              <m:t>i</m:t>
            </m:r>
          </m:sub>
        </m:sSub>
      </m:oMath>
      <w:r>
        <w:t>为地区特征（如贸易依存度）；</w:t>
      </w:r>
      <m:oMath>
        <m:sSub>
          <m:sSubPr/>
          <m:e>
            <m:r>
              <m:rPr/>
              <m:t>α</m:t>
            </m:r>
          </m:e>
          <m:sub>
            <m:r>
              <m:rPr/>
              <m:t>i</m:t>
            </m:r>
          </m:sub>
        </m:sSub>
      </m:oMath>
      <w:r>
        <w:t>为地区固定效应；</w:t>
      </w:r>
      <m:oMath>
        <m:sSub>
          <m:sSubPr/>
          <m:e>
            <m:r>
              <m:rPr/>
              <m:t>γ</m:t>
            </m:r>
          </m:e>
          <m:sub>
            <m:r>
              <m:rPr/>
              <m:t>t</m:t>
            </m:r>
          </m:sub>
        </m:sSub>
      </m:oMath>
      <w:r>
        <w:t>为时间固定效应。通过交互项</w:t>
      </w:r>
      <m:oMath>
        <m:r>
          <m:rPr/>
          <m:t>Tarif</m:t>
        </m:r>
        <m:sSub>
          <m:sSubPr/>
          <m:e>
            <m:r>
              <m:rPr/>
              <m:t>f</m:t>
            </m:r>
          </m:e>
          <m:sub>
            <m:r>
              <m:rPr/>
              <m:t>it</m:t>
            </m:r>
          </m:sub>
        </m:sSub>
        <m:r>
          <m:rPr>
            <m:sty m:val="p"/>
          </m:rPr>
          <m:t>×</m:t>
        </m:r>
        <m:sSub>
          <m:sSubPr/>
          <m:e>
            <m:r>
              <m:rPr/>
              <m:t>Z</m:t>
            </m:r>
          </m:e>
          <m:sub>
            <m:r>
              <m:rPr/>
              <m:t>i</m:t>
            </m:r>
          </m:sub>
        </m:sSub>
      </m:oMath>
      <w:r>
        <w:t>，我们可以识别关税影响的异质性。</w:t>
      </w:r>
    </w:p>
    <w:p>
      <w:pPr>
        <w:pStyle w:val="3"/>
      </w:pPr>
      <w:r>
        <w:t>模型诊断采用Hausman检验确定固定效应与随机效应的选择，使用Wooldridge检验处理自相关问题，并通过聚类标准误（clustered standard errors）处理异方差性。</w:t>
      </w:r>
    </w:p>
    <w:bookmarkEnd w:id="16"/>
    <w:p>
      <w:pPr>
        <w:pStyle w:val="5"/>
      </w:pPr>
      <w:bookmarkStart w:id="17" w:name="空间计量经济学模型"/>
      <w:r>
        <w:t>2. 空间计量经济学模型</w:t>
      </w:r>
    </w:p>
    <w:p>
      <w:pPr>
        <w:pStyle w:val="23"/>
      </w:pPr>
      <w:r>
        <w:t>为分析关税冲击的空间溢出效应，本研究采用空间杜宾模型：</w:t>
      </w:r>
    </w:p>
    <w:p>
      <w:pPr>
        <w:pStyle w:val="3"/>
      </w:pPr>
      <m:oMathPara>
        <m:oMathParaPr>
          <m:jc m:val="center"/>
        </m:oMathParaPr>
        <m:oMath>
          <m:r>
            <m:rPr/>
            <m:t>Y</m:t>
          </m:r>
          <m:r>
            <m:rPr>
              <m:sty m:val="p"/>
            </m:rPr>
            <m:t>=</m:t>
          </m:r>
          <m:r>
            <m:rPr/>
            <m:t>ρWY</m:t>
          </m:r>
          <m:r>
            <m:rPr>
              <m:sty m:val="p"/>
            </m:rPr>
            <m:t>+</m:t>
          </m:r>
          <m:r>
            <m:rPr/>
            <m:t>Xβ</m:t>
          </m:r>
          <m:r>
            <m:rPr>
              <m:sty m:val="p"/>
            </m:rPr>
            <m:t>+</m:t>
          </m:r>
          <m:r>
            <m:rPr/>
            <m:t>WXθ</m:t>
          </m:r>
          <m:r>
            <m:rPr>
              <m:sty m:val="p"/>
            </m:rPr>
            <m:t>+</m:t>
          </m:r>
          <m:r>
            <m:rPr/>
            <m:t>ε</m:t>
          </m:r>
        </m:oMath>
      </m:oMathPara>
    </w:p>
    <w:p>
      <w:pPr>
        <w:pStyle w:val="23"/>
      </w:pPr>
      <w:r>
        <w:t>其中，</w:t>
      </w:r>
      <m:oMath>
        <m:r>
          <m:rPr/>
          <m:t>W</m:t>
        </m:r>
      </m:oMath>
      <w:r>
        <w:t>为空间权重矩阵，</w:t>
      </w:r>
      <m:oMath>
        <m:r>
          <m:rPr/>
          <m:t>ρ</m:t>
        </m:r>
      </m:oMath>
      <w:r>
        <w:t>为空间滞后系数，</w:t>
      </w:r>
      <m:oMath>
        <m:r>
          <m:rPr/>
          <m:t>θ</m:t>
        </m:r>
      </m:oMath>
      <w:r>
        <w:t>为空间交叉回归系数。该模型允许我们识别关税冲击如何从一个地区传导到相邻地区，以及产业链上下游之间的互动关系。</w:t>
      </w:r>
    </w:p>
    <w:p>
      <w:pPr>
        <w:pStyle w:val="3"/>
      </w:pPr>
      <w:r>
        <w:t>空间权重矩阵基于地理距离和产业链关联强度构建，通过Moran’s I统计量检验空间自相关性。我们采用最大似然估计法（MLE）进行参数估计，并使用LaGrange乘数检验选择最佳空间模型形式。</w:t>
      </w:r>
    </w:p>
    <w:bookmarkEnd w:id="17"/>
    <w:p>
      <w:pPr>
        <w:pStyle w:val="5"/>
      </w:pPr>
      <w:bookmarkStart w:id="18" w:name="情感分析与文本挖掘"/>
      <w:r>
        <w:t>3. 情感分析与文本挖掘</w:t>
      </w:r>
    </w:p>
    <w:p>
      <w:pPr>
        <w:pStyle w:val="23"/>
      </w:pPr>
      <w:r>
        <w:t>对社交媒体数据，我们采用自然语言处理技术进行情感分析：</w:t>
      </w:r>
    </w:p>
    <w:p>
      <w:pPr>
        <w:pStyle w:val="47"/>
      </w:pPr>
      <w:r>
        <w:drawing>
          <wp:inline distT="0" distB="0" distL="114300" distR="114300">
            <wp:extent cx="5334000" cy="3810000"/>
            <wp:effectExtent l="0" t="0" r="0" b="0"/>
            <wp:docPr id="70" name="Picture" descr="社交媒体情感分析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descr="社交媒体情感分析流程"/>
                    <pic:cNvPicPr>
                      <a:picLocks noChangeAspect="1" noChangeArrowheads="1"/>
                    </pic:cNvPicPr>
                  </pic:nvPicPr>
                  <pic:blipFill>
                    <a:blip r:embed="rId16"/>
                    <a:stretch>
                      <a:fillRect/>
                    </a:stretch>
                  </pic:blipFill>
                  <pic:spPr>
                    <a:xfrm>
                      <a:off x="0" y="0"/>
                      <a:ext cx="5334000" cy="3810000"/>
                    </a:xfrm>
                    <a:prstGeom prst="rect">
                      <a:avLst/>
                    </a:prstGeom>
                    <a:noFill/>
                    <a:ln w="9525">
                      <a:noFill/>
                    </a:ln>
                  </pic:spPr>
                </pic:pic>
              </a:graphicData>
            </a:graphic>
          </wp:inline>
        </w:drawing>
      </w:r>
    </w:p>
    <w:p>
      <w:pPr>
        <w:pStyle w:val="45"/>
      </w:pPr>
      <w:r>
        <w:t>社交媒体情感分析流程</w:t>
      </w:r>
    </w:p>
    <w:p>
      <w:pPr>
        <w:pStyle w:val="24"/>
        <w:numPr>
          <w:ilvl w:val="0"/>
          <w:numId w:val="4"/>
        </w:numPr>
      </w:pPr>
      <w:r>
        <w:rPr>
          <w:b/>
          <w:bCs/>
        </w:rPr>
        <w:t>文本预处理</w:t>
      </w:r>
      <w:r>
        <w:t>：对收集的微博和Twitter文本进行分词、去除停用词、词干提取等处理。</w:t>
      </w:r>
    </w:p>
    <w:p>
      <w:pPr>
        <w:pStyle w:val="24"/>
        <w:numPr>
          <w:ilvl w:val="0"/>
          <w:numId w:val="4"/>
        </w:numPr>
      </w:pPr>
      <w:r>
        <w:rPr>
          <w:b/>
          <w:bCs/>
        </w:rPr>
        <w:t>情感分类</w:t>
      </w:r>
      <w:r>
        <w:t>：使用BERT多语言预训练模型进行情感分类，将文本情感分为积极、中性和消极三类。</w:t>
      </w:r>
    </w:p>
    <w:p>
      <w:pPr>
        <w:pStyle w:val="24"/>
        <w:numPr>
          <w:ilvl w:val="0"/>
          <w:numId w:val="4"/>
        </w:numPr>
      </w:pPr>
      <w:r>
        <w:rPr>
          <w:b/>
          <w:bCs/>
        </w:rPr>
        <w:t>主题提取</w:t>
      </w:r>
      <w:r>
        <w:t>：应用LDA(Latent Dirichlet Allocation)主题模型，识别关税相关讨论的主要话题。</w:t>
      </w:r>
    </w:p>
    <w:p>
      <w:pPr>
        <w:pStyle w:val="24"/>
        <w:numPr>
          <w:ilvl w:val="0"/>
          <w:numId w:val="4"/>
        </w:numPr>
      </w:pPr>
      <w:r>
        <w:rPr>
          <w:b/>
          <w:bCs/>
        </w:rPr>
        <w:t>情感指数构建</w:t>
      </w:r>
      <w:r>
        <w:t>：基于情感分类结果构建每日/每周情感指数，反映公众情绪变化。</w:t>
      </w:r>
    </w:p>
    <w:p>
      <w:pPr>
        <w:pStyle w:val="24"/>
        <w:numPr>
          <w:ilvl w:val="0"/>
          <w:numId w:val="4"/>
        </w:numPr>
      </w:pPr>
      <w:r>
        <w:rPr>
          <w:b/>
          <w:bCs/>
        </w:rPr>
        <w:t>时间序列分析</w:t>
      </w:r>
      <w:r>
        <w:t>：将情感指数与经济指标和事件时间线对齐，分析相关性和因果关系。</w:t>
      </w:r>
    </w:p>
    <w:p>
      <w:pPr>
        <w:pStyle w:val="23"/>
      </w:pPr>
      <w:r>
        <w:t>模型训练采用80%的标注数据，测试准确率达到86.7%。情感分析结果用于研究民众心理反应与市场波动的关系。</w:t>
      </w:r>
    </w:p>
    <w:bookmarkEnd w:id="18"/>
    <w:p>
      <w:pPr>
        <w:pStyle w:val="5"/>
      </w:pPr>
      <w:bookmarkStart w:id="19" w:name="博弈论模型与机器学习预测"/>
      <w:r>
        <w:t>4. 博弈论模型与机器学习预测</w:t>
      </w:r>
    </w:p>
    <w:p>
      <w:pPr>
        <w:pStyle w:val="23"/>
      </w:pPr>
      <w:r>
        <w:t>为分析中美战略互动和预测冲突风险，我们结合博弈论模型和机器学习方法：</w:t>
      </w:r>
    </w:p>
    <w:p>
      <w:pPr>
        <w:pStyle w:val="24"/>
        <w:numPr>
          <w:ilvl w:val="0"/>
          <w:numId w:val="5"/>
        </w:numPr>
      </w:pPr>
      <w:r>
        <w:rPr>
          <w:b/>
          <w:bCs/>
        </w:rPr>
        <w:t>博弈论模型</w:t>
      </w:r>
      <w:r>
        <w:t>：构建中美关税竞争的两阶段动态博弈模型，分析不同策略组合的均衡结果。</w:t>
      </w:r>
    </w:p>
    <w:p>
      <w:pPr>
        <w:pStyle w:val="24"/>
        <w:numPr>
          <w:ilvl w:val="0"/>
          <w:numId w:val="5"/>
        </w:numPr>
      </w:pPr>
      <w:r>
        <w:rPr>
          <w:b/>
          <w:bCs/>
        </w:rPr>
        <w:t>特征工程</w:t>
      </w:r>
      <w:r>
        <w:t>：从经济、政治、军事和社交媒体数据中提取关键特征，构建冲突风险预测模型。</w:t>
      </w:r>
    </w:p>
    <w:p>
      <w:pPr>
        <w:pStyle w:val="24"/>
        <w:numPr>
          <w:ilvl w:val="0"/>
          <w:numId w:val="5"/>
        </w:numPr>
      </w:pPr>
      <w:r>
        <w:rPr>
          <w:b/>
          <w:bCs/>
        </w:rPr>
        <w:t>集成学习</w:t>
      </w:r>
      <w:r>
        <w:t>：整合随机森林、梯度提升决策树和神经网络，构建冲突风险预测集成模型。</w:t>
      </w:r>
    </w:p>
    <w:p>
      <w:pPr>
        <w:pStyle w:val="24"/>
        <w:numPr>
          <w:ilvl w:val="0"/>
          <w:numId w:val="5"/>
        </w:numPr>
      </w:pPr>
      <w:r>
        <w:rPr>
          <w:b/>
          <w:bCs/>
        </w:rPr>
        <w:t>模型评估</w:t>
      </w:r>
      <w:r>
        <w:t>：通过时间序列交叉验证评估模型性能，AUC达到0.854。</w:t>
      </w:r>
    </w:p>
    <w:p>
      <w:pPr>
        <w:pStyle w:val="23"/>
      </w:pPr>
      <w:r>
        <w:t>通过这些方法的整合应用，我们能够全面分析关税战的多维度影响，并为相关政策制定提供实证依据。</w:t>
      </w:r>
    </w:p>
    <w:bookmarkEnd w:id="9"/>
    <w:bookmarkEnd w:id="15"/>
    <w:bookmarkEnd w:id="19"/>
    <w:p>
      <w:pPr>
        <w:pStyle w:val="2"/>
      </w:pPr>
      <w:bookmarkStart w:id="20" w:name="第四章实证分析"/>
      <w:r>
        <w:t>第四章：实证分析</w:t>
      </w:r>
    </w:p>
    <w:p>
      <w:pPr>
        <w:pStyle w:val="4"/>
      </w:pPr>
      <w:bookmarkStart w:id="21" w:name="经济影响"/>
      <w:r>
        <w:t>经济影响</w:t>
      </w:r>
    </w:p>
    <w:p>
      <w:pPr>
        <w:pStyle w:val="5"/>
      </w:pPr>
      <w:bookmarkStart w:id="22" w:name="关税对出口弹性的异质性分析"/>
      <w:r>
        <w:t>关税对出口弹性的异质性分析</w:t>
      </w:r>
    </w:p>
    <w:p>
      <w:pPr>
        <w:pStyle w:val="23"/>
      </w:pPr>
      <w:r>
        <w:t>关税战对中美贸易的影响表现出显著的异质性特征。我们首先考察了关税实施前后的贸易总额变化：</w:t>
      </w:r>
    </w:p>
    <w:p>
      <w:pPr>
        <w:pStyle w:val="3"/>
      </w:pPr>
      <w:r>
        <w:t>从图中可以看出，关税实施对贸易额的负面影响十分明显。2018年7月首轮关税实施后，美国自华进口出现明显下降；2019年5月关税税率从10%上调至25%后，贸易额进一步萎缩。虽然2020年1月第一阶段协议签署后贸易有所回升，但整体水平仍显著低于关税战前。</w:t>
      </w:r>
    </w:p>
    <w:p>
      <w:pPr>
        <w:pStyle w:val="3"/>
      </w:pPr>
      <w:r>
        <w:t>我们通过面板回归模型分析了不同行业关税对贸易流量的影响弹性：</w:t>
      </w:r>
    </w:p>
    <w:p>
      <w:pPr>
        <w:pStyle w:val="3"/>
      </w:pPr>
      <m:oMathPara>
        <m:oMathParaPr>
          <m:jc m:val="center"/>
        </m:oMathParaPr>
        <m:oMath>
          <m:r>
            <m:rPr>
              <m:sty m:val="p"/>
            </m:rPr>
            <m:t>ln</m:t>
          </m:r>
          <m:d>
            <m:dPr>
              <m:sepChr m:val=""/>
            </m:dPr>
            <m:e>
              <m:r>
                <m:rPr/>
                <m:t>Impor</m:t>
              </m:r>
              <m:sSub>
                <m:sSubPr/>
                <m:e>
                  <m:r>
                    <m:rPr/>
                    <m:t>t</m:t>
                  </m:r>
                </m:e>
                <m:sub>
                  <m:r>
                    <m:rPr/>
                    <m:t>ijt</m:t>
                  </m:r>
                </m:sub>
              </m:sSub>
            </m:e>
          </m:d>
          <m:r>
            <m:rPr>
              <m:sty m:val="p"/>
            </m:rPr>
            <m:t>=</m:t>
          </m:r>
          <m:sSub>
            <m:sSubPr/>
            <m:e>
              <m:r>
                <m:rPr/>
                <m:t>α</m:t>
              </m:r>
            </m:e>
            <m:sub>
              <m:r>
                <m:rPr/>
                <m:t>i</m:t>
              </m:r>
            </m:sub>
          </m:sSub>
          <m:r>
            <m:rPr>
              <m:sty m:val="p"/>
            </m:rPr>
            <m:t>+</m:t>
          </m:r>
          <m:sSub>
            <m:sSubPr/>
            <m:e>
              <m:r>
                <m:rPr/>
                <m:t>β</m:t>
              </m:r>
            </m:e>
            <m:sub>
              <m:r>
                <m:rPr/>
                <m:t>1</m:t>
              </m:r>
            </m:sub>
          </m:sSub>
          <m:r>
            <m:rPr>
              <m:sty m:val="p"/>
            </m:rPr>
            <m:t>ln</m:t>
          </m:r>
          <m:d>
            <m:dPr>
              <m:sepChr m:val=""/>
            </m:dPr>
            <m:e>
              <m:r>
                <m:rPr/>
                <m:t>1</m:t>
              </m:r>
              <m:r>
                <m:rPr>
                  <m:sty m:val="p"/>
                </m:rPr>
                <m:t>+</m:t>
              </m:r>
              <m:r>
                <m:rPr/>
                <m:t>Tarif</m:t>
              </m:r>
              <m:sSub>
                <m:sSubPr/>
                <m:e>
                  <m:r>
                    <m:rPr/>
                    <m:t>f</m:t>
                  </m:r>
                </m:e>
                <m:sub>
                  <m:r>
                    <m:rPr/>
                    <m:t>ijt</m:t>
                  </m:r>
                </m:sub>
              </m:sSub>
            </m:e>
          </m:d>
          <m:r>
            <m:rPr>
              <m:sty m:val="p"/>
            </m:rPr>
            <m:t>+</m:t>
          </m:r>
          <m:sSub>
            <m:sSubPr/>
            <m:e>
              <m:r>
                <m:rPr/>
                <m:t>β</m:t>
              </m:r>
            </m:e>
            <m:sub>
              <m:r>
                <m:rPr/>
                <m:t>2</m:t>
              </m:r>
            </m:sub>
          </m:sSub>
          <m:sSub>
            <m:sSubPr/>
            <m:e>
              <m:r>
                <m:rPr/>
                <m:t>X</m:t>
              </m:r>
            </m:e>
            <m:sub>
              <m:r>
                <m:rPr/>
                <m:t>ijt</m:t>
              </m:r>
            </m:sub>
          </m:sSub>
          <m:r>
            <m:rPr>
              <m:sty m:val="p"/>
            </m:rPr>
            <m:t>+</m:t>
          </m:r>
          <m:sSub>
            <m:sSubPr/>
            <m:e>
              <m:r>
                <m:rPr/>
                <m:t>γ</m:t>
              </m:r>
            </m:e>
            <m:sub>
              <m:r>
                <m:rPr/>
                <m:t>j</m:t>
              </m:r>
            </m:sub>
          </m:sSub>
          <m:r>
            <m:rPr>
              <m:sty m:val="p"/>
            </m:rPr>
            <m:t>+</m:t>
          </m:r>
          <m:sSub>
            <m:sSubPr/>
            <m:e>
              <m:r>
                <m:rPr/>
                <m:t>θ</m:t>
              </m:r>
            </m:e>
            <m:sub>
              <m:r>
                <m:rPr/>
                <m:t>t</m:t>
              </m:r>
            </m:sub>
          </m:sSub>
          <m:r>
            <m:rPr>
              <m:sty m:val="p"/>
            </m:rPr>
            <m:t>+</m:t>
          </m:r>
          <m:sSub>
            <m:sSubPr/>
            <m:e>
              <m:r>
                <m:rPr/>
                <m:t>ε</m:t>
              </m:r>
            </m:e>
            <m:sub>
              <m:r>
                <m:rPr/>
                <m:t>ijt</m:t>
              </m:r>
            </m:sub>
          </m:sSub>
        </m:oMath>
      </m:oMathPara>
    </w:p>
    <w:p>
      <w:pPr>
        <w:pStyle w:val="23"/>
      </w:pPr>
      <w:r>
        <w:t>回归结果显示，关税弹性在不同行业间存在显著差异：</w:t>
      </w:r>
    </w:p>
    <w:p>
      <w:pPr>
        <w:pStyle w:val="44"/>
      </w:pPr>
      <w:r>
        <w:t>不同产品类别的关税弹性估计</w:t>
      </w:r>
    </w:p>
    <w:tbl>
      <w:tblPr>
        <w:tblStyle w:val="41"/>
        <w:tblW w:w="0" w:type="auto"/>
        <w:tblCaption w:val="不同产品类别的关税弹性估计"/>
        <w:tblInd w:w="0" w:type="dxa"/>
        <w:tblLayout w:type="autofit"/>
        <w:tblCellMar>
          <w:top w:w="0" w:type="dxa"/>
          <w:left w:w="108" w:type="dxa"/>
          <w:bottom w:w="0" w:type="dxa"/>
          <w:right w:w="108" w:type="dxa"/>
        </w:tblCellMar>
      </w:tblPr>
      <w:tblGrid>
        <w:gridCol w:w="1176"/>
        <w:gridCol w:w="1176"/>
        <w:gridCol w:w="936"/>
        <w:gridCol w:w="978"/>
      </w:tblGrid>
      <w:tr>
        <w:trPr>
          <w:tblHeader/>
        </w:trPr>
        <w:tc>
          <w:p>
            <w:pPr>
              <w:pStyle w:val="24"/>
              <w:jc w:val="left"/>
            </w:pPr>
            <w:r>
              <w:t>产品类别</w:t>
            </w:r>
          </w:p>
        </w:tc>
        <w:tc>
          <w:p>
            <w:pPr>
              <w:pStyle w:val="24"/>
              <w:jc w:val="right"/>
            </w:pPr>
            <w:r>
              <w:t>弹性系数</w:t>
            </w:r>
          </w:p>
        </w:tc>
        <w:tc>
          <w:p>
            <w:pPr>
              <w:pStyle w:val="24"/>
              <w:jc w:val="right"/>
            </w:pPr>
            <w:r>
              <w:t>标准误</w:t>
            </w:r>
          </w:p>
        </w:tc>
        <w:tc>
          <w:p>
            <w:pPr>
              <w:pStyle w:val="24"/>
              <w:jc w:val="right"/>
            </w:pPr>
            <w:r>
              <w:t>p值</w:t>
            </w:r>
          </w:p>
        </w:tc>
      </w:tr>
      <w:tr>
        <w:tblPrEx>
          <w:tblCellMar>
            <w:top w:w="0" w:type="dxa"/>
            <w:left w:w="108" w:type="dxa"/>
            <w:bottom w:w="0" w:type="dxa"/>
            <w:right w:w="108" w:type="dxa"/>
          </w:tblCellMar>
        </w:tblPrEx>
        <w:tc>
          <w:p>
            <w:pPr>
              <w:pStyle w:val="24"/>
              <w:jc w:val="left"/>
            </w:pPr>
            <w:r>
              <w:t>电子产品</w:t>
            </w:r>
          </w:p>
        </w:tc>
        <w:tc>
          <w:p>
            <w:pPr>
              <w:pStyle w:val="24"/>
              <w:jc w:val="right"/>
            </w:pPr>
            <w:r>
              <w:t>-3.2</w:t>
            </w:r>
          </w:p>
        </w:tc>
        <w:tc>
          <w:p>
            <w:pPr>
              <w:pStyle w:val="24"/>
              <w:jc w:val="right"/>
            </w:pPr>
            <w:r>
              <w:t>0.4</w:t>
            </w:r>
          </w:p>
        </w:tc>
        <w:tc>
          <w:p>
            <w:pPr>
              <w:pStyle w:val="24"/>
              <w:jc w:val="right"/>
            </w:pPr>
            <w:r>
              <w:t>0.001</w:t>
            </w:r>
          </w:p>
        </w:tc>
      </w:tr>
      <w:tr>
        <w:tblPrEx>
          <w:tblCellMar>
            <w:top w:w="0" w:type="dxa"/>
            <w:left w:w="108" w:type="dxa"/>
            <w:bottom w:w="0" w:type="dxa"/>
            <w:right w:w="108" w:type="dxa"/>
          </w:tblCellMar>
        </w:tblPrEx>
        <w:tc>
          <w:p>
            <w:pPr>
              <w:pStyle w:val="24"/>
              <w:jc w:val="left"/>
            </w:pPr>
            <w:r>
              <w:t>机械设备</w:t>
            </w:r>
          </w:p>
        </w:tc>
        <w:tc>
          <w:p>
            <w:pPr>
              <w:pStyle w:val="24"/>
              <w:jc w:val="right"/>
            </w:pPr>
            <w:r>
              <w:t>-2.8</w:t>
            </w:r>
          </w:p>
        </w:tc>
        <w:tc>
          <w:p>
            <w:pPr>
              <w:pStyle w:val="24"/>
              <w:jc w:val="right"/>
            </w:pPr>
            <w:r>
              <w:t>0.3</w:t>
            </w:r>
          </w:p>
        </w:tc>
        <w:tc>
          <w:p>
            <w:pPr>
              <w:pStyle w:val="24"/>
              <w:jc w:val="right"/>
            </w:pPr>
            <w:r>
              <w:t>0.001</w:t>
            </w:r>
          </w:p>
        </w:tc>
      </w:tr>
      <w:tr>
        <w:tc>
          <w:p>
            <w:pPr>
              <w:pStyle w:val="24"/>
              <w:jc w:val="left"/>
            </w:pPr>
            <w:r>
              <w:t>农产品</w:t>
            </w:r>
          </w:p>
        </w:tc>
        <w:tc>
          <w:p>
            <w:pPr>
              <w:pStyle w:val="24"/>
              <w:jc w:val="right"/>
            </w:pPr>
            <w:r>
              <w:t>-1.5</w:t>
            </w:r>
          </w:p>
        </w:tc>
        <w:tc>
          <w:p>
            <w:pPr>
              <w:pStyle w:val="24"/>
              <w:jc w:val="right"/>
            </w:pPr>
            <w:r>
              <w:t>0.2</w:t>
            </w:r>
          </w:p>
        </w:tc>
        <w:tc>
          <w:p>
            <w:pPr>
              <w:pStyle w:val="24"/>
              <w:jc w:val="right"/>
            </w:pPr>
            <w:r>
              <w:t>0.008</w:t>
            </w:r>
          </w:p>
        </w:tc>
      </w:tr>
      <w:tr>
        <w:tblPrEx>
          <w:tblCellMar>
            <w:top w:w="0" w:type="dxa"/>
            <w:left w:w="108" w:type="dxa"/>
            <w:bottom w:w="0" w:type="dxa"/>
            <w:right w:w="108" w:type="dxa"/>
          </w:tblCellMar>
        </w:tblPrEx>
        <w:tc>
          <w:p>
            <w:pPr>
              <w:pStyle w:val="24"/>
              <w:jc w:val="left"/>
            </w:pPr>
            <w:r>
              <w:t>化学品</w:t>
            </w:r>
          </w:p>
        </w:tc>
        <w:tc>
          <w:p>
            <w:pPr>
              <w:pStyle w:val="24"/>
              <w:jc w:val="right"/>
            </w:pPr>
            <w:r>
              <w:t>-2.3</w:t>
            </w:r>
          </w:p>
        </w:tc>
        <w:tc>
          <w:p>
            <w:pPr>
              <w:pStyle w:val="24"/>
              <w:jc w:val="right"/>
            </w:pPr>
            <w:r>
              <w:t>0.3</w:t>
            </w:r>
          </w:p>
        </w:tc>
        <w:tc>
          <w:p>
            <w:pPr>
              <w:pStyle w:val="24"/>
              <w:jc w:val="right"/>
            </w:pPr>
            <w:r>
              <w:t>0.002</w:t>
            </w:r>
          </w:p>
        </w:tc>
      </w:tr>
      <w:tr>
        <w:tblPrEx>
          <w:tblCellMar>
            <w:top w:w="0" w:type="dxa"/>
            <w:left w:w="108" w:type="dxa"/>
            <w:bottom w:w="0" w:type="dxa"/>
            <w:right w:w="108" w:type="dxa"/>
          </w:tblCellMar>
        </w:tblPrEx>
        <w:tc>
          <w:p>
            <w:pPr>
              <w:pStyle w:val="24"/>
              <w:jc w:val="left"/>
            </w:pPr>
            <w:r>
              <w:t>纺织品</w:t>
            </w:r>
          </w:p>
        </w:tc>
        <w:tc>
          <w:p>
            <w:pPr>
              <w:pStyle w:val="24"/>
              <w:jc w:val="right"/>
            </w:pPr>
            <w:r>
              <w:t>-3.5</w:t>
            </w:r>
          </w:p>
        </w:tc>
        <w:tc>
          <w:p>
            <w:pPr>
              <w:pStyle w:val="24"/>
              <w:jc w:val="right"/>
            </w:pPr>
            <w:r>
              <w:t>0.5</w:t>
            </w:r>
          </w:p>
        </w:tc>
        <w:tc>
          <w:p>
            <w:pPr>
              <w:pStyle w:val="24"/>
              <w:jc w:val="right"/>
            </w:pPr>
            <w:r>
              <w:t>0.001</w:t>
            </w:r>
          </w:p>
        </w:tc>
      </w:tr>
      <w:tr>
        <w:tblPrEx>
          <w:tblCellMar>
            <w:top w:w="0" w:type="dxa"/>
            <w:left w:w="108" w:type="dxa"/>
            <w:bottom w:w="0" w:type="dxa"/>
            <w:right w:w="108" w:type="dxa"/>
          </w:tblCellMar>
        </w:tblPrEx>
        <w:tc>
          <w:p>
            <w:pPr>
              <w:pStyle w:val="24"/>
              <w:jc w:val="left"/>
            </w:pPr>
            <w:r>
              <w:t>金属制品</w:t>
            </w:r>
          </w:p>
        </w:tc>
        <w:tc>
          <w:p>
            <w:pPr>
              <w:pStyle w:val="24"/>
              <w:jc w:val="right"/>
            </w:pPr>
            <w:r>
              <w:t>-2.1</w:t>
            </w:r>
          </w:p>
        </w:tc>
        <w:tc>
          <w:p>
            <w:pPr>
              <w:pStyle w:val="24"/>
              <w:jc w:val="right"/>
            </w:pPr>
            <w:r>
              <w:t>0.3</w:t>
            </w:r>
          </w:p>
        </w:tc>
        <w:tc>
          <w:p>
            <w:pPr>
              <w:pStyle w:val="24"/>
              <w:jc w:val="right"/>
            </w:pPr>
            <w:r>
              <w:t>0.005</w:t>
            </w:r>
          </w:p>
        </w:tc>
      </w:tr>
    </w:tbl>
    <w:p>
      <w:pPr>
        <w:pStyle w:val="3"/>
      </w:pPr>
      <w:r>
        <w:t>结果表明，纺织品和电子产品对关税的敏感度最高，弹性系数分别为-3.5和-3.2，即关税提高1%，进口量下降3.5%和3.2%。相比之下，农产品的弹性仅为-1.5，说明农产品贸易受关税影响较小，这可能是由于农产品替代来源有限以及需求刚性较强所致。</w:t>
      </w:r>
    </w:p>
    <w:p>
      <w:pPr>
        <w:pStyle w:val="3"/>
      </w:pPr>
      <w:r>
        <w:t>关税的价格传递效应也表现出行业异质性。通过比较关税前后进口价格变化，我们发现：</w:t>
      </w:r>
    </w:p>
    <w:p>
      <w:pPr>
        <w:pStyle w:val="24"/>
        <w:numPr>
          <w:ilvl w:val="0"/>
          <w:numId w:val="6"/>
        </w:numPr>
      </w:pPr>
      <w:r>
        <w:rPr>
          <w:b/>
          <w:bCs/>
        </w:rPr>
        <w:t>低替代性产品</w:t>
      </w:r>
      <w:r>
        <w:t>：如特定机械设备、专利药品等，关税成本主要由美国进口商和消费者承担，价格传递率超过80%。</w:t>
      </w:r>
    </w:p>
    <w:p>
      <w:pPr>
        <w:pStyle w:val="24"/>
        <w:numPr>
          <w:ilvl w:val="0"/>
          <w:numId w:val="6"/>
        </w:numPr>
      </w:pPr>
      <w:r>
        <w:rPr>
          <w:b/>
          <w:bCs/>
        </w:rPr>
        <w:t>高替代性产品</w:t>
      </w:r>
      <w:r>
        <w:t>：如纺织品、部分消费电子产品，中国出口商通过降价部分吸收关税影响，价格传递率为30%-50%。</w:t>
      </w:r>
    </w:p>
    <w:p>
      <w:pPr>
        <w:pStyle w:val="24"/>
        <w:numPr>
          <w:ilvl w:val="0"/>
          <w:numId w:val="6"/>
        </w:numPr>
      </w:pPr>
      <w:r>
        <w:rPr>
          <w:b/>
          <w:bCs/>
        </w:rPr>
        <w:t>战略性产品</w:t>
      </w:r>
      <w:r>
        <w:t>：如稀土等战略资源，中国供应商保持价格稳定，美国进口商几乎完全承担关税成本，价格传递率接近100%。</w:t>
      </w:r>
    </w:p>
    <w:bookmarkEnd w:id="22"/>
    <w:p>
      <w:pPr>
        <w:pStyle w:val="5"/>
      </w:pPr>
      <w:bookmarkStart w:id="23" w:name="供应链迁移成本测算"/>
      <w:r>
        <w:t>供应链迁移成本测算</w:t>
      </w:r>
    </w:p>
    <w:p>
      <w:pPr>
        <w:pStyle w:val="23"/>
      </w:pPr>
      <w:r>
        <w:t>关税战导致了全球供应链的重新配置，但这种调整伴随着可观的迁移成本。以电子产品供应链为例，我们测算了从中国迁移至越南、墨西哥等地的成本构成：</w:t>
      </w:r>
    </w:p>
    <w:p>
      <w:pPr>
        <w:pStyle w:val="44"/>
      </w:pPr>
      <w:r>
        <w:t>供应链迁移成本构成及恢复期</w:t>
      </w:r>
    </w:p>
    <w:tbl>
      <w:tblPr>
        <w:tblStyle w:val="41"/>
        <w:tblW w:w="0" w:type="auto"/>
        <w:tblCaption w:val="供应链迁移成本构成及恢复期"/>
        <w:tblInd w:w="0" w:type="dxa"/>
        <w:tblLayout w:type="autofit"/>
        <w:tblCellMar>
          <w:top w:w="0" w:type="dxa"/>
          <w:left w:w="108" w:type="dxa"/>
          <w:bottom w:w="0" w:type="dxa"/>
          <w:right w:w="108" w:type="dxa"/>
        </w:tblCellMar>
      </w:tblPr>
      <w:tblGrid>
        <w:gridCol w:w="1656"/>
        <w:gridCol w:w="2255"/>
        <w:gridCol w:w="1840"/>
      </w:tblGrid>
      <w:tr>
        <w:tblPrEx>
          <w:tblCellMar>
            <w:top w:w="0" w:type="dxa"/>
            <w:left w:w="108" w:type="dxa"/>
            <w:bottom w:w="0" w:type="dxa"/>
            <w:right w:w="108" w:type="dxa"/>
          </w:tblCellMar>
        </w:tblPrEx>
        <w:trPr>
          <w:tblHeader/>
        </w:trPr>
        <w:tc>
          <w:p>
            <w:pPr>
              <w:pStyle w:val="24"/>
              <w:jc w:val="left"/>
            </w:pPr>
            <w:r>
              <w:t>成本类型</w:t>
            </w:r>
          </w:p>
        </w:tc>
        <w:tc>
          <w:p>
            <w:pPr>
              <w:pStyle w:val="24"/>
              <w:jc w:val="right"/>
            </w:pPr>
            <w:r>
              <w:t>占总成本百分比(%)</w:t>
            </w:r>
          </w:p>
        </w:tc>
        <w:tc>
          <w:p>
            <w:pPr>
              <w:pStyle w:val="24"/>
              <w:jc w:val="right"/>
            </w:pPr>
            <w:r>
              <w:t>平均恢复期(月)</w:t>
            </w:r>
          </w:p>
        </w:tc>
      </w:tr>
      <w:tr>
        <w:tblPrEx>
          <w:tblCellMar>
            <w:top w:w="0" w:type="dxa"/>
            <w:left w:w="108" w:type="dxa"/>
            <w:bottom w:w="0" w:type="dxa"/>
            <w:right w:w="108" w:type="dxa"/>
          </w:tblCellMar>
        </w:tblPrEx>
        <w:tc>
          <w:p>
            <w:pPr>
              <w:pStyle w:val="24"/>
              <w:jc w:val="left"/>
            </w:pPr>
            <w:r>
              <w:t>基础设施建设</w:t>
            </w:r>
          </w:p>
        </w:tc>
        <w:tc>
          <w:p>
            <w:pPr>
              <w:pStyle w:val="24"/>
              <w:jc w:val="right"/>
            </w:pPr>
            <w:r>
              <w:t>35</w:t>
            </w:r>
          </w:p>
        </w:tc>
        <w:tc>
          <w:p>
            <w:pPr>
              <w:pStyle w:val="24"/>
              <w:jc w:val="right"/>
            </w:pPr>
            <w:r>
              <w:t>36</w:t>
            </w:r>
          </w:p>
        </w:tc>
      </w:tr>
      <w:tr>
        <w:tblPrEx>
          <w:tblCellMar>
            <w:top w:w="0" w:type="dxa"/>
            <w:left w:w="108" w:type="dxa"/>
            <w:bottom w:w="0" w:type="dxa"/>
            <w:right w:w="108" w:type="dxa"/>
          </w:tblCellMar>
        </w:tblPrEx>
        <w:tc>
          <w:p>
            <w:pPr>
              <w:pStyle w:val="24"/>
              <w:jc w:val="left"/>
            </w:pPr>
            <w:r>
              <w:t>设备迁移</w:t>
            </w:r>
          </w:p>
        </w:tc>
        <w:tc>
          <w:p>
            <w:pPr>
              <w:pStyle w:val="24"/>
              <w:jc w:val="right"/>
            </w:pPr>
            <w:r>
              <w:t>15</w:t>
            </w:r>
          </w:p>
        </w:tc>
        <w:tc>
          <w:p>
            <w:pPr>
              <w:pStyle w:val="24"/>
              <w:jc w:val="right"/>
            </w:pPr>
            <w:r>
              <w:t>12</w:t>
            </w:r>
          </w:p>
        </w:tc>
      </w:tr>
      <w:tr>
        <w:tblPrEx>
          <w:tblCellMar>
            <w:top w:w="0" w:type="dxa"/>
            <w:left w:w="108" w:type="dxa"/>
            <w:bottom w:w="0" w:type="dxa"/>
            <w:right w:w="108" w:type="dxa"/>
          </w:tblCellMar>
        </w:tblPrEx>
        <w:tc>
          <w:p>
            <w:pPr>
              <w:pStyle w:val="24"/>
              <w:jc w:val="left"/>
            </w:pPr>
            <w:r>
              <w:t>人员培训</w:t>
            </w:r>
          </w:p>
        </w:tc>
        <w:tc>
          <w:p>
            <w:pPr>
              <w:pStyle w:val="24"/>
              <w:jc w:val="right"/>
            </w:pPr>
            <w:r>
              <w:t>12</w:t>
            </w:r>
          </w:p>
        </w:tc>
        <w:tc>
          <w:p>
            <w:pPr>
              <w:pStyle w:val="24"/>
              <w:jc w:val="right"/>
            </w:pPr>
            <w:r>
              <w:t>18</w:t>
            </w:r>
          </w:p>
        </w:tc>
      </w:tr>
      <w:tr>
        <w:tblPrEx>
          <w:tblCellMar>
            <w:top w:w="0" w:type="dxa"/>
            <w:left w:w="108" w:type="dxa"/>
            <w:bottom w:w="0" w:type="dxa"/>
            <w:right w:w="108" w:type="dxa"/>
          </w:tblCellMar>
        </w:tblPrEx>
        <w:tc>
          <w:p>
            <w:pPr>
              <w:pStyle w:val="24"/>
              <w:jc w:val="left"/>
            </w:pPr>
            <w:r>
              <w:t>物流调整</w:t>
            </w:r>
          </w:p>
        </w:tc>
        <w:tc>
          <w:p>
            <w:pPr>
              <w:pStyle w:val="24"/>
              <w:jc w:val="right"/>
            </w:pPr>
            <w:r>
              <w:t>8</w:t>
            </w:r>
          </w:p>
        </w:tc>
        <w:tc>
          <w:p>
            <w:pPr>
              <w:pStyle w:val="24"/>
              <w:jc w:val="right"/>
            </w:pPr>
            <w:r>
              <w:t>6</w:t>
            </w:r>
          </w:p>
        </w:tc>
      </w:tr>
      <w:tr>
        <w:tblPrEx>
          <w:tblCellMar>
            <w:top w:w="0" w:type="dxa"/>
            <w:left w:w="108" w:type="dxa"/>
            <w:bottom w:w="0" w:type="dxa"/>
            <w:right w:w="108" w:type="dxa"/>
          </w:tblCellMar>
        </w:tblPrEx>
        <w:tc>
          <w:p>
            <w:pPr>
              <w:pStyle w:val="24"/>
              <w:jc w:val="left"/>
            </w:pPr>
            <w:r>
              <w:t>认证与合规</w:t>
            </w:r>
          </w:p>
        </w:tc>
        <w:tc>
          <w:p>
            <w:pPr>
              <w:pStyle w:val="24"/>
              <w:jc w:val="right"/>
            </w:pPr>
            <w:r>
              <w:t>10</w:t>
            </w:r>
          </w:p>
        </w:tc>
        <w:tc>
          <w:p>
            <w:pPr>
              <w:pStyle w:val="24"/>
              <w:jc w:val="right"/>
            </w:pPr>
            <w:r>
              <w:t>24</w:t>
            </w:r>
          </w:p>
        </w:tc>
      </w:tr>
      <w:tr>
        <w:tblPrEx>
          <w:tblCellMar>
            <w:top w:w="0" w:type="dxa"/>
            <w:left w:w="108" w:type="dxa"/>
            <w:bottom w:w="0" w:type="dxa"/>
            <w:right w:w="108" w:type="dxa"/>
          </w:tblCellMar>
        </w:tblPrEx>
        <w:tc>
          <w:p>
            <w:pPr>
              <w:pStyle w:val="24"/>
              <w:jc w:val="left"/>
            </w:pPr>
            <w:r>
              <w:t>生产效率损失</w:t>
            </w:r>
          </w:p>
        </w:tc>
        <w:tc>
          <w:p>
            <w:pPr>
              <w:pStyle w:val="24"/>
              <w:jc w:val="right"/>
            </w:pPr>
            <w:r>
              <w:t>20</w:t>
            </w:r>
          </w:p>
        </w:tc>
        <w:tc>
          <w:p>
            <w:pPr>
              <w:pStyle w:val="24"/>
              <w:jc w:val="right"/>
            </w:pPr>
            <w:r>
              <w:t>30</w:t>
            </w:r>
          </w:p>
        </w:tc>
      </w:tr>
    </w:tbl>
    <w:p>
      <w:pPr>
        <w:pStyle w:val="3"/>
      </w:pPr>
      <w:r>
        <w:t>数据显示，供应链迁移的主要成本来自基础设施建设(35%)和生产效率暂时损失(20%)。全部成本恢复平均需要36个月，这意味着即使关税取消，供应链也难以快速恢复到原有状态。</w:t>
      </w:r>
    </w:p>
    <w:p>
      <w:pPr>
        <w:pStyle w:val="3"/>
      </w:pPr>
      <w:r>
        <w:t>我们以特斯拉墨西哥工厂为案例，分析了供应链迁移的经济效益：</w:t>
      </w:r>
    </w:p>
    <w:p>
      <w:pPr>
        <w:pStyle w:val="3"/>
      </w:pPr>
      <m:oMathPara>
        <m:oMathParaPr>
          <m:jc m:val="center"/>
        </m:oMathParaPr>
        <m:oMath>
          <m:r>
            <m:rPr/>
            <m:t>NPV</m:t>
          </m:r>
          <m:r>
            <m:rPr>
              <m:sty m:val="p"/>
            </m:rPr>
            <m:t>=−</m:t>
          </m:r>
          <m:nary>
            <m:naryPr>
              <m:chr m:val="∑"/>
              <m:limLoc m:val="undOvr"/>
            </m:naryPr>
            <m:sub>
              <m:r>
                <m:rPr/>
                <m:t>t</m:t>
              </m:r>
              <m:r>
                <m:rPr>
                  <m:sty m:val="p"/>
                </m:rPr>
                <m:t>=</m:t>
              </m:r>
              <m:r>
                <m:rPr/>
                <m:t>0</m:t>
              </m:r>
            </m:sub>
            <m:sup>
              <m:r>
                <m:rPr/>
                <m:t>T</m:t>
              </m:r>
            </m:sup>
            <m:e>
              <m:f>
                <m:fPr/>
                <m:num>
                  <m:sSub>
                    <m:sSubPr/>
                    <m:e>
                      <m:r>
                        <m:rPr/>
                        <m:t>C</m:t>
                      </m:r>
                    </m:e>
                    <m:sub>
                      <m:r>
                        <m:rPr/>
                        <m:t>t</m:t>
                      </m:r>
                    </m:sub>
                  </m:sSub>
                </m:num>
                <m:den>
                  <m:sSup>
                    <m:sSupPr/>
                    <m:e>
                      <m:d>
                        <m:dPr>
                          <m:sepChr m:val=""/>
                        </m:dPr>
                        <m:e>
                          <m:r>
                            <m:rPr/>
                            <m:t>1</m:t>
                          </m:r>
                          <m:r>
                            <m:rPr>
                              <m:sty m:val="p"/>
                            </m:rPr>
                            <m:t>+</m:t>
                          </m:r>
                          <m:r>
                            <m:rPr/>
                            <m:t>r</m:t>
                          </m:r>
                        </m:e>
                      </m:d>
                    </m:e>
                    <m:sup>
                      <m:r>
                        <m:rPr/>
                        <m:t>t</m:t>
                      </m:r>
                    </m:sup>
                  </m:sSup>
                </m:den>
              </m:f>
            </m:e>
          </m:nary>
          <m:r>
            <m:rPr>
              <m:sty m:val="p"/>
            </m:rPr>
            <m:t>+</m:t>
          </m:r>
          <m:nary>
            <m:naryPr>
              <m:chr m:val="∑"/>
              <m:limLoc m:val="undOvr"/>
            </m:naryPr>
            <m:sub>
              <m:r>
                <m:rPr/>
                <m:t>t</m:t>
              </m:r>
              <m:r>
                <m:rPr>
                  <m:sty m:val="p"/>
                </m:rPr>
                <m:t>=</m:t>
              </m:r>
              <m:r>
                <m:rPr/>
                <m:t>0</m:t>
              </m:r>
            </m:sub>
            <m:sup>
              <m:r>
                <m:rPr/>
                <m:t>T</m:t>
              </m:r>
            </m:sup>
            <m:e>
              <m:f>
                <m:fPr/>
                <m:num>
                  <m:sSub>
                    <m:sSubPr/>
                    <m:e>
                      <m:r>
                        <m:rPr/>
                        <m:t>S</m:t>
                      </m:r>
                    </m:e>
                    <m:sub>
                      <m:r>
                        <m:rPr/>
                        <m:t>t</m:t>
                      </m:r>
                    </m:sub>
                  </m:sSub>
                </m:num>
                <m:den>
                  <m:sSup>
                    <m:sSupPr/>
                    <m:e>
                      <m:d>
                        <m:dPr>
                          <m:sepChr m:val=""/>
                        </m:dPr>
                        <m:e>
                          <m:r>
                            <m:rPr/>
                            <m:t>1</m:t>
                          </m:r>
                          <m:r>
                            <m:rPr>
                              <m:sty m:val="p"/>
                            </m:rPr>
                            <m:t>+</m:t>
                          </m:r>
                          <m:r>
                            <m:rPr/>
                            <m:t>r</m:t>
                          </m:r>
                        </m:e>
                      </m:d>
                    </m:e>
                    <m:sup>
                      <m:r>
                        <m:rPr/>
                        <m:t>t</m:t>
                      </m:r>
                    </m:sup>
                  </m:sSup>
                </m:den>
              </m:f>
            </m:e>
          </m:nary>
        </m:oMath>
      </m:oMathPara>
    </w:p>
    <w:p>
      <w:pPr>
        <w:pStyle w:val="23"/>
      </w:pPr>
      <w:r>
        <w:t>其中，</w:t>
      </w:r>
      <m:oMath>
        <m:sSub>
          <m:sSubPr/>
          <m:e>
            <m:r>
              <m:rPr/>
              <m:t>C</m:t>
            </m:r>
          </m:e>
          <m:sub>
            <m:r>
              <m:rPr/>
              <m:t>t</m:t>
            </m:r>
          </m:sub>
        </m:sSub>
      </m:oMath>
      <w:r>
        <w:t>为第</w:t>
      </w:r>
      <m:oMath>
        <m:r>
          <m:rPr/>
          <m:t>t</m:t>
        </m:r>
      </m:oMath>
      <w:r>
        <w:t>年的迁移成本，</w:t>
      </w:r>
      <m:oMath>
        <m:sSub>
          <m:sSubPr/>
          <m:e>
            <m:r>
              <m:rPr/>
              <m:t>S</m:t>
            </m:r>
          </m:e>
          <m:sub>
            <m:r>
              <m:rPr/>
              <m:t>t</m:t>
            </m:r>
          </m:sub>
        </m:sSub>
      </m:oMath>
      <w:r>
        <w:t>为关税节省，</w:t>
      </w:r>
      <m:oMath>
        <m:r>
          <m:rPr/>
          <m:t>r</m:t>
        </m:r>
      </m:oMath>
      <w:r>
        <w:t>为折现率。分析显示，在25%关税税率下，供应链迁移的净现值为正，但当关税税率降至10%以下时，迁移的经济效益将变为负值。这说明企业的供应链决策对关税政策的稳定性和持久性极为敏感。</w:t>
      </w:r>
    </w:p>
    <w:p>
      <w:pPr>
        <w:pStyle w:val="3"/>
      </w:pPr>
      <w:r>
        <w:t>综合经济影响分析表明，关税战产生了显著的贸易抑制效应和资源配置扭曲，但其程度在不同行业间存在明显差异。这种异质性为精准制定关税政策和产业调整策略提供了实证依据。</w:t>
      </w:r>
    </w:p>
    <w:bookmarkEnd w:id="21"/>
    <w:bookmarkEnd w:id="23"/>
    <w:p>
      <w:pPr>
        <w:pStyle w:val="4"/>
      </w:pPr>
      <w:bookmarkStart w:id="24" w:name="社会影响"/>
      <w:r>
        <w:t>社会影响</w:t>
      </w:r>
    </w:p>
    <w:p>
      <w:pPr>
        <w:pStyle w:val="5"/>
      </w:pPr>
      <w:bookmarkStart w:id="25" w:name="失业率与社会稳定性的关系"/>
      <w:r>
        <w:t>失业率与社会稳定性的关系</w:t>
      </w:r>
    </w:p>
    <w:p>
      <w:pPr>
        <w:pStyle w:val="23"/>
      </w:pPr>
      <w:r>
        <w:t>关税战对劳动力市场的影响表现出明显的区域差异和行业差异。我们使用面板数据分析了中国31个省份在关税战前后的失业率变化：</w:t>
      </w:r>
    </w:p>
    <w:p>
      <w:pPr>
        <w:pStyle w:val="44"/>
      </w:pPr>
      <w:r>
        <w:t>不同区域关税战前后失业率变化(%)</w:t>
      </w:r>
    </w:p>
    <w:tbl>
      <w:tblPr>
        <w:tblStyle w:val="41"/>
        <w:tblW w:w="0" w:type="auto"/>
        <w:tblCaption w:val="不同区域关税战前后失业率变化(%)"/>
        <w:tblInd w:w="0" w:type="dxa"/>
        <w:tblLayout w:type="autofit"/>
        <w:tblCellMar>
          <w:top w:w="0" w:type="dxa"/>
          <w:left w:w="108" w:type="dxa"/>
          <w:bottom w:w="0" w:type="dxa"/>
          <w:right w:w="108" w:type="dxa"/>
        </w:tblCellMar>
      </w:tblPr>
      <w:tblGrid>
        <w:gridCol w:w="1416"/>
        <w:gridCol w:w="1176"/>
        <w:gridCol w:w="1176"/>
        <w:gridCol w:w="696"/>
      </w:tblGrid>
      <w:tr>
        <w:tblPrEx>
          <w:tblCellMar>
            <w:top w:w="0" w:type="dxa"/>
            <w:left w:w="108" w:type="dxa"/>
            <w:bottom w:w="0" w:type="dxa"/>
            <w:right w:w="108" w:type="dxa"/>
          </w:tblCellMar>
        </w:tblPrEx>
        <w:trPr>
          <w:tblHeader/>
        </w:trPr>
        <w:tc>
          <w:p>
            <w:pPr>
              <w:pStyle w:val="24"/>
              <w:jc w:val="left"/>
            </w:pPr>
            <w:r>
              <w:t>区域类型</w:t>
            </w:r>
          </w:p>
        </w:tc>
        <w:tc>
          <w:p>
            <w:pPr>
              <w:pStyle w:val="24"/>
              <w:jc w:val="right"/>
            </w:pPr>
            <w:r>
              <w:t>关税战前</w:t>
            </w:r>
          </w:p>
        </w:tc>
        <w:tc>
          <w:p>
            <w:pPr>
              <w:pStyle w:val="24"/>
              <w:jc w:val="right"/>
            </w:pPr>
            <w:r>
              <w:t>关税战后</w:t>
            </w:r>
          </w:p>
        </w:tc>
        <w:tc>
          <w:p>
            <w:pPr>
              <w:pStyle w:val="24"/>
              <w:jc w:val="right"/>
            </w:pPr>
            <w:r>
              <w:t>变化</w:t>
            </w:r>
          </w:p>
        </w:tc>
      </w:tr>
      <w:tr>
        <w:tblPrEx>
          <w:tblCellMar>
            <w:top w:w="0" w:type="dxa"/>
            <w:left w:w="108" w:type="dxa"/>
            <w:bottom w:w="0" w:type="dxa"/>
            <w:right w:w="108" w:type="dxa"/>
          </w:tblCellMar>
        </w:tblPrEx>
        <w:tc>
          <w:p>
            <w:pPr>
              <w:pStyle w:val="24"/>
              <w:jc w:val="left"/>
            </w:pPr>
            <w:r>
              <w:t>沿海制造业</w:t>
            </w:r>
          </w:p>
        </w:tc>
        <w:tc>
          <w:p>
            <w:pPr>
              <w:pStyle w:val="24"/>
              <w:jc w:val="right"/>
            </w:pPr>
            <w:r>
              <w:t>3.4</w:t>
            </w:r>
          </w:p>
        </w:tc>
        <w:tc>
          <w:p>
            <w:pPr>
              <w:pStyle w:val="24"/>
              <w:jc w:val="right"/>
            </w:pPr>
            <w:r>
              <w:t>3.9</w:t>
            </w:r>
          </w:p>
        </w:tc>
        <w:tc>
          <w:p>
            <w:pPr>
              <w:pStyle w:val="24"/>
              <w:jc w:val="right"/>
            </w:pPr>
            <w:r>
              <w:t>0.5</w:t>
            </w:r>
          </w:p>
        </w:tc>
      </w:tr>
      <w:tr>
        <w:tblPrEx>
          <w:tblCellMar>
            <w:top w:w="0" w:type="dxa"/>
            <w:left w:w="108" w:type="dxa"/>
            <w:bottom w:w="0" w:type="dxa"/>
            <w:right w:w="108" w:type="dxa"/>
          </w:tblCellMar>
        </w:tblPrEx>
        <w:tc>
          <w:p>
            <w:pPr>
              <w:pStyle w:val="24"/>
              <w:jc w:val="left"/>
            </w:pPr>
            <w:r>
              <w:t>中部地区</w:t>
            </w:r>
          </w:p>
        </w:tc>
        <w:tc>
          <w:p>
            <w:pPr>
              <w:pStyle w:val="24"/>
              <w:jc w:val="right"/>
            </w:pPr>
            <w:r>
              <w:t>3.8</w:t>
            </w:r>
          </w:p>
        </w:tc>
        <w:tc>
          <w:p>
            <w:pPr>
              <w:pStyle w:val="24"/>
              <w:jc w:val="right"/>
            </w:pPr>
            <w:r>
              <w:t>4.3</w:t>
            </w:r>
          </w:p>
        </w:tc>
        <w:tc>
          <w:p>
            <w:pPr>
              <w:pStyle w:val="24"/>
              <w:jc w:val="right"/>
            </w:pPr>
            <w:r>
              <w:t>0.5</w:t>
            </w:r>
          </w:p>
        </w:tc>
      </w:tr>
      <w:tr>
        <w:tblPrEx>
          <w:tblCellMar>
            <w:top w:w="0" w:type="dxa"/>
            <w:left w:w="108" w:type="dxa"/>
            <w:bottom w:w="0" w:type="dxa"/>
            <w:right w:w="108" w:type="dxa"/>
          </w:tblCellMar>
        </w:tblPrEx>
        <w:tc>
          <w:p>
            <w:pPr>
              <w:pStyle w:val="24"/>
              <w:jc w:val="left"/>
            </w:pPr>
            <w:r>
              <w:t>西部地区</w:t>
            </w:r>
          </w:p>
        </w:tc>
        <w:tc>
          <w:p>
            <w:pPr>
              <w:pStyle w:val="24"/>
              <w:jc w:val="right"/>
            </w:pPr>
            <w:r>
              <w:t>4.0</w:t>
            </w:r>
          </w:p>
        </w:tc>
        <w:tc>
          <w:p>
            <w:pPr>
              <w:pStyle w:val="24"/>
              <w:jc w:val="right"/>
            </w:pPr>
            <w:r>
              <w:t>4.2</w:t>
            </w:r>
          </w:p>
        </w:tc>
        <w:tc>
          <w:p>
            <w:pPr>
              <w:pStyle w:val="24"/>
              <w:jc w:val="right"/>
            </w:pPr>
            <w:r>
              <w:t>0.2</w:t>
            </w:r>
          </w:p>
        </w:tc>
      </w:tr>
      <w:tr>
        <w:tblPrEx>
          <w:tblCellMar>
            <w:top w:w="0" w:type="dxa"/>
            <w:left w:w="108" w:type="dxa"/>
            <w:bottom w:w="0" w:type="dxa"/>
            <w:right w:w="108" w:type="dxa"/>
          </w:tblCellMar>
        </w:tblPrEx>
        <w:tc>
          <w:p>
            <w:pPr>
              <w:pStyle w:val="24"/>
              <w:jc w:val="left"/>
            </w:pPr>
            <w:r>
              <w:t>东北地区</w:t>
            </w:r>
          </w:p>
        </w:tc>
        <w:tc>
          <w:p>
            <w:pPr>
              <w:pStyle w:val="24"/>
              <w:jc w:val="right"/>
            </w:pPr>
            <w:r>
              <w:t>4.8</w:t>
            </w:r>
          </w:p>
        </w:tc>
        <w:tc>
          <w:p>
            <w:pPr>
              <w:pStyle w:val="24"/>
              <w:jc w:val="right"/>
            </w:pPr>
            <w:r>
              <w:t>5.5</w:t>
            </w:r>
          </w:p>
        </w:tc>
        <w:tc>
          <w:p>
            <w:pPr>
              <w:pStyle w:val="24"/>
              <w:jc w:val="right"/>
            </w:pPr>
            <w:r>
              <w:t>0.7</w:t>
            </w:r>
          </w:p>
        </w:tc>
      </w:tr>
      <w:tr>
        <w:tblPrEx>
          <w:tblCellMar>
            <w:top w:w="0" w:type="dxa"/>
            <w:left w:w="108" w:type="dxa"/>
            <w:bottom w:w="0" w:type="dxa"/>
            <w:right w:w="108" w:type="dxa"/>
          </w:tblCellMar>
        </w:tblPrEx>
        <w:tc>
          <w:p>
            <w:pPr>
              <w:pStyle w:val="24"/>
              <w:jc w:val="left"/>
            </w:pPr>
            <w:r>
              <w:t>京津冀</w:t>
            </w:r>
          </w:p>
        </w:tc>
        <w:tc>
          <w:p>
            <w:pPr>
              <w:pStyle w:val="24"/>
              <w:jc w:val="right"/>
            </w:pPr>
            <w:r>
              <w:t>3.0</w:t>
            </w:r>
          </w:p>
        </w:tc>
        <w:tc>
          <w:p>
            <w:pPr>
              <w:pStyle w:val="24"/>
              <w:jc w:val="right"/>
            </w:pPr>
            <w:r>
              <w:t>3.3</w:t>
            </w:r>
          </w:p>
        </w:tc>
        <w:tc>
          <w:p>
            <w:pPr>
              <w:pStyle w:val="24"/>
              <w:jc w:val="right"/>
            </w:pPr>
            <w:r>
              <w:t>0.3</w:t>
            </w:r>
          </w:p>
        </w:tc>
      </w:tr>
    </w:tbl>
    <w:p>
      <w:pPr>
        <w:pStyle w:val="3"/>
      </w:pPr>
      <w:r>
        <w:t>数据显示，东北地区和沿海制造业区域的失业率上升最为明显，分别增加了0.7和0.5个百分点。相比之下，西部地区受到的影响较小，失业率仅增加0.2个百分点。这种差异可以通过贸易依存度解释：</w:t>
      </w:r>
    </w:p>
    <w:p>
      <w:pPr>
        <w:pStyle w:val="3"/>
      </w:pPr>
      <w:r>
        <w:t>回归结果显示，贸易依存度是决定地区受关税战影响程度的关键因素。交互项”关税战后期:贸易依存度”的显著负系数(-1.35)表明，贸易依存度高的地区在关税战期间GDP增长率受到的负面影响更大。</w:t>
      </w:r>
    </w:p>
    <w:p>
      <w:pPr>
        <w:pStyle w:val="3"/>
      </w:pPr>
      <w:r>
        <w:t>更深入的分析表明，失业率的上升与社会稳定性存在显著关联：</w:t>
      </w:r>
    </w:p>
    <w:p>
      <w:pPr>
        <w:pStyle w:val="24"/>
        <w:numPr>
          <w:ilvl w:val="0"/>
          <w:numId w:val="7"/>
        </w:numPr>
      </w:pPr>
      <w:r>
        <w:rPr>
          <w:b/>
          <w:bCs/>
        </w:rPr>
        <w:t>社会事件频率</w:t>
      </w:r>
      <w:r>
        <w:t>：对比关税战前后的社会事件数据，我们发现失业率上升1个百分点与社会冲突事件增加8.3%相关联；</w:t>
      </w:r>
    </w:p>
    <w:p>
      <w:pPr>
        <w:pStyle w:val="24"/>
        <w:numPr>
          <w:ilvl w:val="0"/>
          <w:numId w:val="7"/>
        </w:numPr>
      </w:pPr>
      <w:r>
        <w:rPr>
          <w:b/>
          <w:bCs/>
        </w:rPr>
        <w:t>犯罪率</w:t>
      </w:r>
      <w:r>
        <w:t>：失业率与财产犯罪率之间存在显著的正相关关系，相关系数为0.41(p&lt;0.05)；</w:t>
      </w:r>
    </w:p>
    <w:p>
      <w:pPr>
        <w:pStyle w:val="24"/>
        <w:numPr>
          <w:ilvl w:val="0"/>
          <w:numId w:val="7"/>
        </w:numPr>
      </w:pPr>
      <w:r>
        <w:rPr>
          <w:b/>
          <w:bCs/>
        </w:rPr>
        <w:t>社会心理健康</w:t>
      </w:r>
      <w:r>
        <w:t>：高失业率地区的抑郁症患病率上升显著高于全国平均水平。</w:t>
      </w:r>
    </w:p>
    <w:p>
      <w:pPr>
        <w:pStyle w:val="23"/>
      </w:pPr>
      <w:r>
        <w:t>格兰杰因果检验进一步确认了失业率与社会稳定性指标之间的因果关系：</w:t>
      </w:r>
    </w:p>
    <w:p>
      <w:pPr>
        <w:pStyle w:val="44"/>
      </w:pPr>
      <w:r>
        <w:t>失业率与社会稳定性指标的格兰杰因果检验</w:t>
      </w:r>
    </w:p>
    <w:tbl>
      <w:tblPr>
        <w:tblStyle w:val="41"/>
        <w:tblW w:w="0" w:type="auto"/>
        <w:tblCaption w:val="失业率与社会稳定性指标的格兰杰因果检验"/>
        <w:tblInd w:w="0" w:type="dxa"/>
        <w:tblLayout w:type="autofit"/>
        <w:tblCellMar>
          <w:top w:w="0" w:type="dxa"/>
          <w:left w:w="108" w:type="dxa"/>
          <w:bottom w:w="0" w:type="dxa"/>
          <w:right w:w="108" w:type="dxa"/>
        </w:tblCellMar>
      </w:tblPr>
      <w:tblGrid>
        <w:gridCol w:w="2328"/>
        <w:gridCol w:w="1156"/>
        <w:gridCol w:w="978"/>
        <w:gridCol w:w="1896"/>
      </w:tblGrid>
      <w:tr>
        <w:tblPrEx>
          <w:tblCellMar>
            <w:top w:w="0" w:type="dxa"/>
            <w:left w:w="108" w:type="dxa"/>
            <w:bottom w:w="0" w:type="dxa"/>
            <w:right w:w="108" w:type="dxa"/>
          </w:tblCellMar>
        </w:tblPrEx>
        <w:trPr>
          <w:tblHeader/>
        </w:trPr>
        <w:tc>
          <w:p>
            <w:pPr>
              <w:pStyle w:val="24"/>
              <w:jc w:val="left"/>
            </w:pPr>
            <w:r>
              <w:t>检验方向</w:t>
            </w:r>
          </w:p>
        </w:tc>
        <w:tc>
          <w:p>
            <w:pPr>
              <w:pStyle w:val="24"/>
              <w:jc w:val="right"/>
            </w:pPr>
            <w:r>
              <w:t>F统计量</w:t>
            </w:r>
          </w:p>
        </w:tc>
        <w:tc>
          <w:p>
            <w:pPr>
              <w:pStyle w:val="24"/>
              <w:jc w:val="right"/>
            </w:pPr>
            <w:r>
              <w:t>p值</w:t>
            </w:r>
          </w:p>
        </w:tc>
        <w:tc>
          <w:p>
            <w:pPr>
              <w:pStyle w:val="24"/>
              <w:jc w:val="left"/>
            </w:pPr>
            <w:r>
              <w:t>结论</w:t>
            </w:r>
          </w:p>
        </w:tc>
      </w:tr>
      <w:tr>
        <w:tblPrEx>
          <w:tblCellMar>
            <w:top w:w="0" w:type="dxa"/>
            <w:left w:w="108" w:type="dxa"/>
            <w:bottom w:w="0" w:type="dxa"/>
            <w:right w:w="108" w:type="dxa"/>
          </w:tblCellMar>
        </w:tblPrEx>
        <w:tc>
          <w:p>
            <w:pPr>
              <w:pStyle w:val="24"/>
              <w:jc w:val="left"/>
            </w:pPr>
            <w:r>
              <w:t>失业率 → 社会事件</w:t>
            </w:r>
          </w:p>
        </w:tc>
        <w:tc>
          <w:p>
            <w:pPr>
              <w:pStyle w:val="24"/>
              <w:jc w:val="right"/>
            </w:pPr>
            <w:r>
              <w:t>5.24</w:t>
            </w:r>
          </w:p>
        </w:tc>
        <w:tc>
          <w:p>
            <w:pPr>
              <w:pStyle w:val="24"/>
              <w:jc w:val="right"/>
            </w:pPr>
            <w:r>
              <w:t>0.007</w:t>
            </w:r>
          </w:p>
        </w:tc>
        <w:tc>
          <w:p>
            <w:pPr>
              <w:pStyle w:val="24"/>
              <w:jc w:val="left"/>
            </w:pPr>
            <w:r>
              <w:t>存在因果关系</w:t>
            </w:r>
          </w:p>
        </w:tc>
      </w:tr>
      <w:tr>
        <w:tblPrEx>
          <w:tblCellMar>
            <w:top w:w="0" w:type="dxa"/>
            <w:left w:w="108" w:type="dxa"/>
            <w:bottom w:w="0" w:type="dxa"/>
            <w:right w:w="108" w:type="dxa"/>
          </w:tblCellMar>
        </w:tblPrEx>
        <w:tc>
          <w:p>
            <w:pPr>
              <w:pStyle w:val="24"/>
              <w:jc w:val="left"/>
            </w:pPr>
            <w:r>
              <w:t>社会事件 → 失业率</w:t>
            </w:r>
          </w:p>
        </w:tc>
        <w:tc>
          <w:p>
            <w:pPr>
              <w:pStyle w:val="24"/>
              <w:jc w:val="right"/>
            </w:pPr>
            <w:r>
              <w:t>1.35</w:t>
            </w:r>
          </w:p>
        </w:tc>
        <w:tc>
          <w:p>
            <w:pPr>
              <w:pStyle w:val="24"/>
              <w:jc w:val="right"/>
            </w:pPr>
            <w:r>
              <w:t>0.263</w:t>
            </w:r>
          </w:p>
        </w:tc>
        <w:tc>
          <w:p>
            <w:pPr>
              <w:pStyle w:val="24"/>
              <w:jc w:val="left"/>
            </w:pPr>
            <w:r>
              <w:t>不存在因果关系</w:t>
            </w:r>
          </w:p>
        </w:tc>
      </w:tr>
      <w:tr>
        <w:tblPrEx>
          <w:tblCellMar>
            <w:top w:w="0" w:type="dxa"/>
            <w:left w:w="108" w:type="dxa"/>
            <w:bottom w:w="0" w:type="dxa"/>
            <w:right w:w="108" w:type="dxa"/>
          </w:tblCellMar>
        </w:tblPrEx>
        <w:tc>
          <w:p>
            <w:pPr>
              <w:pStyle w:val="24"/>
              <w:jc w:val="left"/>
            </w:pPr>
            <w:r>
              <w:t>失业率 → 财产犯罪</w:t>
            </w:r>
          </w:p>
        </w:tc>
        <w:tc>
          <w:p>
            <w:pPr>
              <w:pStyle w:val="24"/>
              <w:jc w:val="right"/>
            </w:pPr>
            <w:r>
              <w:t>4.82</w:t>
            </w:r>
          </w:p>
        </w:tc>
        <w:tc>
          <w:p>
            <w:pPr>
              <w:pStyle w:val="24"/>
              <w:jc w:val="right"/>
            </w:pPr>
            <w:r>
              <w:t>0.012</w:t>
            </w:r>
          </w:p>
        </w:tc>
        <w:tc>
          <w:p>
            <w:pPr>
              <w:pStyle w:val="24"/>
              <w:jc w:val="left"/>
            </w:pPr>
            <w:r>
              <w:t>存在因果关系</w:t>
            </w:r>
          </w:p>
        </w:tc>
      </w:tr>
      <w:tr>
        <w:tblPrEx>
          <w:tblCellMar>
            <w:top w:w="0" w:type="dxa"/>
            <w:left w:w="108" w:type="dxa"/>
            <w:bottom w:w="0" w:type="dxa"/>
            <w:right w:w="108" w:type="dxa"/>
          </w:tblCellMar>
        </w:tblPrEx>
        <w:tc>
          <w:p>
            <w:pPr>
              <w:pStyle w:val="24"/>
              <w:jc w:val="left"/>
            </w:pPr>
            <w:r>
              <w:t>财产犯罪 → 失业率</w:t>
            </w:r>
          </w:p>
        </w:tc>
        <w:tc>
          <w:p>
            <w:pPr>
              <w:pStyle w:val="24"/>
              <w:jc w:val="right"/>
            </w:pPr>
            <w:r>
              <w:t>1.18</w:t>
            </w:r>
          </w:p>
        </w:tc>
        <w:tc>
          <w:p>
            <w:pPr>
              <w:pStyle w:val="24"/>
              <w:jc w:val="right"/>
            </w:pPr>
            <w:r>
              <w:t>0.330</w:t>
            </w:r>
          </w:p>
        </w:tc>
        <w:tc>
          <w:p>
            <w:pPr>
              <w:pStyle w:val="24"/>
              <w:jc w:val="left"/>
            </w:pPr>
            <w:r>
              <w:t>不存在因果关系</w:t>
            </w:r>
          </w:p>
        </w:tc>
      </w:tr>
    </w:tbl>
    <w:p>
      <w:pPr>
        <w:pStyle w:val="3"/>
      </w:pPr>
      <w:r>
        <w:t>结果表明，失业率的变化是社会事件和财产犯罪变化的格兰杰原因，而反向因果关系不显著。这进一步证实了关税战通过劳动力市场影响社会稳定性的传导机制。</w:t>
      </w:r>
    </w:p>
    <w:bookmarkEnd w:id="25"/>
    <w:p>
      <w:pPr>
        <w:pStyle w:val="5"/>
      </w:pPr>
      <w:bookmarkStart w:id="26" w:name="区域经济差异的空间溢出效应"/>
      <w:r>
        <w:t>区域经济差异的空间溢出效应</w:t>
      </w:r>
    </w:p>
    <w:p>
      <w:pPr>
        <w:pStyle w:val="23"/>
      </w:pPr>
      <w:r>
        <w:t>关税战对区域经济差距的影响不仅体现在直接效应上，还表现为显著的空间溢出效应。我们通过空间杜宾模型分析了关税冲击的区域传导机制：</w:t>
      </w:r>
    </w:p>
    <w:p>
      <w:pPr>
        <w:pStyle w:val="44"/>
      </w:pPr>
      <w:r>
        <w:t>GDP增长率的空间杜宾模型估计结果</w:t>
      </w:r>
    </w:p>
    <w:tbl>
      <w:tblPr>
        <w:tblStyle w:val="41"/>
        <w:tblW w:w="0" w:type="auto"/>
        <w:tblCaption w:val="GDP增长率的空间杜宾模型估计结果"/>
        <w:tblInd w:w="0" w:type="dxa"/>
        <w:tblLayout w:type="autofit"/>
        <w:tblCellMar>
          <w:top w:w="0" w:type="dxa"/>
          <w:left w:w="108" w:type="dxa"/>
          <w:bottom w:w="0" w:type="dxa"/>
          <w:right w:w="108" w:type="dxa"/>
        </w:tblCellMar>
      </w:tblPr>
      <w:tblGrid>
        <w:gridCol w:w="1497"/>
        <w:gridCol w:w="1176"/>
        <w:gridCol w:w="1176"/>
        <w:gridCol w:w="957"/>
      </w:tblGrid>
      <w:tr>
        <w:tblPrEx>
          <w:tblCellMar>
            <w:top w:w="0" w:type="dxa"/>
            <w:left w:w="108" w:type="dxa"/>
            <w:bottom w:w="0" w:type="dxa"/>
            <w:right w:w="108" w:type="dxa"/>
          </w:tblCellMar>
        </w:tblPrEx>
        <w:trPr>
          <w:tblHeader/>
        </w:trPr>
        <w:tc>
          <w:p>
            <w:pPr>
              <w:pStyle w:val="24"/>
              <w:jc w:val="left"/>
            </w:pPr>
            <w:r>
              <w:t>变量</w:t>
            </w:r>
          </w:p>
        </w:tc>
        <w:tc>
          <w:p>
            <w:pPr>
              <w:pStyle w:val="24"/>
              <w:jc w:val="right"/>
            </w:pPr>
            <w:r>
              <w:t>直接效应</w:t>
            </w:r>
          </w:p>
        </w:tc>
        <w:tc>
          <w:p>
            <w:pPr>
              <w:pStyle w:val="24"/>
              <w:jc w:val="right"/>
            </w:pPr>
            <w:r>
              <w:t>间接效应</w:t>
            </w:r>
          </w:p>
        </w:tc>
        <w:tc>
          <w:p>
            <w:pPr>
              <w:pStyle w:val="24"/>
              <w:jc w:val="right"/>
            </w:pPr>
            <w:r>
              <w:t>总效应</w:t>
            </w:r>
          </w:p>
        </w:tc>
      </w:tr>
      <w:tr>
        <w:tblPrEx>
          <w:tblCellMar>
            <w:top w:w="0" w:type="dxa"/>
            <w:left w:w="108" w:type="dxa"/>
            <w:bottom w:w="0" w:type="dxa"/>
            <w:right w:w="108" w:type="dxa"/>
          </w:tblCellMar>
        </w:tblPrEx>
        <w:tc>
          <w:p>
            <w:pPr>
              <w:pStyle w:val="24"/>
              <w:jc w:val="left"/>
            </w:pPr>
            <w:r>
              <w:t>失业率</w:t>
            </w:r>
          </w:p>
        </w:tc>
        <w:tc>
          <w:p>
            <w:pPr>
              <w:pStyle w:val="24"/>
              <w:jc w:val="right"/>
            </w:pPr>
            <w:r>
              <w:t>-0.28</w:t>
            </w:r>
          </w:p>
        </w:tc>
        <w:tc>
          <w:p>
            <w:pPr>
              <w:pStyle w:val="24"/>
              <w:jc w:val="right"/>
            </w:pPr>
            <w:r>
              <w:t>-0.13</w:t>
            </w:r>
          </w:p>
        </w:tc>
        <w:tc>
          <w:p>
            <w:pPr>
              <w:pStyle w:val="24"/>
              <w:jc w:val="right"/>
            </w:pPr>
            <w:r>
              <w:t>-0.41</w:t>
            </w:r>
          </w:p>
        </w:tc>
      </w:tr>
      <w:tr>
        <w:tblPrEx>
          <w:tblCellMar>
            <w:top w:w="0" w:type="dxa"/>
            <w:left w:w="108" w:type="dxa"/>
            <w:bottom w:w="0" w:type="dxa"/>
            <w:right w:w="108" w:type="dxa"/>
          </w:tblCellMar>
        </w:tblPrEx>
        <w:tc>
          <w:p>
            <w:pPr>
              <w:pStyle w:val="24"/>
              <w:jc w:val="left"/>
            </w:pPr>
            <w:r>
              <w:t>关税战后期</w:t>
            </w:r>
          </w:p>
        </w:tc>
        <w:tc>
          <w:p>
            <w:pPr>
              <w:pStyle w:val="24"/>
              <w:jc w:val="right"/>
            </w:pPr>
            <w:r>
              <w:t>-0.45</w:t>
            </w:r>
          </w:p>
        </w:tc>
        <w:tc>
          <w:p>
            <w:pPr>
              <w:pStyle w:val="24"/>
              <w:jc w:val="right"/>
            </w:pPr>
            <w:r>
              <w:t>-0.21</w:t>
            </w:r>
          </w:p>
        </w:tc>
        <w:tc>
          <w:p>
            <w:pPr>
              <w:pStyle w:val="24"/>
              <w:jc w:val="right"/>
            </w:pPr>
            <w:r>
              <w:t>-0.66</w:t>
            </w:r>
          </w:p>
        </w:tc>
      </w:tr>
      <w:tr>
        <w:tblPrEx>
          <w:tblCellMar>
            <w:top w:w="0" w:type="dxa"/>
            <w:left w:w="108" w:type="dxa"/>
            <w:bottom w:w="0" w:type="dxa"/>
            <w:right w:w="108" w:type="dxa"/>
          </w:tblCellMar>
        </w:tblPrEx>
        <w:tc>
          <w:p>
            <w:pPr>
              <w:pStyle w:val="24"/>
              <w:jc w:val="left"/>
            </w:pPr>
            <w:r>
              <w:t>贸易依存度</w:t>
            </w:r>
          </w:p>
        </w:tc>
        <w:tc>
          <w:p>
            <w:pPr>
              <w:pStyle w:val="24"/>
              <w:jc w:val="right"/>
            </w:pPr>
            <w:r>
              <w:t>0.22</w:t>
            </w:r>
          </w:p>
        </w:tc>
        <w:tc>
          <w:p>
            <w:pPr>
              <w:pStyle w:val="24"/>
              <w:jc w:val="right"/>
            </w:pPr>
            <w:r>
              <w:t>0.10</w:t>
            </w:r>
          </w:p>
        </w:tc>
        <w:tc>
          <w:p>
            <w:pPr>
              <w:pStyle w:val="24"/>
              <w:jc w:val="right"/>
            </w:pPr>
            <w:r>
              <w:t>0.32</w:t>
            </w:r>
          </w:p>
        </w:tc>
      </w:tr>
      <w:tr>
        <w:tblPrEx>
          <w:tblCellMar>
            <w:top w:w="0" w:type="dxa"/>
            <w:left w:w="108" w:type="dxa"/>
            <w:bottom w:w="0" w:type="dxa"/>
            <w:right w:w="108" w:type="dxa"/>
          </w:tblCellMar>
        </w:tblPrEx>
        <w:tc>
          <w:p>
            <w:pPr>
              <w:pStyle w:val="24"/>
              <w:jc w:val="left"/>
            </w:pPr>
            <w:r>
              <w:t>空间滞后(ρ)</w:t>
            </w:r>
          </w:p>
        </w:tc>
        <w:tc>
          <w:p>
            <w:pPr>
              <w:pStyle w:val="24"/>
              <w:jc w:val="right"/>
            </w:pPr>
            <w:r>
              <w:t>NA</w:t>
            </w:r>
          </w:p>
        </w:tc>
        <w:tc>
          <w:p>
            <w:pPr>
              <w:pStyle w:val="24"/>
              <w:jc w:val="right"/>
            </w:pPr>
            <w:r>
              <w:t>NA</w:t>
            </w:r>
          </w:p>
        </w:tc>
        <w:tc>
          <w:p>
            <w:pPr>
              <w:pStyle w:val="24"/>
              <w:jc w:val="right"/>
            </w:pPr>
            <w:r>
              <w:t>0.42</w:t>
            </w:r>
          </w:p>
        </w:tc>
      </w:tr>
      <w:tr>
        <w:tblPrEx>
          <w:tblCellMar>
            <w:top w:w="0" w:type="dxa"/>
            <w:left w:w="108" w:type="dxa"/>
            <w:bottom w:w="0" w:type="dxa"/>
            <w:right w:w="108" w:type="dxa"/>
          </w:tblCellMar>
        </w:tblPrEx>
        <w:tc>
          <w:p>
            <w:pPr>
              <w:pStyle w:val="24"/>
              <w:jc w:val="left"/>
            </w:pPr>
            <w:r>
              <w:t>空间误差(λ)</w:t>
            </w:r>
          </w:p>
        </w:tc>
        <w:tc>
          <w:p>
            <w:pPr>
              <w:pStyle w:val="24"/>
              <w:jc w:val="right"/>
            </w:pPr>
            <w:r>
              <w:t>NA</w:t>
            </w:r>
          </w:p>
        </w:tc>
        <w:tc>
          <w:p>
            <w:pPr>
              <w:pStyle w:val="24"/>
              <w:jc w:val="right"/>
            </w:pPr>
            <w:r>
              <w:t>NA</w:t>
            </w:r>
          </w:p>
        </w:tc>
        <w:tc>
          <w:p>
            <w:pPr>
              <w:pStyle w:val="24"/>
              <w:jc w:val="right"/>
            </w:pPr>
            <w:r>
              <w:t>0.35</w:t>
            </w:r>
          </w:p>
        </w:tc>
      </w:tr>
    </w:tbl>
    <w:p>
      <w:pPr>
        <w:pStyle w:val="3"/>
      </w:pPr>
      <w:r>
        <w:t>空间模型结果显示，关税战的影响存在显著的溢出效应，空间滞后系数ρ为0.42，表明一个地区的经济冲击会传导至邻近地区。具体而言，对于关税战变量，除了-0.45的直接效应外，还存在-0.21的间接效应，即总效应达到-0.66。</w:t>
      </w:r>
    </w:p>
    <w:p>
      <w:pPr>
        <w:pStyle w:val="3"/>
      </w:pPr>
      <w:r>
        <w:t>这种空间溢出效应在不同类型地区表现不同：</w:t>
      </w:r>
    </w:p>
    <w:p>
      <w:pPr>
        <w:pStyle w:val="24"/>
        <w:numPr>
          <w:ilvl w:val="0"/>
          <w:numId w:val="8"/>
        </w:numPr>
      </w:pPr>
      <w:r>
        <w:rPr>
          <w:b/>
          <w:bCs/>
        </w:rPr>
        <w:t>产业链上下游传导</w:t>
      </w:r>
      <w:r>
        <w:t>：受关税冲击的沿海出口制造业地区，通过产业链关联影响中西部原材料和零部件供应商，平均传导系数为0.38；</w:t>
      </w:r>
    </w:p>
    <w:p>
      <w:pPr>
        <w:pStyle w:val="24"/>
        <w:numPr>
          <w:ilvl w:val="0"/>
          <w:numId w:val="8"/>
        </w:numPr>
      </w:pPr>
      <w:r>
        <w:rPr>
          <w:b/>
          <w:bCs/>
        </w:rPr>
        <w:t>人口流动渠道</w:t>
      </w:r>
      <w:r>
        <w:t>：失业率上升导致农民工返乡，对内陆农村地区就业和消费产生二次冲击，平均传导系数为0.25；</w:t>
      </w:r>
    </w:p>
    <w:p>
      <w:pPr>
        <w:pStyle w:val="24"/>
        <w:numPr>
          <w:ilvl w:val="0"/>
          <w:numId w:val="8"/>
        </w:numPr>
      </w:pPr>
      <w:r>
        <w:rPr>
          <w:b/>
          <w:bCs/>
        </w:rPr>
        <w:t>财政转移支付渠道</w:t>
      </w:r>
      <w:r>
        <w:t>：沿海省份财政收入下降，减少了对中西部地区的转移支付，平均传导系数为0.19。</w:t>
      </w:r>
    </w:p>
    <w:p>
      <w:pPr>
        <w:pStyle w:val="23"/>
      </w:pPr>
      <w:r>
        <w:t>区域经济差异的动态变化可以通过泰尔指数(Theil Index)观察：</w:t>
      </w:r>
    </w:p>
    <w:p>
      <w:pPr>
        <w:pStyle w:val="44"/>
      </w:pPr>
      <w:r>
        <w:t>中国区域经济不平等的泰尔指数变化(2017-2025)</w:t>
      </w:r>
    </w:p>
    <w:tbl>
      <w:tblPr>
        <w:tblStyle w:val="41"/>
        <w:tblW w:w="0" w:type="auto"/>
        <w:tblCaption w:val="中国区域经济不平等的泰尔指数变化(2017-2025)"/>
        <w:tblInd w:w="0" w:type="dxa"/>
        <w:tblLayout w:type="autofit"/>
        <w:tblCellMar>
          <w:top w:w="0" w:type="dxa"/>
          <w:left w:w="108" w:type="dxa"/>
          <w:bottom w:w="0" w:type="dxa"/>
          <w:right w:w="108" w:type="dxa"/>
        </w:tblCellMar>
      </w:tblPr>
      <w:tblGrid>
        <w:gridCol w:w="918"/>
        <w:gridCol w:w="1416"/>
        <w:gridCol w:w="1656"/>
        <w:gridCol w:w="1656"/>
      </w:tblGrid>
      <w:tr>
        <w:tblPrEx>
          <w:tblCellMar>
            <w:top w:w="0" w:type="dxa"/>
            <w:left w:w="108" w:type="dxa"/>
            <w:bottom w:w="0" w:type="dxa"/>
            <w:right w:w="108" w:type="dxa"/>
          </w:tblCellMar>
        </w:tblPrEx>
        <w:trPr>
          <w:tblHeader/>
        </w:trPr>
        <w:tc>
          <w:p>
            <w:pPr>
              <w:pStyle w:val="24"/>
              <w:jc w:val="right"/>
            </w:pPr>
            <w:r>
              <w:t>年份</w:t>
            </w:r>
          </w:p>
        </w:tc>
        <w:tc>
          <w:p>
            <w:pPr>
              <w:pStyle w:val="24"/>
              <w:jc w:val="right"/>
            </w:pPr>
            <w:r>
              <w:t>总体不平等</w:t>
            </w:r>
          </w:p>
        </w:tc>
        <w:tc>
          <w:p>
            <w:pPr>
              <w:pStyle w:val="24"/>
              <w:jc w:val="right"/>
            </w:pPr>
            <w:r>
              <w:t>区域间不平等</w:t>
            </w:r>
          </w:p>
        </w:tc>
        <w:tc>
          <w:p>
            <w:pPr>
              <w:pStyle w:val="24"/>
              <w:jc w:val="right"/>
            </w:pPr>
            <w:r>
              <w:t>区域内不平等</w:t>
            </w:r>
          </w:p>
        </w:tc>
      </w:tr>
      <w:tr>
        <w:tblPrEx>
          <w:tblCellMar>
            <w:top w:w="0" w:type="dxa"/>
            <w:left w:w="108" w:type="dxa"/>
            <w:bottom w:w="0" w:type="dxa"/>
            <w:right w:w="108" w:type="dxa"/>
          </w:tblCellMar>
        </w:tblPrEx>
        <w:tc>
          <w:p>
            <w:pPr>
              <w:pStyle w:val="24"/>
              <w:jc w:val="right"/>
            </w:pPr>
            <w:r>
              <w:t>2017</w:t>
            </w:r>
          </w:p>
        </w:tc>
        <w:tc>
          <w:p>
            <w:pPr>
              <w:pStyle w:val="24"/>
              <w:jc w:val="right"/>
            </w:pPr>
            <w:r>
              <w:t>0.152</w:t>
            </w:r>
          </w:p>
        </w:tc>
        <w:tc>
          <w:p>
            <w:pPr>
              <w:pStyle w:val="24"/>
              <w:jc w:val="right"/>
            </w:pPr>
            <w:r>
              <w:t>0.088</w:t>
            </w:r>
          </w:p>
        </w:tc>
        <w:tc>
          <w:p>
            <w:pPr>
              <w:pStyle w:val="24"/>
              <w:jc w:val="right"/>
            </w:pPr>
            <w:r>
              <w:t>0.064</w:t>
            </w:r>
          </w:p>
        </w:tc>
      </w:tr>
      <w:tr>
        <w:tblPrEx>
          <w:tblCellMar>
            <w:top w:w="0" w:type="dxa"/>
            <w:left w:w="108" w:type="dxa"/>
            <w:bottom w:w="0" w:type="dxa"/>
            <w:right w:w="108" w:type="dxa"/>
          </w:tblCellMar>
        </w:tblPrEx>
        <w:tc>
          <w:p>
            <w:pPr>
              <w:pStyle w:val="24"/>
              <w:jc w:val="right"/>
            </w:pPr>
            <w:r>
              <w:t>2018</w:t>
            </w:r>
          </w:p>
        </w:tc>
        <w:tc>
          <w:p>
            <w:pPr>
              <w:pStyle w:val="24"/>
              <w:jc w:val="right"/>
            </w:pPr>
            <w:r>
              <w:t>0.158</w:t>
            </w:r>
          </w:p>
        </w:tc>
        <w:tc>
          <w:p>
            <w:pPr>
              <w:pStyle w:val="24"/>
              <w:jc w:val="right"/>
            </w:pPr>
            <w:r>
              <w:t>0.093</w:t>
            </w:r>
          </w:p>
        </w:tc>
        <w:tc>
          <w:p>
            <w:pPr>
              <w:pStyle w:val="24"/>
              <w:jc w:val="right"/>
            </w:pPr>
            <w:r>
              <w:t>0.065</w:t>
            </w:r>
          </w:p>
        </w:tc>
      </w:tr>
      <w:tr>
        <w:tblPrEx>
          <w:tblCellMar>
            <w:top w:w="0" w:type="dxa"/>
            <w:left w:w="108" w:type="dxa"/>
            <w:bottom w:w="0" w:type="dxa"/>
            <w:right w:w="108" w:type="dxa"/>
          </w:tblCellMar>
        </w:tblPrEx>
        <w:tc>
          <w:p>
            <w:pPr>
              <w:pStyle w:val="24"/>
              <w:jc w:val="right"/>
            </w:pPr>
            <w:r>
              <w:t>2019</w:t>
            </w:r>
          </w:p>
        </w:tc>
        <w:tc>
          <w:p>
            <w:pPr>
              <w:pStyle w:val="24"/>
              <w:jc w:val="right"/>
            </w:pPr>
            <w:r>
              <w:t>0.167</w:t>
            </w:r>
          </w:p>
        </w:tc>
        <w:tc>
          <w:p>
            <w:pPr>
              <w:pStyle w:val="24"/>
              <w:jc w:val="right"/>
            </w:pPr>
            <w:r>
              <w:t>0.099</w:t>
            </w:r>
          </w:p>
        </w:tc>
        <w:tc>
          <w:p>
            <w:pPr>
              <w:pStyle w:val="24"/>
              <w:jc w:val="right"/>
            </w:pPr>
            <w:r>
              <w:t>0.068</w:t>
            </w:r>
          </w:p>
        </w:tc>
      </w:tr>
      <w:tr>
        <w:tblPrEx>
          <w:tblCellMar>
            <w:top w:w="0" w:type="dxa"/>
            <w:left w:w="108" w:type="dxa"/>
            <w:bottom w:w="0" w:type="dxa"/>
            <w:right w:w="108" w:type="dxa"/>
          </w:tblCellMar>
        </w:tblPrEx>
        <w:tc>
          <w:p>
            <w:pPr>
              <w:pStyle w:val="24"/>
              <w:jc w:val="right"/>
            </w:pPr>
            <w:r>
              <w:t>2020</w:t>
            </w:r>
          </w:p>
        </w:tc>
        <w:tc>
          <w:p>
            <w:pPr>
              <w:pStyle w:val="24"/>
              <w:jc w:val="right"/>
            </w:pPr>
            <w:r>
              <w:t>0.174</w:t>
            </w:r>
          </w:p>
        </w:tc>
        <w:tc>
          <w:p>
            <w:pPr>
              <w:pStyle w:val="24"/>
              <w:jc w:val="right"/>
            </w:pPr>
            <w:r>
              <w:t>0.105</w:t>
            </w:r>
          </w:p>
        </w:tc>
        <w:tc>
          <w:p>
            <w:pPr>
              <w:pStyle w:val="24"/>
              <w:jc w:val="right"/>
            </w:pPr>
            <w:r>
              <w:t>0.069</w:t>
            </w:r>
          </w:p>
        </w:tc>
      </w:tr>
      <w:tr>
        <w:tblPrEx>
          <w:tblCellMar>
            <w:top w:w="0" w:type="dxa"/>
            <w:left w:w="108" w:type="dxa"/>
            <w:bottom w:w="0" w:type="dxa"/>
            <w:right w:w="108" w:type="dxa"/>
          </w:tblCellMar>
        </w:tblPrEx>
        <w:tc>
          <w:p>
            <w:pPr>
              <w:pStyle w:val="24"/>
              <w:jc w:val="right"/>
            </w:pPr>
            <w:r>
              <w:t>2021</w:t>
            </w:r>
          </w:p>
        </w:tc>
        <w:tc>
          <w:p>
            <w:pPr>
              <w:pStyle w:val="24"/>
              <w:jc w:val="right"/>
            </w:pPr>
            <w:r>
              <w:t>0.170</w:t>
            </w:r>
          </w:p>
        </w:tc>
        <w:tc>
          <w:p>
            <w:pPr>
              <w:pStyle w:val="24"/>
              <w:jc w:val="right"/>
            </w:pPr>
            <w:r>
              <w:t>0.102</w:t>
            </w:r>
          </w:p>
        </w:tc>
        <w:tc>
          <w:p>
            <w:pPr>
              <w:pStyle w:val="24"/>
              <w:jc w:val="right"/>
            </w:pPr>
            <w:r>
              <w:t>0.068</w:t>
            </w:r>
          </w:p>
        </w:tc>
      </w:tr>
      <w:tr>
        <w:tblPrEx>
          <w:tblCellMar>
            <w:top w:w="0" w:type="dxa"/>
            <w:left w:w="108" w:type="dxa"/>
            <w:bottom w:w="0" w:type="dxa"/>
            <w:right w:w="108" w:type="dxa"/>
          </w:tblCellMar>
        </w:tblPrEx>
        <w:tc>
          <w:p>
            <w:pPr>
              <w:pStyle w:val="24"/>
              <w:jc w:val="right"/>
            </w:pPr>
            <w:r>
              <w:t>2022</w:t>
            </w:r>
          </w:p>
        </w:tc>
        <w:tc>
          <w:p>
            <w:pPr>
              <w:pStyle w:val="24"/>
              <w:jc w:val="right"/>
            </w:pPr>
            <w:r>
              <w:t>0.167</w:t>
            </w:r>
          </w:p>
        </w:tc>
        <w:tc>
          <w:p>
            <w:pPr>
              <w:pStyle w:val="24"/>
              <w:jc w:val="right"/>
            </w:pPr>
            <w:r>
              <w:t>0.100</w:t>
            </w:r>
          </w:p>
        </w:tc>
        <w:tc>
          <w:p>
            <w:pPr>
              <w:pStyle w:val="24"/>
              <w:jc w:val="right"/>
            </w:pPr>
            <w:r>
              <w:t>0.067</w:t>
            </w:r>
          </w:p>
        </w:tc>
      </w:tr>
      <w:tr>
        <w:tblPrEx>
          <w:tblCellMar>
            <w:top w:w="0" w:type="dxa"/>
            <w:left w:w="108" w:type="dxa"/>
            <w:bottom w:w="0" w:type="dxa"/>
            <w:right w:w="108" w:type="dxa"/>
          </w:tblCellMar>
        </w:tblPrEx>
        <w:tc>
          <w:p>
            <w:pPr>
              <w:pStyle w:val="24"/>
              <w:jc w:val="right"/>
            </w:pPr>
            <w:r>
              <w:t>2023</w:t>
            </w:r>
          </w:p>
        </w:tc>
        <w:tc>
          <w:p>
            <w:pPr>
              <w:pStyle w:val="24"/>
              <w:jc w:val="right"/>
            </w:pPr>
            <w:r>
              <w:t>0.163</w:t>
            </w:r>
          </w:p>
        </w:tc>
        <w:tc>
          <w:p>
            <w:pPr>
              <w:pStyle w:val="24"/>
              <w:jc w:val="right"/>
            </w:pPr>
            <w:r>
              <w:t>0.097</w:t>
            </w:r>
          </w:p>
        </w:tc>
        <w:tc>
          <w:p>
            <w:pPr>
              <w:pStyle w:val="24"/>
              <w:jc w:val="right"/>
            </w:pPr>
            <w:r>
              <w:t>0.066</w:t>
            </w:r>
          </w:p>
        </w:tc>
      </w:tr>
      <w:tr>
        <w:tblPrEx>
          <w:tblCellMar>
            <w:top w:w="0" w:type="dxa"/>
            <w:left w:w="108" w:type="dxa"/>
            <w:bottom w:w="0" w:type="dxa"/>
            <w:right w:w="108" w:type="dxa"/>
          </w:tblCellMar>
        </w:tblPrEx>
        <w:tc>
          <w:p>
            <w:pPr>
              <w:pStyle w:val="24"/>
              <w:jc w:val="right"/>
            </w:pPr>
            <w:r>
              <w:t>2024</w:t>
            </w:r>
          </w:p>
        </w:tc>
        <w:tc>
          <w:p>
            <w:pPr>
              <w:pStyle w:val="24"/>
              <w:jc w:val="right"/>
            </w:pPr>
            <w:r>
              <w:t>0.159</w:t>
            </w:r>
          </w:p>
        </w:tc>
        <w:tc>
          <w:p>
            <w:pPr>
              <w:pStyle w:val="24"/>
              <w:jc w:val="right"/>
            </w:pPr>
            <w:r>
              <w:t>0.094</w:t>
            </w:r>
          </w:p>
        </w:tc>
        <w:tc>
          <w:p>
            <w:pPr>
              <w:pStyle w:val="24"/>
              <w:jc w:val="right"/>
            </w:pPr>
            <w:r>
              <w:t>0.065</w:t>
            </w:r>
          </w:p>
        </w:tc>
      </w:tr>
      <w:tr>
        <w:tblPrEx>
          <w:tblCellMar>
            <w:top w:w="0" w:type="dxa"/>
            <w:left w:w="108" w:type="dxa"/>
            <w:bottom w:w="0" w:type="dxa"/>
            <w:right w:w="108" w:type="dxa"/>
          </w:tblCellMar>
        </w:tblPrEx>
        <w:tc>
          <w:p>
            <w:pPr>
              <w:pStyle w:val="24"/>
              <w:jc w:val="right"/>
            </w:pPr>
            <w:r>
              <w:t>2025</w:t>
            </w:r>
          </w:p>
        </w:tc>
        <w:tc>
          <w:p>
            <w:pPr>
              <w:pStyle w:val="24"/>
              <w:jc w:val="right"/>
            </w:pPr>
            <w:r>
              <w:t>0.156</w:t>
            </w:r>
          </w:p>
        </w:tc>
        <w:tc>
          <w:p>
            <w:pPr>
              <w:pStyle w:val="24"/>
              <w:jc w:val="right"/>
            </w:pPr>
            <w:r>
              <w:t>0.092</w:t>
            </w:r>
          </w:p>
        </w:tc>
        <w:tc>
          <w:p>
            <w:pPr>
              <w:pStyle w:val="24"/>
              <w:jc w:val="right"/>
            </w:pPr>
            <w:r>
              <w:t>0.064</w:t>
            </w:r>
          </w:p>
        </w:tc>
      </w:tr>
    </w:tbl>
    <w:p>
      <w:pPr>
        <w:pStyle w:val="3"/>
      </w:pPr>
      <w:r>
        <w:t>数据显示，关税战初期(2018-2020)，区域间不平等程度明显上升，泰尔指数从0.152上升至0.174。其中，区域间不平等的贡献率从57.9%上升至60.3%，表明关税战加剧了沿海与内陆的发展差距。值得注意的是，随着产业链调整和政策干预，2021年后不平等程度开始缓慢下降，这表明区域经济系统具有一定的韧性和调整能力。</w:t>
      </w:r>
    </w:p>
    <w:p>
      <w:pPr>
        <w:pStyle w:val="3"/>
      </w:pPr>
      <w:r>
        <w:t>综合社会影响分析表明，关税战通过失业率上升影响社会稳定性，并通过空间溢出效应加剧区域经济差距。这些发现对制定区域协调发展政策和维护社会稳定具有重要启示。</w:t>
      </w:r>
    </w:p>
    <w:bookmarkEnd w:id="24"/>
    <w:bookmarkEnd w:id="26"/>
    <w:p>
      <w:pPr>
        <w:pStyle w:val="4"/>
      </w:pPr>
      <w:bookmarkStart w:id="27" w:name="心理与行为影响"/>
      <w:r>
        <w:t>心理与行为影响</w:t>
      </w:r>
    </w:p>
    <w:p>
      <w:pPr>
        <w:pStyle w:val="5"/>
      </w:pPr>
      <w:bookmarkStart w:id="28" w:name="消费者信心指数的断点回归"/>
      <w:r>
        <w:t>消费者信心指数的断点回归</w:t>
      </w:r>
    </w:p>
    <w:p>
      <w:pPr>
        <w:pStyle w:val="23"/>
      </w:pPr>
      <w:r>
        <w:t>为评估关税战对消费者心理的因果影响，我们对关键时间点前后的消费者信心指数进行断点回归分析。我们选取了四个关键事件作为潜在断点：2018年3月22日（特朗普签署备忘录），2018年7月6日（首轮关税实施），2019年5月10日（关税税率提高至25%）和2020年1月15日（第一阶段协议签署）。</w:t>
      </w:r>
    </w:p>
    <w:p>
      <w:pPr>
        <w:pStyle w:val="44"/>
      </w:pPr>
      <w:r>
        <w:t>关税事件对消费者信心指数的断点回归结果</w:t>
      </w:r>
    </w:p>
    <w:tbl>
      <w:tblPr>
        <w:tblStyle w:val="41"/>
        <w:tblW w:w="0" w:type="auto"/>
        <w:tblCaption w:val="关税事件对消费者信心指数的断点回归结果"/>
        <w:tblInd w:w="0" w:type="dxa"/>
        <w:tblLayout w:type="autofit"/>
        <w:tblCellMar>
          <w:top w:w="0" w:type="dxa"/>
          <w:left w:w="108" w:type="dxa"/>
          <w:bottom w:w="0" w:type="dxa"/>
          <w:right w:w="108" w:type="dxa"/>
        </w:tblCellMar>
      </w:tblPr>
      <w:tblGrid>
        <w:gridCol w:w="3720"/>
        <w:gridCol w:w="1590"/>
        <w:gridCol w:w="978"/>
        <w:gridCol w:w="1590"/>
        <w:gridCol w:w="978"/>
      </w:tblGrid>
      <w:tr>
        <w:tblPrEx>
          <w:tblCellMar>
            <w:top w:w="0" w:type="dxa"/>
            <w:left w:w="108" w:type="dxa"/>
            <w:bottom w:w="0" w:type="dxa"/>
            <w:right w:w="108" w:type="dxa"/>
          </w:tblCellMar>
        </w:tblPrEx>
        <w:trPr>
          <w:tblHeader/>
        </w:trPr>
        <w:tc>
          <w:p>
            <w:pPr>
              <w:pStyle w:val="24"/>
              <w:jc w:val="left"/>
            </w:pPr>
            <w:r>
              <w:t>事件</w:t>
            </w:r>
          </w:p>
        </w:tc>
        <w:tc>
          <w:p>
            <w:pPr>
              <w:pStyle w:val="24"/>
              <w:jc w:val="right"/>
            </w:pPr>
            <w:r>
              <w:t>美国信心跳变</w:t>
            </w:r>
          </w:p>
        </w:tc>
        <w:tc>
          <w:p>
            <w:pPr>
              <w:pStyle w:val="24"/>
              <w:jc w:val="right"/>
            </w:pPr>
            <w:r>
              <w:t>p值</w:t>
            </w:r>
          </w:p>
        </w:tc>
        <w:tc>
          <w:p>
            <w:pPr>
              <w:pStyle w:val="24"/>
              <w:jc w:val="right"/>
            </w:pPr>
            <w:r>
              <w:t>中国信心跳变</w:t>
            </w:r>
          </w:p>
        </w:tc>
        <w:tc>
          <w:p>
            <w:pPr>
              <w:pStyle w:val="24"/>
              <w:jc w:val="right"/>
            </w:pPr>
            <w:r>
              <w:t>p值</w:t>
            </w:r>
          </w:p>
        </w:tc>
      </w:tr>
      <w:tr>
        <w:tblPrEx>
          <w:tblCellMar>
            <w:top w:w="0" w:type="dxa"/>
            <w:left w:w="108" w:type="dxa"/>
            <w:bottom w:w="0" w:type="dxa"/>
            <w:right w:w="108" w:type="dxa"/>
          </w:tblCellMar>
        </w:tblPrEx>
        <w:tc>
          <w:p>
            <w:pPr>
              <w:pStyle w:val="24"/>
              <w:jc w:val="left"/>
            </w:pPr>
            <w:r>
              <w:t>2018年3月22日备忘录</w:t>
            </w:r>
          </w:p>
        </w:tc>
        <w:tc>
          <w:p>
            <w:pPr>
              <w:pStyle w:val="24"/>
              <w:jc w:val="right"/>
            </w:pPr>
            <w:r>
              <w:t>-3.25</w:t>
            </w:r>
          </w:p>
        </w:tc>
        <w:tc>
          <w:p>
            <w:pPr>
              <w:pStyle w:val="24"/>
              <w:jc w:val="right"/>
            </w:pPr>
            <w:r>
              <w:t>0.008</w:t>
            </w:r>
          </w:p>
        </w:tc>
        <w:tc>
          <w:p>
            <w:pPr>
              <w:pStyle w:val="24"/>
              <w:jc w:val="right"/>
            </w:pPr>
            <w:r>
              <w:t>-1.76</w:t>
            </w:r>
          </w:p>
        </w:tc>
        <w:tc>
          <w:p>
            <w:pPr>
              <w:pStyle w:val="24"/>
              <w:jc w:val="right"/>
            </w:pPr>
            <w:r>
              <w:t>0.053</w:t>
            </w:r>
          </w:p>
        </w:tc>
      </w:tr>
      <w:tr>
        <w:tblPrEx>
          <w:tblCellMar>
            <w:top w:w="0" w:type="dxa"/>
            <w:left w:w="108" w:type="dxa"/>
            <w:bottom w:w="0" w:type="dxa"/>
            <w:right w:w="108" w:type="dxa"/>
          </w:tblCellMar>
        </w:tblPrEx>
        <w:tc>
          <w:p>
            <w:pPr>
              <w:pStyle w:val="24"/>
              <w:jc w:val="left"/>
            </w:pPr>
            <w:r>
              <w:t>2018年7月6日首轮关税</w:t>
            </w:r>
          </w:p>
        </w:tc>
        <w:tc>
          <w:p>
            <w:pPr>
              <w:pStyle w:val="24"/>
              <w:jc w:val="right"/>
            </w:pPr>
            <w:r>
              <w:t>-4.62</w:t>
            </w:r>
          </w:p>
        </w:tc>
        <w:tc>
          <w:p>
            <w:pPr>
              <w:pStyle w:val="24"/>
              <w:jc w:val="right"/>
            </w:pPr>
            <w:r>
              <w:t>0.001</w:t>
            </w:r>
          </w:p>
        </w:tc>
        <w:tc>
          <w:p>
            <w:pPr>
              <w:pStyle w:val="24"/>
              <w:jc w:val="right"/>
            </w:pPr>
            <w:r>
              <w:t>-2.38</w:t>
            </w:r>
          </w:p>
        </w:tc>
        <w:tc>
          <w:p>
            <w:pPr>
              <w:pStyle w:val="24"/>
              <w:jc w:val="right"/>
            </w:pPr>
            <w:r>
              <w:t>0.027</w:t>
            </w:r>
          </w:p>
        </w:tc>
      </w:tr>
      <w:tr>
        <w:tblPrEx>
          <w:tblCellMar>
            <w:top w:w="0" w:type="dxa"/>
            <w:left w:w="108" w:type="dxa"/>
            <w:bottom w:w="0" w:type="dxa"/>
            <w:right w:w="108" w:type="dxa"/>
          </w:tblCellMar>
        </w:tblPrEx>
        <w:tc>
          <w:p>
            <w:pPr>
              <w:pStyle w:val="24"/>
              <w:jc w:val="left"/>
            </w:pPr>
            <w:r>
              <w:t>2019年5月10日税率提高</w:t>
            </w:r>
          </w:p>
        </w:tc>
        <w:tc>
          <w:p>
            <w:pPr>
              <w:pStyle w:val="24"/>
              <w:jc w:val="right"/>
            </w:pPr>
            <w:r>
              <w:t>-2.83</w:t>
            </w:r>
          </w:p>
        </w:tc>
        <w:tc>
          <w:p>
            <w:pPr>
              <w:pStyle w:val="24"/>
              <w:jc w:val="right"/>
            </w:pPr>
            <w:r>
              <w:t>0.015</w:t>
            </w:r>
          </w:p>
        </w:tc>
        <w:tc>
          <w:p>
            <w:pPr>
              <w:pStyle w:val="24"/>
              <w:jc w:val="right"/>
            </w:pPr>
            <w:r>
              <w:t>-1.54</w:t>
            </w:r>
          </w:p>
        </w:tc>
        <w:tc>
          <w:p>
            <w:pPr>
              <w:pStyle w:val="24"/>
              <w:jc w:val="right"/>
            </w:pPr>
            <w:r>
              <w:t>0.084</w:t>
            </w:r>
          </w:p>
        </w:tc>
      </w:tr>
      <w:tr>
        <w:tblPrEx>
          <w:tblCellMar>
            <w:top w:w="0" w:type="dxa"/>
            <w:left w:w="108" w:type="dxa"/>
            <w:bottom w:w="0" w:type="dxa"/>
            <w:right w:w="108" w:type="dxa"/>
          </w:tblCellMar>
        </w:tblPrEx>
        <w:tc>
          <w:p>
            <w:pPr>
              <w:pStyle w:val="24"/>
              <w:jc w:val="left"/>
            </w:pPr>
            <w:r>
              <w:t>2020年1月15日第一阶段协议</w:t>
            </w:r>
          </w:p>
        </w:tc>
        <w:tc>
          <w:p>
            <w:pPr>
              <w:pStyle w:val="24"/>
              <w:jc w:val="right"/>
            </w:pPr>
            <w:r>
              <w:t>2.14</w:t>
            </w:r>
          </w:p>
        </w:tc>
        <w:tc>
          <w:p>
            <w:pPr>
              <w:pStyle w:val="24"/>
              <w:jc w:val="right"/>
            </w:pPr>
            <w:r>
              <w:t>0.042</w:t>
            </w:r>
          </w:p>
        </w:tc>
        <w:tc>
          <w:p>
            <w:pPr>
              <w:pStyle w:val="24"/>
              <w:jc w:val="right"/>
            </w:pPr>
            <w:r>
              <w:t>1.32</w:t>
            </w:r>
          </w:p>
        </w:tc>
        <w:tc>
          <w:p>
            <w:pPr>
              <w:pStyle w:val="24"/>
              <w:jc w:val="right"/>
            </w:pPr>
            <w:r>
              <w:t>0.176</w:t>
            </w:r>
          </w:p>
        </w:tc>
      </w:tr>
    </w:tbl>
    <w:p>
      <w:pPr>
        <w:pStyle w:val="3"/>
      </w:pPr>
      <w:r>
        <w:t>断点回归结果显示，首轮关税实施后美国消费者信心指数出现显著下跌（-4.62点，p&lt;0.001），中国消费者信心也出现下跌但幅度较小（-2.38点，p=0.027）。第一阶段协议签署后，美国消费者信心出现回升（2.14点，p=0.042），而中国消费者信心的回升虽然为正但不具统计显著性（1.32点，p=0.176）。</w:t>
      </w:r>
    </w:p>
    <w:p>
      <w:pPr>
        <w:pStyle w:val="3"/>
      </w:pPr>
      <w:r>
        <w:t>进一步分析关税事件后的调整路径，我们发现：</w:t>
      </w:r>
    </w:p>
    <w:p>
      <w:pPr>
        <w:pStyle w:val="24"/>
        <w:numPr>
          <w:ilvl w:val="0"/>
          <w:numId w:val="9"/>
        </w:numPr>
      </w:pPr>
      <w:r>
        <w:rPr>
          <w:b/>
          <w:bCs/>
        </w:rPr>
        <w:t>即时冲击</w:t>
      </w:r>
      <w:r>
        <w:t>：关税公告后首周，美国消费者信心平均下降3.5点，中国下降1.8点；</w:t>
      </w:r>
    </w:p>
    <w:p>
      <w:pPr>
        <w:pStyle w:val="24"/>
        <w:numPr>
          <w:ilvl w:val="0"/>
          <w:numId w:val="9"/>
        </w:numPr>
      </w:pPr>
      <w:r>
        <w:rPr>
          <w:b/>
          <w:bCs/>
        </w:rPr>
        <w:t>适应过程</w:t>
      </w:r>
      <w:r>
        <w:t>：美国消费者信心平均需要12周才能恢复到冲击前水平的90%，中国消费者信心的适应期为8周；</w:t>
      </w:r>
    </w:p>
    <w:p>
      <w:pPr>
        <w:pStyle w:val="24"/>
        <w:numPr>
          <w:ilvl w:val="0"/>
          <w:numId w:val="9"/>
        </w:numPr>
      </w:pPr>
      <w:r>
        <w:rPr>
          <w:b/>
          <w:bCs/>
        </w:rPr>
        <w:t>异质性反应</w:t>
      </w:r>
      <w:r>
        <w:t>：高收入群体（收入位于前25%）的信心下降幅度（-2.1点）显著小于低收入群体（-5.3点），表明关税冲击对不同收入群体的影响存在差异。</w:t>
      </w:r>
    </w:p>
    <w:p>
      <w:pPr>
        <w:pStyle w:val="23"/>
      </w:pPr>
      <w:r>
        <w:t>消费者信心的波动直接影响消费行为。我们构建了一个消费者信心与零售销售的VAR模型：</w:t>
      </w:r>
    </w:p>
    <w:p>
      <w:pPr>
        <w:pStyle w:val="3"/>
      </w:pPr>
      <m:oMathPara>
        <m:oMathParaPr>
          <m:jc m:val="center"/>
        </m:oMathParaPr>
        <m:oMath>
          <m:d>
            <m:dPr>
              <m:sepChr m:val=""/>
            </m:dPr>
            <m:e>
              <m:m>
                <m:mPr>
                  <m:mcs>
                    <m:mc>
                      <m:mcPr>
                        <m:count m:val="1"/>
                        <m:mcJc m:val="center"/>
                      </m:mcPr>
                    </m:mc>
                  </m:mcs>
                  <m:plcHide m:val="1"/>
                </m:mPr>
                <m:mr>
                  <m:e>
                    <m:r>
                      <m:rPr/>
                      <m:t>CC</m:t>
                    </m:r>
                    <m:sSub>
                      <m:sSubPr/>
                      <m:e>
                        <m:r>
                          <m:rPr/>
                          <m:t>I</m:t>
                        </m:r>
                      </m:e>
                      <m:sub>
                        <m:r>
                          <m:rPr/>
                          <m:t>t</m:t>
                        </m:r>
                      </m:sub>
                    </m:sSub>
                  </m:e>
                </m:mr>
                <m:mr>
                  <m:e>
                    <m:r>
                      <m:rPr/>
                      <m:t>Sale</m:t>
                    </m:r>
                    <m:sSub>
                      <m:sSubPr/>
                      <m:e>
                        <m:r>
                          <m:rPr/>
                          <m:t>s</m:t>
                        </m:r>
                      </m:e>
                      <m:sub>
                        <m:r>
                          <m:rPr/>
                          <m:t>t</m:t>
                        </m:r>
                      </m:sub>
                    </m:sSub>
                  </m:e>
                </m:mr>
              </m:m>
            </m:e>
          </m:d>
          <m:r>
            <m:rPr>
              <m:sty m:val="p"/>
            </m:rPr>
            <m:t>=</m:t>
          </m:r>
          <m:d>
            <m:dPr>
              <m:sepChr m:val=""/>
            </m:dPr>
            <m:e>
              <m:m>
                <m:mPr>
                  <m:mcs>
                    <m:mc>
                      <m:mcPr>
                        <m:count m:val="1"/>
                        <m:mcJc m:val="center"/>
                      </m:mcPr>
                    </m:mc>
                  </m:mcs>
                  <m:plcHide m:val="1"/>
                </m:mPr>
                <m:mr>
                  <m:e>
                    <m:sSub>
                      <m:sSubPr/>
                      <m:e>
                        <m:r>
                          <m:rPr/>
                          <m:t>α</m:t>
                        </m:r>
                      </m:e>
                      <m:sub>
                        <m:r>
                          <m:rPr/>
                          <m:t>1</m:t>
                        </m:r>
                      </m:sub>
                    </m:sSub>
                  </m:e>
                </m:mr>
                <m:mr>
                  <m:e>
                    <m:sSub>
                      <m:sSubPr/>
                      <m:e>
                        <m:r>
                          <m:rPr/>
                          <m:t>α</m:t>
                        </m:r>
                      </m:e>
                      <m:sub>
                        <m:r>
                          <m:rPr/>
                          <m:t>2</m:t>
                        </m:r>
                      </m:sub>
                    </m:sSub>
                  </m:e>
                </m:mr>
              </m:m>
            </m:e>
          </m:d>
          <m:r>
            <m:rPr>
              <m:sty m:val="p"/>
            </m:rPr>
            <m:t>+</m:t>
          </m:r>
          <m:d>
            <m:dPr>
              <m:sepChr m:val=""/>
            </m:dPr>
            <m:e>
              <m:m>
                <m:mPr>
                  <m:mcs>
                    <m:mc>
                      <m:mcPr>
                        <m:count m:val="2"/>
                        <m:mcJc m:val="center"/>
                      </m:mcPr>
                    </m:mc>
                  </m:mcs>
                  <m:plcHide m:val="1"/>
                </m:mPr>
                <m:mr>
                  <m:e>
                    <m:sSub>
                      <m:sSubPr/>
                      <m:e>
                        <m:r>
                          <m:rPr/>
                          <m:t>β</m:t>
                        </m:r>
                      </m:e>
                      <m:sub>
                        <m:r>
                          <m:rPr/>
                          <m:t>11</m:t>
                        </m:r>
                      </m:sub>
                    </m:sSub>
                  </m:e>
                  <m:e>
                    <m:sSub>
                      <m:sSubPr/>
                      <m:e>
                        <m:r>
                          <m:rPr/>
                          <m:t>β</m:t>
                        </m:r>
                      </m:e>
                      <m:sub>
                        <m:r>
                          <m:rPr/>
                          <m:t>12</m:t>
                        </m:r>
                      </m:sub>
                    </m:sSub>
                  </m:e>
                </m:mr>
                <m:mr>
                  <m:e>
                    <m:sSub>
                      <m:sSubPr/>
                      <m:e>
                        <m:r>
                          <m:rPr/>
                          <m:t>β</m:t>
                        </m:r>
                      </m:e>
                      <m:sub>
                        <m:r>
                          <m:rPr/>
                          <m:t>21</m:t>
                        </m:r>
                      </m:sub>
                    </m:sSub>
                  </m:e>
                  <m:e>
                    <m:sSub>
                      <m:sSubPr/>
                      <m:e>
                        <m:r>
                          <m:rPr/>
                          <m:t>β</m:t>
                        </m:r>
                      </m:e>
                      <m:sub>
                        <m:r>
                          <m:rPr/>
                          <m:t>22</m:t>
                        </m:r>
                      </m:sub>
                    </m:sSub>
                  </m:e>
                </m:mr>
              </m:m>
            </m:e>
          </m:d>
          <m:d>
            <m:dPr>
              <m:sepChr m:val=""/>
            </m:dPr>
            <m:e>
              <m:m>
                <m:mPr>
                  <m:mcs>
                    <m:mc>
                      <m:mcPr>
                        <m:count m:val="1"/>
                        <m:mcJc m:val="center"/>
                      </m:mcPr>
                    </m:mc>
                  </m:mcs>
                  <m:plcHide m:val="1"/>
                </m:mPr>
                <m:mr>
                  <m:e>
                    <m:r>
                      <m:rPr/>
                      <m:t>CC</m:t>
                    </m:r>
                    <m:sSub>
                      <m:sSubPr/>
                      <m:e>
                        <m:r>
                          <m:rPr/>
                          <m:t>I</m:t>
                        </m:r>
                      </m:e>
                      <m:sub>
                        <m:r>
                          <m:rPr/>
                          <m:t>t</m:t>
                        </m:r>
                        <m:r>
                          <m:rPr>
                            <m:sty m:val="p"/>
                          </m:rPr>
                          <m:t>−</m:t>
                        </m:r>
                        <m:r>
                          <m:rPr/>
                          <m:t>1</m:t>
                        </m:r>
                      </m:sub>
                    </m:sSub>
                  </m:e>
                </m:mr>
                <m:mr>
                  <m:e>
                    <m:r>
                      <m:rPr/>
                      <m:t>Sale</m:t>
                    </m:r>
                    <m:sSub>
                      <m:sSubPr/>
                      <m:e>
                        <m:r>
                          <m:rPr/>
                          <m:t>s</m:t>
                        </m:r>
                      </m:e>
                      <m:sub>
                        <m:r>
                          <m:rPr/>
                          <m:t>t</m:t>
                        </m:r>
                        <m:r>
                          <m:rPr>
                            <m:sty m:val="p"/>
                          </m:rPr>
                          <m:t>−</m:t>
                        </m:r>
                        <m:r>
                          <m:rPr/>
                          <m:t>1</m:t>
                        </m:r>
                      </m:sub>
                    </m:sSub>
                  </m:e>
                </m:mr>
              </m:m>
            </m:e>
          </m:d>
          <m:r>
            <m:rPr>
              <m:sty m:val="p"/>
            </m:rPr>
            <m:t>+</m:t>
          </m:r>
          <m:d>
            <m:dPr>
              <m:sepChr m:val=""/>
            </m:dPr>
            <m:e>
              <m:m>
                <m:mPr>
                  <m:mcs>
                    <m:mc>
                      <m:mcPr>
                        <m:count m:val="1"/>
                        <m:mcJc m:val="center"/>
                      </m:mcPr>
                    </m:mc>
                  </m:mcs>
                  <m:plcHide m:val="1"/>
                </m:mPr>
                <m:mr>
                  <m:e>
                    <m:sSub>
                      <m:sSubPr/>
                      <m:e>
                        <m:r>
                          <m:rPr/>
                          <m:t>ε</m:t>
                        </m:r>
                      </m:e>
                      <m:sub>
                        <m:r>
                          <m:rPr/>
                          <m:t>1t</m:t>
                        </m:r>
                      </m:sub>
                    </m:sSub>
                  </m:e>
                </m:mr>
                <m:mr>
                  <m:e>
                    <m:sSub>
                      <m:sSubPr/>
                      <m:e>
                        <m:r>
                          <m:rPr/>
                          <m:t>ε</m:t>
                        </m:r>
                      </m:e>
                      <m:sub>
                        <m:r>
                          <m:rPr/>
                          <m:t>2t</m:t>
                        </m:r>
                      </m:sub>
                    </m:sSub>
                  </m:e>
                </m:mr>
              </m:m>
            </m:e>
          </m:d>
        </m:oMath>
      </m:oMathPara>
    </w:p>
    <w:p>
      <w:pPr>
        <w:pStyle w:val="23"/>
      </w:pPr>
      <w:r>
        <w:t>脉冲响应函数分析表明，消费者信心下降1个标准差，零售销售在随后2个月内下降0.38个标准差(p&lt;0.05)。这表明关税战通过影响消费者信心，间接抑制了消费支出。</w:t>
      </w:r>
    </w:p>
    <w:bookmarkEnd w:id="28"/>
    <w:p>
      <w:pPr>
        <w:pStyle w:val="5"/>
      </w:pPr>
      <w:bookmarkStart w:id="29" w:name="社交媒体情感与市场波动"/>
      <w:r>
        <w:t>社交媒体情感与市场波动</w:t>
      </w:r>
    </w:p>
    <w:p>
      <w:pPr>
        <w:pStyle w:val="23"/>
      </w:pPr>
      <w:r>
        <w:t>社交媒体情感数据为我们提供了实时观察公众情绪的窗口。我们分析了2017-2025年间437周的社交媒体情感数据，重点关注关税相关话题的情感变化：</w:t>
      </w:r>
    </w:p>
    <w:p>
      <w:pPr>
        <w:pStyle w:val="3"/>
      </w:pPr>
      <w:r>
        <w:t>社交媒体情感与市场波动之间存在显著关联。我们分析了负面情绪比例与股市波动性之间的关系：</w:t>
      </w:r>
    </w:p>
    <w:p>
      <w:pPr>
        <w:pStyle w:val="44"/>
      </w:pPr>
      <w:r>
        <w:t>社交媒体情感与市场波动关系 (滞后天数)</w:t>
      </w:r>
    </w:p>
    <w:tbl>
      <w:tblPr>
        <w:tblStyle w:val="41"/>
        <w:tblW w:w="0" w:type="auto"/>
        <w:tblCaption w:val="社交媒体情感与市场波动关系 (滞后天数)"/>
        <w:tblInd w:w="0" w:type="dxa"/>
        <w:tblLayout w:type="autofit"/>
        <w:tblCellMar>
          <w:top w:w="0" w:type="dxa"/>
          <w:left w:w="108" w:type="dxa"/>
          <w:bottom w:w="0" w:type="dxa"/>
          <w:right w:w="108" w:type="dxa"/>
        </w:tblCellMar>
      </w:tblPr>
      <w:tblGrid>
        <w:gridCol w:w="1176"/>
        <w:gridCol w:w="1176"/>
        <w:gridCol w:w="1765"/>
        <w:gridCol w:w="1176"/>
      </w:tblGrid>
      <w:tr>
        <w:tblPrEx>
          <w:tblCellMar>
            <w:top w:w="0" w:type="dxa"/>
            <w:left w:w="108" w:type="dxa"/>
            <w:bottom w:w="0" w:type="dxa"/>
            <w:right w:w="108" w:type="dxa"/>
          </w:tblCellMar>
        </w:tblPrEx>
        <w:trPr>
          <w:tblHeader/>
        </w:trPr>
        <w:tc>
          <w:p>
            <w:pPr>
              <w:pStyle w:val="24"/>
              <w:jc w:val="right"/>
            </w:pPr>
            <w:r>
              <w:t>滞后天数</w:t>
            </w:r>
          </w:p>
        </w:tc>
        <w:tc>
          <w:p>
            <w:pPr>
              <w:pStyle w:val="24"/>
              <w:jc w:val="right"/>
            </w:pPr>
            <w:r>
              <w:t>相关系数</w:t>
            </w:r>
          </w:p>
        </w:tc>
        <w:tc>
          <w:p>
            <w:pPr>
              <w:pStyle w:val="24"/>
              <w:jc w:val="left"/>
            </w:pPr>
            <w:r>
              <w:t>Granger F值</w:t>
            </w:r>
          </w:p>
        </w:tc>
        <w:tc>
          <w:p>
            <w:pPr>
              <w:pStyle w:val="24"/>
              <w:jc w:val="left"/>
            </w:pPr>
            <w:r>
              <w:t>预测增益</w:t>
            </w:r>
          </w:p>
        </w:tc>
      </w:tr>
      <w:tr>
        <w:tblPrEx>
          <w:tblCellMar>
            <w:top w:w="0" w:type="dxa"/>
            <w:left w:w="108" w:type="dxa"/>
            <w:bottom w:w="0" w:type="dxa"/>
            <w:right w:w="108" w:type="dxa"/>
          </w:tblCellMar>
        </w:tblPrEx>
        <w:tc>
          <w:p>
            <w:pPr>
              <w:pStyle w:val="24"/>
              <w:jc w:val="right"/>
            </w:pPr>
            <w:r>
              <w:t>0</w:t>
            </w:r>
          </w:p>
        </w:tc>
        <w:tc>
          <w:p>
            <w:pPr>
              <w:pStyle w:val="24"/>
              <w:jc w:val="right"/>
            </w:pPr>
            <w:r>
              <w:t>0.32</w:t>
            </w:r>
          </w:p>
        </w:tc>
        <w:tc>
          <w:p>
            <w:pPr>
              <w:pStyle w:val="24"/>
              <w:jc w:val="left"/>
            </w:pPr>
            <w:r>
              <w:t>NA</w:t>
            </w:r>
          </w:p>
        </w:tc>
        <w:tc>
          <w:p>
            <w:pPr>
              <w:pStyle w:val="24"/>
              <w:jc w:val="left"/>
            </w:pPr>
            <w:r>
              <w:t>NA</w:t>
            </w:r>
          </w:p>
        </w:tc>
      </w:tr>
      <w:tr>
        <w:tblPrEx>
          <w:tblCellMar>
            <w:top w:w="0" w:type="dxa"/>
            <w:left w:w="108" w:type="dxa"/>
            <w:bottom w:w="0" w:type="dxa"/>
            <w:right w:w="108" w:type="dxa"/>
          </w:tblCellMar>
        </w:tblPrEx>
        <w:tc>
          <w:p>
            <w:pPr>
              <w:pStyle w:val="24"/>
              <w:jc w:val="right"/>
            </w:pPr>
            <w:r>
              <w:t>1</w:t>
            </w:r>
          </w:p>
        </w:tc>
        <w:tc>
          <w:p>
            <w:pPr>
              <w:pStyle w:val="24"/>
              <w:jc w:val="right"/>
            </w:pPr>
            <w:r>
              <w:t>0.56</w:t>
            </w:r>
          </w:p>
        </w:tc>
        <w:tc>
          <w:p>
            <w:pPr>
              <w:pStyle w:val="24"/>
              <w:jc w:val="left"/>
            </w:pPr>
            <w:r>
              <w:t>5.47*</w:t>
            </w:r>
          </w:p>
        </w:tc>
        <w:tc>
          <w:p>
            <w:pPr>
              <w:pStyle w:val="24"/>
              <w:jc w:val="left"/>
            </w:pPr>
            <w:r>
              <w:t>18.4%</w:t>
            </w:r>
          </w:p>
        </w:tc>
      </w:tr>
      <w:tr>
        <w:tblPrEx>
          <w:tblCellMar>
            <w:top w:w="0" w:type="dxa"/>
            <w:left w:w="108" w:type="dxa"/>
            <w:bottom w:w="0" w:type="dxa"/>
            <w:right w:w="108" w:type="dxa"/>
          </w:tblCellMar>
        </w:tblPrEx>
        <w:tc>
          <w:p>
            <w:pPr>
              <w:pStyle w:val="24"/>
              <w:jc w:val="right"/>
            </w:pPr>
            <w:r>
              <w:t>2</w:t>
            </w:r>
          </w:p>
        </w:tc>
        <w:tc>
          <w:p>
            <w:pPr>
              <w:pStyle w:val="24"/>
              <w:jc w:val="right"/>
            </w:pPr>
            <w:r>
              <w:t>0.68</w:t>
            </w:r>
          </w:p>
        </w:tc>
        <w:tc>
          <w:p>
            <w:pPr>
              <w:pStyle w:val="24"/>
              <w:jc w:val="left"/>
            </w:pPr>
            <w:r>
              <w:t>8.74**</w:t>
            </w:r>
          </w:p>
        </w:tc>
        <w:tc>
          <w:p>
            <w:pPr>
              <w:pStyle w:val="24"/>
              <w:jc w:val="left"/>
            </w:pPr>
            <w:r>
              <w:t>27.3%</w:t>
            </w:r>
          </w:p>
        </w:tc>
      </w:tr>
      <w:tr>
        <w:tblPrEx>
          <w:tblCellMar>
            <w:top w:w="0" w:type="dxa"/>
            <w:left w:w="108" w:type="dxa"/>
            <w:bottom w:w="0" w:type="dxa"/>
            <w:right w:w="108" w:type="dxa"/>
          </w:tblCellMar>
        </w:tblPrEx>
        <w:tc>
          <w:p>
            <w:pPr>
              <w:pStyle w:val="24"/>
              <w:jc w:val="right"/>
            </w:pPr>
            <w:r>
              <w:t>3</w:t>
            </w:r>
          </w:p>
        </w:tc>
        <w:tc>
          <w:p>
            <w:pPr>
              <w:pStyle w:val="24"/>
              <w:jc w:val="right"/>
            </w:pPr>
            <w:r>
              <w:t>0.61</w:t>
            </w:r>
          </w:p>
        </w:tc>
        <w:tc>
          <w:p>
            <w:pPr>
              <w:pStyle w:val="24"/>
              <w:jc w:val="left"/>
            </w:pPr>
            <w:r>
              <w:t>7.92**</w:t>
            </w:r>
          </w:p>
        </w:tc>
        <w:tc>
          <w:p>
            <w:pPr>
              <w:pStyle w:val="24"/>
              <w:jc w:val="left"/>
            </w:pPr>
            <w:r>
              <w:t>23.9%</w:t>
            </w:r>
          </w:p>
        </w:tc>
      </w:tr>
      <w:tr>
        <w:tblPrEx>
          <w:tblCellMar>
            <w:top w:w="0" w:type="dxa"/>
            <w:left w:w="108" w:type="dxa"/>
            <w:bottom w:w="0" w:type="dxa"/>
            <w:right w:w="108" w:type="dxa"/>
          </w:tblCellMar>
        </w:tblPrEx>
        <w:tc>
          <w:p>
            <w:pPr>
              <w:pStyle w:val="24"/>
              <w:jc w:val="right"/>
            </w:pPr>
            <w:r>
              <w:t>5</w:t>
            </w:r>
          </w:p>
        </w:tc>
        <w:tc>
          <w:p>
            <w:pPr>
              <w:pStyle w:val="24"/>
              <w:jc w:val="right"/>
            </w:pPr>
            <w:r>
              <w:t>0.43</w:t>
            </w:r>
          </w:p>
        </w:tc>
        <w:tc>
          <w:p>
            <w:pPr>
              <w:pStyle w:val="24"/>
              <w:jc w:val="left"/>
            </w:pPr>
            <w:r>
              <w:t>4.35*</w:t>
            </w:r>
          </w:p>
        </w:tc>
        <w:tc>
          <w:p>
            <w:pPr>
              <w:pStyle w:val="24"/>
              <w:jc w:val="left"/>
            </w:pPr>
            <w:r>
              <w:t>14.7%</w:t>
            </w:r>
          </w:p>
        </w:tc>
      </w:tr>
      <w:tr>
        <w:tblPrEx>
          <w:tblCellMar>
            <w:top w:w="0" w:type="dxa"/>
            <w:left w:w="108" w:type="dxa"/>
            <w:bottom w:w="0" w:type="dxa"/>
            <w:right w:w="108" w:type="dxa"/>
          </w:tblCellMar>
        </w:tblPrEx>
        <w:tc>
          <w:p>
            <w:pPr>
              <w:pStyle w:val="24"/>
              <w:jc w:val="right"/>
            </w:pPr>
            <w:r>
              <w:t>7</w:t>
            </w:r>
          </w:p>
        </w:tc>
        <w:tc>
          <w:p>
            <w:pPr>
              <w:pStyle w:val="24"/>
              <w:jc w:val="right"/>
            </w:pPr>
            <w:r>
              <w:t>0.28</w:t>
            </w:r>
          </w:p>
        </w:tc>
        <w:tc>
          <w:p>
            <w:pPr>
              <w:pStyle w:val="24"/>
              <w:jc w:val="left"/>
            </w:pPr>
            <w:r>
              <w:t>2.16</w:t>
            </w:r>
          </w:p>
        </w:tc>
        <w:tc>
          <w:p>
            <w:pPr>
              <w:pStyle w:val="24"/>
              <w:jc w:val="left"/>
            </w:pPr>
            <w:r>
              <w:t>8.3%</w:t>
            </w:r>
          </w:p>
        </w:tc>
      </w:tr>
      <w:tr>
        <w:tblPrEx>
          <w:tblCellMar>
            <w:top w:w="0" w:type="dxa"/>
            <w:left w:w="108" w:type="dxa"/>
            <w:bottom w:w="0" w:type="dxa"/>
            <w:right w:w="108" w:type="dxa"/>
          </w:tblCellMar>
        </w:tblPrEx>
        <w:tc>
          <w:p>
            <w:pPr>
              <w:pStyle w:val="24"/>
              <w:jc w:val="right"/>
            </w:pPr>
            <w:r>
              <w:t>10</w:t>
            </w:r>
          </w:p>
        </w:tc>
        <w:tc>
          <w:p>
            <w:pPr>
              <w:pStyle w:val="24"/>
              <w:jc w:val="right"/>
            </w:pPr>
            <w:r>
              <w:t>0.15</w:t>
            </w:r>
          </w:p>
        </w:tc>
        <w:tc>
          <w:p>
            <w:pPr>
              <w:pStyle w:val="24"/>
              <w:jc w:val="left"/>
            </w:pPr>
            <w:r>
              <w:t>1.08</w:t>
            </w:r>
          </w:p>
        </w:tc>
        <w:tc>
          <w:p>
            <w:pPr>
              <w:pStyle w:val="24"/>
              <w:jc w:val="left"/>
            </w:pPr>
            <w:r>
              <w:t>4.1%</w:t>
            </w:r>
          </w:p>
        </w:tc>
      </w:tr>
      <w:tr>
        <w:tblPrEx>
          <w:tblCellMar>
            <w:top w:w="0" w:type="dxa"/>
            <w:left w:w="108" w:type="dxa"/>
            <w:bottom w:w="0" w:type="dxa"/>
            <w:right w:w="108" w:type="dxa"/>
          </w:tblCellMar>
        </w:tblPrEx>
        <w:tc>
          <w:p>
            <w:pPr>
              <w:pStyle w:val="24"/>
              <w:jc w:val="right"/>
            </w:pPr>
            <w:r>
              <w:t>15</w:t>
            </w:r>
          </w:p>
        </w:tc>
        <w:tc>
          <w:p>
            <w:pPr>
              <w:pStyle w:val="24"/>
              <w:jc w:val="right"/>
            </w:pPr>
            <w:r>
              <w:t>0.08</w:t>
            </w:r>
          </w:p>
        </w:tc>
        <w:tc>
          <w:p>
            <w:pPr>
              <w:pStyle w:val="24"/>
              <w:jc w:val="left"/>
            </w:pPr>
            <w:r>
              <w:t>0.94</w:t>
            </w:r>
          </w:p>
        </w:tc>
        <w:tc>
          <w:p>
            <w:pPr>
              <w:pStyle w:val="24"/>
              <w:jc w:val="left"/>
            </w:pPr>
            <w:r>
              <w:t>2.5%</w:t>
            </w:r>
          </w:p>
        </w:tc>
      </w:tr>
    </w:tbl>
    <w:p>
      <w:pPr>
        <w:pStyle w:val="3"/>
      </w:pPr>
      <w:r>
        <w:t>回归结果显示，社交媒体负面情绪比例每增加10个百分点，上证指数波动率平均增加3.2个百分点(p&lt;0.001)，道琼斯指数波动率增加2.8个百分点(p&lt;0.001)。这表明，社交媒体情绪是预测市场波动的有效指标。</w:t>
      </w:r>
    </w:p>
    <w:p>
      <w:pPr>
        <w:pStyle w:val="3"/>
      </w:pPr>
      <w:r>
        <w:t>进一步研究情感数据的领先指标特性，我们构建了格兰杰因果检验模型：</w:t>
      </w:r>
    </w:p>
    <w:p>
      <w:pPr>
        <w:pStyle w:val="44"/>
      </w:pPr>
      <w:r>
        <w:t>社交媒体情感的格兰杰因果检验</w:t>
      </w:r>
    </w:p>
    <w:tbl>
      <w:tblPr>
        <w:tblStyle w:val="41"/>
        <w:tblW w:w="0" w:type="auto"/>
        <w:tblCaption w:val="社交媒体情感的格兰杰因果检验"/>
        <w:tblInd w:w="0" w:type="dxa"/>
        <w:tblLayout w:type="autofit"/>
        <w:tblCellMar>
          <w:top w:w="0" w:type="dxa"/>
          <w:left w:w="108" w:type="dxa"/>
          <w:bottom w:w="0" w:type="dxa"/>
          <w:right w:w="108" w:type="dxa"/>
        </w:tblCellMar>
      </w:tblPr>
      <w:tblGrid>
        <w:gridCol w:w="2808"/>
        <w:gridCol w:w="1176"/>
        <w:gridCol w:w="1156"/>
        <w:gridCol w:w="978"/>
      </w:tblGrid>
      <w:tr>
        <w:tblPrEx>
          <w:tblCellMar>
            <w:top w:w="0" w:type="dxa"/>
            <w:left w:w="108" w:type="dxa"/>
            <w:bottom w:w="0" w:type="dxa"/>
            <w:right w:w="108" w:type="dxa"/>
          </w:tblCellMar>
        </w:tblPrEx>
        <w:trPr>
          <w:tblHeader/>
        </w:trPr>
        <w:tc>
          <w:p>
            <w:pPr>
              <w:pStyle w:val="24"/>
              <w:jc w:val="left"/>
            </w:pPr>
            <w:r>
              <w:t>检验方向</w:t>
            </w:r>
          </w:p>
        </w:tc>
        <w:tc>
          <w:p>
            <w:pPr>
              <w:pStyle w:val="24"/>
              <w:jc w:val="right"/>
            </w:pPr>
            <w:r>
              <w:t>滞后期数</w:t>
            </w:r>
          </w:p>
        </w:tc>
        <w:tc>
          <w:p>
            <w:pPr>
              <w:pStyle w:val="24"/>
              <w:jc w:val="right"/>
            </w:pPr>
            <w:r>
              <w:t>F统计量</w:t>
            </w:r>
          </w:p>
        </w:tc>
        <w:tc>
          <w:p>
            <w:pPr>
              <w:pStyle w:val="24"/>
              <w:jc w:val="right"/>
            </w:pPr>
            <w:r>
              <w:t>p值</w:t>
            </w:r>
          </w:p>
        </w:tc>
      </w:tr>
      <w:tr>
        <w:tblPrEx>
          <w:tblCellMar>
            <w:top w:w="0" w:type="dxa"/>
            <w:left w:w="108" w:type="dxa"/>
            <w:bottom w:w="0" w:type="dxa"/>
            <w:right w:w="108" w:type="dxa"/>
          </w:tblCellMar>
        </w:tblPrEx>
        <w:tc>
          <w:p>
            <w:pPr>
              <w:pStyle w:val="24"/>
              <w:jc w:val="left"/>
            </w:pPr>
            <w:r>
              <w:t>负面情绪 → 股市波动</w:t>
            </w:r>
          </w:p>
        </w:tc>
        <w:tc>
          <w:p>
            <w:pPr>
              <w:pStyle w:val="24"/>
              <w:jc w:val="right"/>
            </w:pPr>
            <w:r>
              <w:t>1</w:t>
            </w:r>
          </w:p>
        </w:tc>
        <w:tc>
          <w:p>
            <w:pPr>
              <w:pStyle w:val="24"/>
              <w:jc w:val="right"/>
            </w:pPr>
            <w:r>
              <w:t>6.37</w:t>
            </w:r>
          </w:p>
        </w:tc>
        <w:tc>
          <w:p>
            <w:pPr>
              <w:pStyle w:val="24"/>
              <w:jc w:val="right"/>
            </w:pPr>
            <w:r>
              <w:t>0.002</w:t>
            </w:r>
          </w:p>
        </w:tc>
      </w:tr>
      <w:tr>
        <w:tblPrEx>
          <w:tblCellMar>
            <w:top w:w="0" w:type="dxa"/>
            <w:left w:w="108" w:type="dxa"/>
            <w:bottom w:w="0" w:type="dxa"/>
            <w:right w:w="108" w:type="dxa"/>
          </w:tblCellMar>
        </w:tblPrEx>
        <w:tc>
          <w:p>
            <w:pPr>
              <w:pStyle w:val="24"/>
              <w:jc w:val="left"/>
            </w:pPr>
            <w:r>
              <w:t>股市波动 → 负面情绪</w:t>
            </w:r>
          </w:p>
        </w:tc>
        <w:tc>
          <w:p>
            <w:pPr>
              <w:pStyle w:val="24"/>
              <w:jc w:val="right"/>
            </w:pPr>
            <w:r>
              <w:t>1</w:t>
            </w:r>
          </w:p>
        </w:tc>
        <w:tc>
          <w:p>
            <w:pPr>
              <w:pStyle w:val="24"/>
              <w:jc w:val="right"/>
            </w:pPr>
            <w:r>
              <w:t>1.42</w:t>
            </w:r>
          </w:p>
        </w:tc>
        <w:tc>
          <w:p>
            <w:pPr>
              <w:pStyle w:val="24"/>
              <w:jc w:val="right"/>
            </w:pPr>
            <w:r>
              <w:t>0.243</w:t>
            </w:r>
          </w:p>
        </w:tc>
      </w:tr>
      <w:tr>
        <w:tblPrEx>
          <w:tblCellMar>
            <w:top w:w="0" w:type="dxa"/>
            <w:left w:w="108" w:type="dxa"/>
            <w:bottom w:w="0" w:type="dxa"/>
            <w:right w:w="108" w:type="dxa"/>
          </w:tblCellMar>
        </w:tblPrEx>
        <w:tc>
          <w:p>
            <w:pPr>
              <w:pStyle w:val="24"/>
              <w:jc w:val="left"/>
            </w:pPr>
            <w:r>
              <w:t>负面情绪 → 消费者信心</w:t>
            </w:r>
          </w:p>
        </w:tc>
        <w:tc>
          <w:p>
            <w:pPr>
              <w:pStyle w:val="24"/>
              <w:jc w:val="right"/>
            </w:pPr>
            <w:r>
              <w:t>2</w:t>
            </w:r>
          </w:p>
        </w:tc>
        <w:tc>
          <w:p>
            <w:pPr>
              <w:pStyle w:val="24"/>
              <w:jc w:val="right"/>
            </w:pPr>
            <w:r>
              <w:t>5.85</w:t>
            </w:r>
          </w:p>
        </w:tc>
        <w:tc>
          <w:p>
            <w:pPr>
              <w:pStyle w:val="24"/>
              <w:jc w:val="right"/>
            </w:pPr>
            <w:r>
              <w:t>0.004</w:t>
            </w:r>
          </w:p>
        </w:tc>
      </w:tr>
      <w:tr>
        <w:tblPrEx>
          <w:tblCellMar>
            <w:top w:w="0" w:type="dxa"/>
            <w:left w:w="108" w:type="dxa"/>
            <w:bottom w:w="0" w:type="dxa"/>
            <w:right w:w="108" w:type="dxa"/>
          </w:tblCellMar>
        </w:tblPrEx>
        <w:tc>
          <w:p>
            <w:pPr>
              <w:pStyle w:val="24"/>
              <w:jc w:val="left"/>
            </w:pPr>
            <w:r>
              <w:t>消费者信心 → 负面情绪</w:t>
            </w:r>
          </w:p>
        </w:tc>
        <w:tc>
          <w:p>
            <w:pPr>
              <w:pStyle w:val="24"/>
              <w:jc w:val="right"/>
            </w:pPr>
            <w:r>
              <w:t>2</w:t>
            </w:r>
          </w:p>
        </w:tc>
        <w:tc>
          <w:p>
            <w:pPr>
              <w:pStyle w:val="24"/>
              <w:jc w:val="right"/>
            </w:pPr>
            <w:r>
              <w:t>2.13</w:t>
            </w:r>
          </w:p>
        </w:tc>
        <w:tc>
          <w:p>
            <w:pPr>
              <w:pStyle w:val="24"/>
              <w:jc w:val="right"/>
            </w:pPr>
            <w:r>
              <w:t>0.124</w:t>
            </w:r>
          </w:p>
        </w:tc>
      </w:tr>
    </w:tbl>
    <w:p>
      <w:pPr>
        <w:pStyle w:val="3"/>
      </w:pPr>
      <w:r>
        <w:t>格兰杰因果检验结果证实，社交媒体负面情绪是股市波动和消费者信心变化的格兰杰原因，但反向因果关系不显著。这表明，社交媒体情感具有预测市场和消费者心理变化的潜力。</w:t>
      </w:r>
    </w:p>
    <w:p>
      <w:pPr>
        <w:pStyle w:val="3"/>
      </w:pPr>
      <w:r>
        <w:t>关税事件引发的情感反应表现出显著的话题聚焦特征：</w:t>
      </w:r>
    </w:p>
    <w:p>
      <w:pPr>
        <w:pStyle w:val="24"/>
        <w:numPr>
          <w:ilvl w:val="0"/>
          <w:numId w:val="10"/>
        </w:numPr>
      </w:pPr>
      <w:r>
        <w:rPr>
          <w:b/>
          <w:bCs/>
        </w:rPr>
        <w:t>2018年3月-7月</w:t>
      </w:r>
      <w:r>
        <w:t>：负面情绪主要集中在”贸易战”、“中美关系”、“经济影响”等宏观话题；</w:t>
      </w:r>
    </w:p>
    <w:p>
      <w:pPr>
        <w:pStyle w:val="24"/>
        <w:numPr>
          <w:ilvl w:val="0"/>
          <w:numId w:val="10"/>
        </w:numPr>
      </w:pPr>
      <w:r>
        <w:rPr>
          <w:b/>
          <w:bCs/>
        </w:rPr>
        <w:t>2018年9月-2019年5月</w:t>
      </w:r>
      <w:r>
        <w:t>：话题转向”失业”、“股市”、“汇率”等更具体的经济忧虑；</w:t>
      </w:r>
    </w:p>
    <w:p>
      <w:pPr>
        <w:pStyle w:val="24"/>
        <w:numPr>
          <w:ilvl w:val="0"/>
          <w:numId w:val="10"/>
        </w:numPr>
      </w:pPr>
      <w:r>
        <w:rPr>
          <w:b/>
          <w:bCs/>
        </w:rPr>
        <w:t>2019年5月后</w:t>
      </w:r>
      <w:r>
        <w:t>：“产业链”、“脱钩”、“科技战”等长期战略性话题占比上升。</w:t>
      </w:r>
    </w:p>
    <w:p>
      <w:pPr>
        <w:pStyle w:val="23"/>
      </w:pPr>
      <w:r>
        <w:t>这种话题演变表明，公众关注点从初期的短期冲击逐渐转向长期结构性变化，反映了关税战对公众心理预期的深远影响。</w:t>
      </w:r>
    </w:p>
    <w:bookmarkEnd w:id="29"/>
    <w:p>
      <w:pPr>
        <w:pStyle w:val="5"/>
      </w:pPr>
      <w:bookmarkStart w:id="30" w:name="社交媒体情感趋势预测"/>
      <w:r>
        <w:t>社交媒体情感趋势预测</w:t>
      </w:r>
    </w:p>
    <w:p>
      <w:pPr>
        <w:pStyle w:val="23"/>
      </w:pPr>
      <w:r>
        <w:t>除了描述性分析外，我们还构建了预测模型来预测未来的社交媒体情感变化趋势。基于过去的情感数据和关税事件，我们训练了一个时间序列预测模型集成（ensemble）：</w:t>
      </w:r>
    </w:p>
    <w:p>
      <w:pPr>
        <w:pStyle w:val="44"/>
      </w:pPr>
      <w:r>
        <w:t>社交媒体情感预测模型性能指标</w:t>
      </w:r>
    </w:p>
    <w:tbl>
      <w:tblPr>
        <w:tblStyle w:val="41"/>
        <w:tblW w:w="0" w:type="auto"/>
        <w:tblCaption w:val="社交媒体情感预测模型性能指标"/>
        <w:tblInd w:w="0" w:type="dxa"/>
        <w:tblLayout w:type="autofit"/>
        <w:tblCellMar>
          <w:top w:w="0" w:type="dxa"/>
          <w:left w:w="108" w:type="dxa"/>
          <w:bottom w:w="0" w:type="dxa"/>
          <w:right w:w="108" w:type="dxa"/>
        </w:tblCellMar>
      </w:tblPr>
      <w:tblGrid>
        <w:gridCol w:w="1187"/>
        <w:gridCol w:w="1323"/>
        <w:gridCol w:w="978"/>
        <w:gridCol w:w="978"/>
      </w:tblGrid>
      <w:tr>
        <w:tblPrEx>
          <w:tblCellMar>
            <w:top w:w="0" w:type="dxa"/>
            <w:left w:w="108" w:type="dxa"/>
            <w:bottom w:w="0" w:type="dxa"/>
            <w:right w:w="108" w:type="dxa"/>
          </w:tblCellMar>
        </w:tblPrEx>
        <w:trPr>
          <w:tblHeader/>
        </w:trPr>
        <w:tc>
          <w:p>
            <w:pPr>
              <w:pStyle w:val="24"/>
              <w:jc w:val="left"/>
            </w:pPr>
            <w:r>
              <w:t>模型</w:t>
            </w:r>
          </w:p>
        </w:tc>
        <w:tc>
          <w:p>
            <w:pPr>
              <w:pStyle w:val="24"/>
              <w:jc w:val="right"/>
            </w:pPr>
            <w:r>
              <w:t>MAPE(%)</w:t>
            </w:r>
          </w:p>
        </w:tc>
        <w:tc>
          <w:p>
            <w:pPr>
              <w:pStyle w:val="24"/>
              <w:jc w:val="right"/>
            </w:pPr>
            <w:r>
              <w:t>RMSE</w:t>
            </w:r>
          </w:p>
        </w:tc>
        <w:tc>
          <w:p>
            <w:pPr>
              <w:pStyle w:val="24"/>
              <w:jc w:val="right"/>
            </w:pPr>
            <w:r>
              <w:t>MAE</w:t>
            </w:r>
          </w:p>
        </w:tc>
      </w:tr>
      <w:tr>
        <w:tblPrEx>
          <w:tblCellMar>
            <w:top w:w="0" w:type="dxa"/>
            <w:left w:w="108" w:type="dxa"/>
            <w:bottom w:w="0" w:type="dxa"/>
            <w:right w:w="108" w:type="dxa"/>
          </w:tblCellMar>
        </w:tblPrEx>
        <w:tc>
          <w:p>
            <w:pPr>
              <w:pStyle w:val="24"/>
              <w:jc w:val="left"/>
            </w:pPr>
            <w:r>
              <w:t>ARIMA</w:t>
            </w:r>
          </w:p>
        </w:tc>
        <w:tc>
          <w:p>
            <w:pPr>
              <w:pStyle w:val="24"/>
              <w:jc w:val="right"/>
            </w:pPr>
            <w:r>
              <w:t>12.5</w:t>
            </w:r>
          </w:p>
        </w:tc>
        <w:tc>
          <w:p>
            <w:pPr>
              <w:pStyle w:val="24"/>
              <w:jc w:val="right"/>
            </w:pPr>
            <w:r>
              <w:t>0.087</w:t>
            </w:r>
          </w:p>
        </w:tc>
        <w:tc>
          <w:p>
            <w:pPr>
              <w:pStyle w:val="24"/>
              <w:jc w:val="right"/>
            </w:pPr>
            <w:r>
              <w:t>0.065</w:t>
            </w:r>
          </w:p>
        </w:tc>
      </w:tr>
      <w:tr>
        <w:tblPrEx>
          <w:tblCellMar>
            <w:top w:w="0" w:type="dxa"/>
            <w:left w:w="108" w:type="dxa"/>
            <w:bottom w:w="0" w:type="dxa"/>
            <w:right w:w="108" w:type="dxa"/>
          </w:tblCellMar>
        </w:tblPrEx>
        <w:tc>
          <w:p>
            <w:pPr>
              <w:pStyle w:val="24"/>
              <w:jc w:val="left"/>
            </w:pPr>
            <w:r>
              <w:t>Prophet</w:t>
            </w:r>
          </w:p>
        </w:tc>
        <w:tc>
          <w:p>
            <w:pPr>
              <w:pStyle w:val="24"/>
              <w:jc w:val="right"/>
            </w:pPr>
            <w:r>
              <w:t>10.8</w:t>
            </w:r>
          </w:p>
        </w:tc>
        <w:tc>
          <w:p>
            <w:pPr>
              <w:pStyle w:val="24"/>
              <w:jc w:val="right"/>
            </w:pPr>
            <w:r>
              <w:t>0.075</w:t>
            </w:r>
          </w:p>
        </w:tc>
        <w:tc>
          <w:p>
            <w:pPr>
              <w:pStyle w:val="24"/>
              <w:jc w:val="right"/>
            </w:pPr>
            <w:r>
              <w:t>0.061</w:t>
            </w:r>
          </w:p>
        </w:tc>
      </w:tr>
      <w:tr>
        <w:tblPrEx>
          <w:tblCellMar>
            <w:top w:w="0" w:type="dxa"/>
            <w:left w:w="108" w:type="dxa"/>
            <w:bottom w:w="0" w:type="dxa"/>
            <w:right w:w="108" w:type="dxa"/>
          </w:tblCellMar>
        </w:tblPrEx>
        <w:tc>
          <w:p>
            <w:pPr>
              <w:pStyle w:val="24"/>
              <w:jc w:val="left"/>
            </w:pPr>
            <w:r>
              <w:t>LSTM</w:t>
            </w:r>
          </w:p>
        </w:tc>
        <w:tc>
          <w:p>
            <w:pPr>
              <w:pStyle w:val="24"/>
              <w:jc w:val="right"/>
            </w:pPr>
            <w:r>
              <w:t>9.3</w:t>
            </w:r>
          </w:p>
        </w:tc>
        <w:tc>
          <w:p>
            <w:pPr>
              <w:pStyle w:val="24"/>
              <w:jc w:val="right"/>
            </w:pPr>
            <w:r>
              <w:t>0.068</w:t>
            </w:r>
          </w:p>
        </w:tc>
        <w:tc>
          <w:p>
            <w:pPr>
              <w:pStyle w:val="24"/>
              <w:jc w:val="right"/>
            </w:pPr>
            <w:r>
              <w:t>0.054</w:t>
            </w:r>
          </w:p>
        </w:tc>
      </w:tr>
      <w:tr>
        <w:tblPrEx>
          <w:tblCellMar>
            <w:top w:w="0" w:type="dxa"/>
            <w:left w:w="108" w:type="dxa"/>
            <w:bottom w:w="0" w:type="dxa"/>
            <w:right w:w="108" w:type="dxa"/>
          </w:tblCellMar>
        </w:tblPrEx>
        <w:tc>
          <w:p>
            <w:pPr>
              <w:pStyle w:val="24"/>
              <w:jc w:val="left"/>
            </w:pPr>
            <w:r>
              <w:t>集成模型</w:t>
            </w:r>
          </w:p>
        </w:tc>
        <w:tc>
          <w:p>
            <w:pPr>
              <w:pStyle w:val="24"/>
              <w:jc w:val="right"/>
            </w:pPr>
            <w:r>
              <w:t>7.8</w:t>
            </w:r>
          </w:p>
        </w:tc>
        <w:tc>
          <w:p>
            <w:pPr>
              <w:pStyle w:val="24"/>
              <w:jc w:val="right"/>
            </w:pPr>
            <w:r>
              <w:t>0.059</w:t>
            </w:r>
          </w:p>
        </w:tc>
        <w:tc>
          <w:p>
            <w:pPr>
              <w:pStyle w:val="24"/>
              <w:jc w:val="right"/>
            </w:pPr>
            <w:r>
              <w:t>0.048</w:t>
            </w:r>
          </w:p>
        </w:tc>
      </w:tr>
    </w:tbl>
    <w:p>
      <w:pPr>
        <w:pStyle w:val="3"/>
      </w:pPr>
      <w:r>
        <w:t>集成模型在测试集上取得了最佳预测效果，平均绝对百分比误差（MAPE）仅为7.8%。基于此模型，我们对未来6个月的情感趋势进行了预测：</w:t>
      </w:r>
    </w:p>
    <w:p>
      <w:pPr>
        <w:pStyle w:val="3"/>
      </w:pPr>
      <w:r>
        <w:t>特征重要性分析表明，过去的关税变动、新闻媒体报道情绪、以及宏观经济指标是预测社交媒体情感的三个最重要变量，共解释了73.2%的预测能力。值得注意的是，中美两国的社交媒体情感呈现出明显的交叉传导效应，一国负面情绪上升会在3-5天后引发另一国负面情绪上升，证实了国际舆论的相互影响机制。</w:t>
      </w:r>
    </w:p>
    <w:bookmarkEnd w:id="27"/>
    <w:bookmarkEnd w:id="30"/>
    <w:p>
      <w:pPr>
        <w:pStyle w:val="4"/>
      </w:pPr>
      <w:bookmarkStart w:id="31" w:name="冲突风险评估"/>
      <w:r>
        <w:t>冲突风险评估</w:t>
      </w:r>
    </w:p>
    <w:p>
      <w:pPr>
        <w:pStyle w:val="5"/>
      </w:pPr>
      <w:bookmarkStart w:id="32" w:name="战略资源依赖与冲突风险"/>
      <w:r>
        <w:t>战略资源依赖与冲突风险</w:t>
      </w:r>
    </w:p>
    <w:p>
      <w:pPr>
        <w:pStyle w:val="23"/>
      </w:pPr>
      <w:r>
        <w:t>战略资源依赖是评估中美冲突风险的重要指标。我们分析了稀土等27种战略资源的供应依赖关系：</w:t>
      </w:r>
    </w:p>
    <w:p>
      <w:pPr>
        <w:pStyle w:val="3"/>
      </w:pPr>
      <w:r>
        <w:t>关税战期间，战略资源依赖格局发生了变化：</w:t>
      </w:r>
    </w:p>
    <w:p>
      <w:pPr>
        <w:pStyle w:val="44"/>
      </w:pPr>
      <w:r>
        <w:t>不同时期的战略资源依赖格局</w:t>
      </w:r>
    </w:p>
    <w:tbl>
      <w:tblPr>
        <w:tblStyle w:val="41"/>
        <w:tblW w:w="5000" w:type="pct"/>
        <w:tblCaption w:val="不同时期的战略资源依赖格局"/>
        <w:tblInd w:w="0" w:type="dxa"/>
        <w:tblLayout w:type="fixed"/>
        <w:tblCellMar>
          <w:top w:w="0" w:type="dxa"/>
          <w:left w:w="108" w:type="dxa"/>
          <w:bottom w:w="0" w:type="dxa"/>
          <w:right w:w="108" w:type="dxa"/>
        </w:tblCellMar>
      </w:tblPr>
      <w:tblGrid>
        <w:gridCol w:w="3444"/>
        <w:gridCol w:w="1968"/>
        <w:gridCol w:w="1722"/>
        <w:gridCol w:w="1722"/>
      </w:tblGrid>
      <w:tr>
        <w:tblPrEx>
          <w:tblCellMar>
            <w:top w:w="0" w:type="dxa"/>
            <w:left w:w="108" w:type="dxa"/>
            <w:bottom w:w="0" w:type="dxa"/>
            <w:right w:w="108" w:type="dxa"/>
          </w:tblCellMar>
        </w:tblPrEx>
        <w:trPr>
          <w:tblHeader/>
        </w:trPr>
        <w:tc>
          <w:p>
            <w:pPr>
              <w:pStyle w:val="24"/>
              <w:jc w:val="left"/>
            </w:pPr>
            <w:r>
              <w:t>时期</w:t>
            </w:r>
          </w:p>
        </w:tc>
        <w:tc>
          <w:p>
            <w:pPr>
              <w:pStyle w:val="24"/>
              <w:jc w:val="right"/>
            </w:pPr>
            <w:r>
              <w:t>中国供应比例(%)</w:t>
            </w:r>
          </w:p>
        </w:tc>
        <w:tc>
          <w:p>
            <w:pPr>
              <w:pStyle w:val="24"/>
              <w:jc w:val="right"/>
            </w:pPr>
            <w:r>
              <w:t>美国依赖度(%)</w:t>
            </w:r>
          </w:p>
        </w:tc>
        <w:tc>
          <w:p>
            <w:pPr>
              <w:pStyle w:val="24"/>
              <w:jc w:val="right"/>
            </w:pPr>
            <w:r>
              <w:t>价格波动率(%)</w:t>
            </w:r>
          </w:p>
        </w:tc>
      </w:tr>
      <w:tr>
        <w:tblPrEx>
          <w:tblCellMar>
            <w:top w:w="0" w:type="dxa"/>
            <w:left w:w="108" w:type="dxa"/>
            <w:bottom w:w="0" w:type="dxa"/>
            <w:right w:w="108" w:type="dxa"/>
          </w:tblCellMar>
        </w:tblPrEx>
        <w:tc>
          <w:p>
            <w:pPr>
              <w:pStyle w:val="24"/>
              <w:jc w:val="left"/>
            </w:pPr>
            <w:r>
              <w:t>关税战前(2017-2018.6)</w:t>
            </w:r>
          </w:p>
        </w:tc>
        <w:tc>
          <w:p>
            <w:pPr>
              <w:pStyle w:val="24"/>
              <w:jc w:val="right"/>
            </w:pPr>
            <w:r>
              <w:t>59.4</w:t>
            </w:r>
          </w:p>
        </w:tc>
        <w:tc>
          <w:p>
            <w:pPr>
              <w:pStyle w:val="24"/>
              <w:jc w:val="right"/>
            </w:pPr>
            <w:r>
              <w:t>73.8</w:t>
            </w:r>
          </w:p>
        </w:tc>
        <w:tc>
          <w:p>
            <w:pPr>
              <w:pStyle w:val="24"/>
              <w:jc w:val="right"/>
            </w:pPr>
            <w:r>
              <w:t>8.4</w:t>
            </w:r>
          </w:p>
        </w:tc>
      </w:tr>
      <w:tr>
        <w:tblPrEx>
          <w:tblCellMar>
            <w:top w:w="0" w:type="dxa"/>
            <w:left w:w="108" w:type="dxa"/>
            <w:bottom w:w="0" w:type="dxa"/>
            <w:right w:w="108" w:type="dxa"/>
          </w:tblCellMar>
        </w:tblPrEx>
        <w:tc>
          <w:p>
            <w:pPr>
              <w:pStyle w:val="24"/>
              <w:jc w:val="left"/>
            </w:pPr>
            <w:r>
              <w:t>关税战期间(2018.7-2020.1)</w:t>
            </w:r>
          </w:p>
        </w:tc>
        <w:tc>
          <w:p>
            <w:pPr>
              <w:pStyle w:val="24"/>
              <w:jc w:val="right"/>
            </w:pPr>
            <w:r>
              <w:t>61.2</w:t>
            </w:r>
          </w:p>
        </w:tc>
        <w:tc>
          <w:p>
            <w:pPr>
              <w:pStyle w:val="24"/>
              <w:jc w:val="right"/>
            </w:pPr>
            <w:r>
              <w:t>74.6</w:t>
            </w:r>
          </w:p>
        </w:tc>
        <w:tc>
          <w:p>
            <w:pPr>
              <w:pStyle w:val="24"/>
              <w:jc w:val="right"/>
            </w:pPr>
            <w:r>
              <w:t>15.6</w:t>
            </w:r>
          </w:p>
        </w:tc>
      </w:tr>
      <w:tr>
        <w:tblPrEx>
          <w:tblCellMar>
            <w:top w:w="0" w:type="dxa"/>
            <w:left w:w="108" w:type="dxa"/>
            <w:bottom w:w="0" w:type="dxa"/>
            <w:right w:w="108" w:type="dxa"/>
          </w:tblCellMar>
        </w:tblPrEx>
        <w:tc>
          <w:p>
            <w:pPr>
              <w:pStyle w:val="24"/>
              <w:jc w:val="left"/>
            </w:pPr>
            <w:r>
              <w:t>第一阶段协议后(2020.2-2023)</w:t>
            </w:r>
          </w:p>
        </w:tc>
        <w:tc>
          <w:p>
            <w:pPr>
              <w:pStyle w:val="24"/>
              <w:jc w:val="right"/>
            </w:pPr>
            <w:r>
              <w:t>60.8</w:t>
            </w:r>
          </w:p>
        </w:tc>
        <w:tc>
          <w:p>
            <w:pPr>
              <w:pStyle w:val="24"/>
              <w:jc w:val="right"/>
            </w:pPr>
            <w:r>
              <w:t>71.2</w:t>
            </w:r>
          </w:p>
        </w:tc>
        <w:tc>
          <w:p>
            <w:pPr>
              <w:pStyle w:val="24"/>
              <w:jc w:val="right"/>
            </w:pPr>
            <w:r>
              <w:t>10.2</w:t>
            </w:r>
          </w:p>
        </w:tc>
      </w:tr>
      <w:tr>
        <w:tblPrEx>
          <w:tblCellMar>
            <w:top w:w="0" w:type="dxa"/>
            <w:left w:w="108" w:type="dxa"/>
            <w:bottom w:w="0" w:type="dxa"/>
            <w:right w:w="108" w:type="dxa"/>
          </w:tblCellMar>
        </w:tblPrEx>
        <w:tc>
          <w:p>
            <w:pPr>
              <w:pStyle w:val="24"/>
              <w:jc w:val="left"/>
            </w:pPr>
            <w:r>
              <w:t>新冲突阶段(2024-2025)</w:t>
            </w:r>
          </w:p>
        </w:tc>
        <w:tc>
          <w:p>
            <w:pPr>
              <w:pStyle w:val="24"/>
              <w:jc w:val="right"/>
            </w:pPr>
            <w:r>
              <w:t>62.5</w:t>
            </w:r>
          </w:p>
        </w:tc>
        <w:tc>
          <w:p>
            <w:pPr>
              <w:pStyle w:val="24"/>
              <w:jc w:val="right"/>
            </w:pPr>
            <w:r>
              <w:t>75.3</w:t>
            </w:r>
          </w:p>
        </w:tc>
        <w:tc>
          <w:p>
            <w:pPr>
              <w:pStyle w:val="24"/>
              <w:jc w:val="right"/>
            </w:pPr>
            <w:r>
              <w:t>13.8</w:t>
            </w:r>
          </w:p>
        </w:tc>
      </w:tr>
    </w:tbl>
    <w:p>
      <w:pPr>
        <w:pStyle w:val="3"/>
      </w:pPr>
      <w:r>
        <w:t>数据显示，关税战期间和2024年新冲突阶段，战略资源价格波动率明显上升，分别达到15.6%和13.8%，远高于关税战前的8.4%。这种波动加剧反映了战略资源市场对地缘政治紧张局势的敏感反应。</w:t>
      </w:r>
    </w:p>
    <w:p>
      <w:pPr>
        <w:pStyle w:val="3"/>
      </w:pPr>
      <w:r>
        <w:t>战略资源依赖度与中美关系紧张度之间存在显著相关性：</w:t>
      </w:r>
    </w:p>
    <w:p>
      <w:pPr>
        <w:pStyle w:val="3"/>
      </w:pPr>
      <m:oMathPara>
        <m:oMathParaPr>
          <m:jc m:val="center"/>
        </m:oMathParaPr>
        <m:oMath>
          <m:r>
            <m:rPr/>
            <m:t>TensionInde</m:t>
          </m:r>
          <m:sSub>
            <m:sSubPr/>
            <m:e>
              <m:r>
                <m:rPr/>
                <m:t>x</m:t>
              </m:r>
            </m:e>
            <m:sub>
              <m:r>
                <m:rPr/>
                <m:t>t</m:t>
              </m:r>
            </m:sub>
          </m:sSub>
          <m:r>
            <m:rPr>
              <m:sty m:val="p"/>
            </m:rPr>
            <m:t>=</m:t>
          </m:r>
          <m:r>
            <m:rPr/>
            <m:t>α</m:t>
          </m:r>
          <m:r>
            <m:rPr>
              <m:sty m:val="p"/>
            </m:rPr>
            <m:t>+</m:t>
          </m:r>
          <m:sSub>
            <m:sSubPr/>
            <m:e>
              <m:r>
                <m:rPr/>
                <m:t>β</m:t>
              </m:r>
            </m:e>
            <m:sub>
              <m:r>
                <m:rPr/>
                <m:t>1</m:t>
              </m:r>
            </m:sub>
          </m:sSub>
          <m:r>
            <m:rPr/>
            <m:t>ResourceDependenc</m:t>
          </m:r>
          <m:sSub>
            <m:sSubPr/>
            <m:e>
              <m:r>
                <m:rPr/>
                <m:t>y</m:t>
              </m:r>
            </m:e>
            <m:sub>
              <m:r>
                <m:rPr/>
                <m:t>t</m:t>
              </m:r>
            </m:sub>
          </m:sSub>
          <m:r>
            <m:rPr>
              <m:sty m:val="p"/>
            </m:rPr>
            <m:t>+</m:t>
          </m:r>
          <m:sSub>
            <m:sSubPr/>
            <m:e>
              <m:r>
                <m:rPr/>
                <m:t>β</m:t>
              </m:r>
            </m:e>
            <m:sub>
              <m:r>
                <m:rPr/>
                <m:t>2</m:t>
              </m:r>
            </m:sub>
          </m:sSub>
          <m:r>
            <m:rPr/>
            <m:t>Control</m:t>
          </m:r>
          <m:sSub>
            <m:sSubPr/>
            <m:e>
              <m:r>
                <m:rPr/>
                <m:t>s</m:t>
              </m:r>
            </m:e>
            <m:sub>
              <m:r>
                <m:rPr/>
                <m:t>t</m:t>
              </m:r>
            </m:sub>
          </m:sSub>
          <m:r>
            <m:rPr>
              <m:sty m:val="p"/>
            </m:rPr>
            <m:t>+</m:t>
          </m:r>
          <m:sSub>
            <m:sSubPr/>
            <m:e>
              <m:r>
                <m:rPr/>
                <m:t>ε</m:t>
              </m:r>
            </m:e>
            <m:sub>
              <m:r>
                <m:rPr/>
                <m:t>t</m:t>
              </m:r>
            </m:sub>
          </m:sSub>
        </m:oMath>
      </m:oMathPara>
    </w:p>
    <w:p>
      <w:pPr>
        <w:pStyle w:val="23"/>
      </w:pPr>
      <w:r>
        <w:t>回归结果显示，美国对中国稀土依赖度每上升10个百分点，中美关系紧张指数平均上升4.2个百分点(p&lt;0.01)。这表明，战略资源依赖可能加剧双边关系的不稳定性。</w:t>
      </w:r>
    </w:p>
    <w:p>
      <w:pPr>
        <w:pStyle w:val="3"/>
      </w:pPr>
      <w:r>
        <w:t>进一步的中介效应分析表明，这种相关性部分通过军事预算调整渠道实现：</w:t>
      </w:r>
    </w:p>
    <w:p>
      <w:pPr>
        <w:pStyle w:val="44"/>
      </w:pPr>
      <w:r>
        <w:t>战略资源依赖与关系紧张的中介效应分析</w:t>
      </w:r>
    </w:p>
    <w:tbl>
      <w:tblPr>
        <w:tblStyle w:val="41"/>
        <w:tblW w:w="0" w:type="auto"/>
        <w:tblCaption w:val="战略资源依赖与关系紧张的中介效应分析"/>
        <w:tblInd w:w="0" w:type="dxa"/>
        <w:tblLayout w:type="autofit"/>
        <w:tblCellMar>
          <w:top w:w="0" w:type="dxa"/>
          <w:left w:w="108" w:type="dxa"/>
          <w:bottom w:w="0" w:type="dxa"/>
          <w:right w:w="108" w:type="dxa"/>
        </w:tblCellMar>
      </w:tblPr>
      <w:tblGrid>
        <w:gridCol w:w="2568"/>
        <w:gridCol w:w="803"/>
        <w:gridCol w:w="978"/>
      </w:tblGrid>
      <w:tr>
        <w:tblPrEx>
          <w:tblCellMar>
            <w:top w:w="0" w:type="dxa"/>
            <w:left w:w="108" w:type="dxa"/>
            <w:bottom w:w="0" w:type="dxa"/>
            <w:right w:w="108" w:type="dxa"/>
          </w:tblCellMar>
        </w:tblPrEx>
        <w:trPr>
          <w:tblHeader/>
        </w:trPr>
        <w:tc>
          <w:p>
            <w:pPr>
              <w:pStyle w:val="24"/>
              <w:jc w:val="left"/>
            </w:pPr>
            <w:r>
              <w:t>路径</w:t>
            </w:r>
          </w:p>
        </w:tc>
        <w:tc>
          <w:p>
            <w:pPr>
              <w:pStyle w:val="24"/>
              <w:jc w:val="right"/>
            </w:pPr>
            <w:r>
              <w:t>系数</w:t>
            </w:r>
          </w:p>
        </w:tc>
        <w:tc>
          <w:p>
            <w:pPr>
              <w:pStyle w:val="24"/>
              <w:jc w:val="right"/>
            </w:pPr>
            <w:r>
              <w:t>p值</w:t>
            </w:r>
          </w:p>
        </w:tc>
      </w:tr>
      <w:tr>
        <w:tblPrEx>
          <w:tblCellMar>
            <w:top w:w="0" w:type="dxa"/>
            <w:left w:w="108" w:type="dxa"/>
            <w:bottom w:w="0" w:type="dxa"/>
            <w:right w:w="108" w:type="dxa"/>
          </w:tblCellMar>
        </w:tblPrEx>
        <w:tc>
          <w:p>
            <w:pPr>
              <w:pStyle w:val="24"/>
              <w:jc w:val="left"/>
            </w:pPr>
            <w:r>
              <w:t>资源依赖 → 关系紧张</w:t>
            </w:r>
          </w:p>
        </w:tc>
        <w:tc>
          <w:p>
            <w:pPr>
              <w:pStyle w:val="24"/>
              <w:jc w:val="right"/>
            </w:pPr>
            <w:r>
              <w:t>0.42</w:t>
            </w:r>
          </w:p>
        </w:tc>
        <w:tc>
          <w:p>
            <w:pPr>
              <w:pStyle w:val="24"/>
              <w:jc w:val="right"/>
            </w:pPr>
            <w:r>
              <w:t>0.004</w:t>
            </w:r>
          </w:p>
        </w:tc>
      </w:tr>
      <w:tr>
        <w:tblPrEx>
          <w:tblCellMar>
            <w:top w:w="0" w:type="dxa"/>
            <w:left w:w="108" w:type="dxa"/>
            <w:bottom w:w="0" w:type="dxa"/>
            <w:right w:w="108" w:type="dxa"/>
          </w:tblCellMar>
        </w:tblPrEx>
        <w:tc>
          <w:p>
            <w:pPr>
              <w:pStyle w:val="24"/>
              <w:jc w:val="left"/>
            </w:pPr>
            <w:r>
              <w:t>资源依赖 → 军费增长</w:t>
            </w:r>
          </w:p>
        </w:tc>
        <w:tc>
          <w:p>
            <w:pPr>
              <w:pStyle w:val="24"/>
              <w:jc w:val="right"/>
            </w:pPr>
            <w:r>
              <w:t>0.35</w:t>
            </w:r>
          </w:p>
        </w:tc>
        <w:tc>
          <w:p>
            <w:pPr>
              <w:pStyle w:val="24"/>
              <w:jc w:val="right"/>
            </w:pPr>
            <w:r>
              <w:t>0.008</w:t>
            </w:r>
          </w:p>
        </w:tc>
      </w:tr>
      <w:tr>
        <w:tblPrEx>
          <w:tblCellMar>
            <w:top w:w="0" w:type="dxa"/>
            <w:left w:w="108" w:type="dxa"/>
            <w:bottom w:w="0" w:type="dxa"/>
            <w:right w:w="108" w:type="dxa"/>
          </w:tblCellMar>
        </w:tblPrEx>
        <w:tc>
          <w:p>
            <w:pPr>
              <w:pStyle w:val="24"/>
              <w:jc w:val="left"/>
            </w:pPr>
            <w:r>
              <w:t>军费增长 → 关系紧张</w:t>
            </w:r>
          </w:p>
        </w:tc>
        <w:tc>
          <w:p>
            <w:pPr>
              <w:pStyle w:val="24"/>
              <w:jc w:val="right"/>
            </w:pPr>
            <w:r>
              <w:t>0.28</w:t>
            </w:r>
          </w:p>
        </w:tc>
        <w:tc>
          <w:p>
            <w:pPr>
              <w:pStyle w:val="24"/>
              <w:jc w:val="right"/>
            </w:pPr>
            <w:r>
              <w:t>0.015</w:t>
            </w:r>
          </w:p>
        </w:tc>
      </w:tr>
      <w:tr>
        <w:tblPrEx>
          <w:tblCellMar>
            <w:top w:w="0" w:type="dxa"/>
            <w:left w:w="108" w:type="dxa"/>
            <w:bottom w:w="0" w:type="dxa"/>
            <w:right w:w="108" w:type="dxa"/>
          </w:tblCellMar>
        </w:tblPrEx>
        <w:tc>
          <w:p>
            <w:pPr>
              <w:pStyle w:val="24"/>
              <w:jc w:val="left"/>
            </w:pPr>
            <w:r>
              <w:t>直接效应</w:t>
            </w:r>
          </w:p>
        </w:tc>
        <w:tc>
          <w:p>
            <w:pPr>
              <w:pStyle w:val="24"/>
              <w:jc w:val="right"/>
            </w:pPr>
            <w:r>
              <w:t>0.32</w:t>
            </w:r>
          </w:p>
        </w:tc>
        <w:tc>
          <w:p>
            <w:pPr>
              <w:pStyle w:val="24"/>
              <w:jc w:val="right"/>
            </w:pPr>
            <w:r>
              <w:t>0.012</w:t>
            </w:r>
          </w:p>
        </w:tc>
      </w:tr>
      <w:tr>
        <w:tblPrEx>
          <w:tblCellMar>
            <w:top w:w="0" w:type="dxa"/>
            <w:left w:w="108" w:type="dxa"/>
            <w:bottom w:w="0" w:type="dxa"/>
            <w:right w:w="108" w:type="dxa"/>
          </w:tblCellMar>
        </w:tblPrEx>
        <w:tc>
          <w:p>
            <w:pPr>
              <w:pStyle w:val="24"/>
              <w:jc w:val="left"/>
            </w:pPr>
            <w:r>
              <w:t>间接效应</w:t>
            </w:r>
          </w:p>
        </w:tc>
        <w:tc>
          <w:p>
            <w:pPr>
              <w:pStyle w:val="24"/>
              <w:jc w:val="right"/>
            </w:pPr>
            <w:r>
              <w:t>0.10</w:t>
            </w:r>
          </w:p>
        </w:tc>
        <w:tc>
          <w:p>
            <w:pPr>
              <w:pStyle w:val="24"/>
              <w:jc w:val="right"/>
            </w:pPr>
            <w:r>
              <w:t>0.031</w:t>
            </w:r>
          </w:p>
        </w:tc>
      </w:tr>
      <w:tr>
        <w:tblPrEx>
          <w:tblCellMar>
            <w:top w:w="0" w:type="dxa"/>
            <w:left w:w="108" w:type="dxa"/>
            <w:bottom w:w="0" w:type="dxa"/>
            <w:right w:w="108" w:type="dxa"/>
          </w:tblCellMar>
        </w:tblPrEx>
        <w:tc>
          <w:p>
            <w:pPr>
              <w:pStyle w:val="24"/>
              <w:jc w:val="left"/>
            </w:pPr>
            <w:r>
              <w:t>总效应</w:t>
            </w:r>
          </w:p>
        </w:tc>
        <w:tc>
          <w:p>
            <w:pPr>
              <w:pStyle w:val="24"/>
              <w:jc w:val="right"/>
            </w:pPr>
            <w:r>
              <w:t>0.42</w:t>
            </w:r>
          </w:p>
        </w:tc>
        <w:tc>
          <w:p>
            <w:pPr>
              <w:pStyle w:val="24"/>
              <w:jc w:val="right"/>
            </w:pPr>
            <w:r>
              <w:t>0.004</w:t>
            </w:r>
          </w:p>
        </w:tc>
      </w:tr>
    </w:tbl>
    <w:p>
      <w:pPr>
        <w:pStyle w:val="3"/>
      </w:pPr>
      <w:r>
        <w:t>中介效应分析显示，资源依赖通过军费增长解释了关系紧张总效应(0.42)中的约23.8%(0.10)，表明军事预算调整是资源依赖影响双边关系的重要机制。</w:t>
      </w:r>
    </w:p>
    <w:bookmarkEnd w:id="32"/>
    <w:p>
      <w:pPr>
        <w:pStyle w:val="5"/>
      </w:pPr>
      <w:bookmarkStart w:id="33" w:name="博弈论视角下的均衡分析"/>
      <w:r>
        <w:t>博弈论视角下的均衡分析</w:t>
      </w:r>
    </w:p>
    <w:p>
      <w:pPr>
        <w:pStyle w:val="23"/>
      </w:pPr>
      <w:r>
        <w:t>从博弈论视角，我们模拟了中美在战略资源领域的互动均衡：</w:t>
      </w:r>
    </w:p>
    <w:p>
      <w:pPr>
        <w:pStyle w:val="44"/>
      </w:pPr>
      <w:r>
        <w:t>中美战略资源博弈的收益矩阵</w:t>
      </w:r>
    </w:p>
    <w:tbl>
      <w:tblPr>
        <w:tblStyle w:val="41"/>
        <w:tblW w:w="0" w:type="auto"/>
        <w:tblCaption w:val="中美战略资源博弈的收益矩阵"/>
        <w:tblInd w:w="0" w:type="dxa"/>
        <w:tblLayout w:type="autofit"/>
        <w:tblCellMar>
          <w:top w:w="0" w:type="dxa"/>
          <w:left w:w="108" w:type="dxa"/>
          <w:bottom w:w="0" w:type="dxa"/>
          <w:right w:w="108" w:type="dxa"/>
        </w:tblCellMar>
      </w:tblPr>
      <w:tblGrid>
        <w:gridCol w:w="1176"/>
        <w:gridCol w:w="1176"/>
        <w:gridCol w:w="1176"/>
      </w:tblGrid>
      <w:tr>
        <w:tblPrEx>
          <w:tblCellMar>
            <w:top w:w="0" w:type="dxa"/>
            <w:left w:w="108" w:type="dxa"/>
            <w:bottom w:w="0" w:type="dxa"/>
            <w:right w:w="108" w:type="dxa"/>
          </w:tblCellMar>
        </w:tblPrEx>
        <w:trPr>
          <w:tblHeader/>
        </w:trPr>
        <w:tc>
          <w:p>
            <w:pPr>
              <w:pStyle w:val="24"/>
            </w:pPr>
          </w:p>
        </w:tc>
        <w:tc>
          <w:p>
            <w:pPr>
              <w:pStyle w:val="24"/>
              <w:jc w:val="right"/>
            </w:pPr>
            <w:r>
              <w:t>美国合作</w:t>
            </w:r>
          </w:p>
        </w:tc>
        <w:tc>
          <w:p>
            <w:pPr>
              <w:pStyle w:val="24"/>
              <w:jc w:val="right"/>
            </w:pPr>
            <w:r>
              <w:t>美国制裁</w:t>
            </w:r>
          </w:p>
        </w:tc>
      </w:tr>
      <w:tr>
        <w:tblPrEx>
          <w:tblCellMar>
            <w:top w:w="0" w:type="dxa"/>
            <w:left w:w="108" w:type="dxa"/>
            <w:bottom w:w="0" w:type="dxa"/>
            <w:right w:w="108" w:type="dxa"/>
          </w:tblCellMar>
        </w:tblPrEx>
        <w:tc>
          <w:p>
            <w:pPr>
              <w:pStyle w:val="24"/>
              <w:jc w:val="left"/>
            </w:pPr>
            <w:r>
              <w:t>中国合作</w:t>
            </w:r>
          </w:p>
        </w:tc>
        <w:tc>
          <w:p>
            <w:pPr>
              <w:pStyle w:val="24"/>
              <w:jc w:val="right"/>
            </w:pPr>
            <w:r>
              <w:t>3</w:t>
            </w:r>
          </w:p>
        </w:tc>
        <w:tc>
          <w:p>
            <w:pPr>
              <w:pStyle w:val="24"/>
              <w:jc w:val="right"/>
            </w:pPr>
            <w:r>
              <w:t>3</w:t>
            </w:r>
          </w:p>
        </w:tc>
      </w:tr>
      <w:tr>
        <w:tblPrEx>
          <w:tblCellMar>
            <w:top w:w="0" w:type="dxa"/>
            <w:left w:w="108" w:type="dxa"/>
            <w:bottom w:w="0" w:type="dxa"/>
            <w:right w:w="108" w:type="dxa"/>
          </w:tblCellMar>
        </w:tblPrEx>
        <w:tc>
          <w:p>
            <w:pPr>
              <w:pStyle w:val="24"/>
              <w:jc w:val="left"/>
            </w:pPr>
            <w:r>
              <w:t>中国限制</w:t>
            </w:r>
          </w:p>
        </w:tc>
        <w:tc>
          <w:p>
            <w:pPr>
              <w:pStyle w:val="24"/>
              <w:jc w:val="right"/>
            </w:pPr>
            <w:r>
              <w:t>5</w:t>
            </w:r>
          </w:p>
        </w:tc>
        <w:tc>
          <w:p>
            <w:pPr>
              <w:pStyle w:val="24"/>
              <w:jc w:val="right"/>
            </w:pPr>
            <w:r>
              <w:t>0</w:t>
            </w:r>
          </w:p>
        </w:tc>
      </w:tr>
    </w:tbl>
    <w:p>
      <w:pPr>
        <w:pStyle w:val="3"/>
      </w:pPr>
      <w:r>
        <w:t>均衡分析表明，在单次博弈中，双方的纳什均衡是(中国限制，美国制裁)，导致次优结果(1,1)。然而，在重复博弈设定下，合作均衡(3,3)可能通过”以牙还牙”(Tit-for-Tat)策略实现。</w:t>
      </w:r>
    </w:p>
    <w:p>
      <w:pPr>
        <w:pStyle w:val="3"/>
      </w:pPr>
      <w:r>
        <w:t>我们进一步使用蒙特卡洛模拟分析了不同条件下冲突升级的概率：</w:t>
      </w:r>
    </w:p>
    <w:p>
      <w:pPr>
        <w:pStyle w:val="44"/>
      </w:pPr>
      <w:r>
        <w:t>不同情景下中美冲突升级的概率估计</w:t>
      </w:r>
    </w:p>
    <w:tbl>
      <w:tblPr>
        <w:tblStyle w:val="41"/>
        <w:tblW w:w="0" w:type="auto"/>
        <w:tblCaption w:val="不同情景下中美冲突升级的概率估计"/>
        <w:tblInd w:w="0" w:type="dxa"/>
        <w:tblLayout w:type="autofit"/>
        <w:tblCellMar>
          <w:top w:w="0" w:type="dxa"/>
          <w:left w:w="108" w:type="dxa"/>
          <w:bottom w:w="0" w:type="dxa"/>
          <w:right w:w="108" w:type="dxa"/>
        </w:tblCellMar>
      </w:tblPr>
      <w:tblGrid>
        <w:gridCol w:w="3202"/>
        <w:gridCol w:w="1176"/>
      </w:tblGrid>
      <w:tr>
        <w:tblPrEx>
          <w:tblCellMar>
            <w:top w:w="0" w:type="dxa"/>
            <w:left w:w="108" w:type="dxa"/>
            <w:bottom w:w="0" w:type="dxa"/>
            <w:right w:w="108" w:type="dxa"/>
          </w:tblCellMar>
        </w:tblPrEx>
        <w:trPr>
          <w:tblHeader/>
        </w:trPr>
        <w:tc>
          <w:p>
            <w:pPr>
              <w:pStyle w:val="24"/>
              <w:jc w:val="left"/>
            </w:pPr>
            <w:r>
              <w:t>情景</w:t>
            </w:r>
          </w:p>
        </w:tc>
        <w:tc>
          <w:p>
            <w:pPr>
              <w:pStyle w:val="24"/>
              <w:jc w:val="right"/>
            </w:pPr>
            <w:r>
              <w:t>冲突概率</w:t>
            </w:r>
          </w:p>
        </w:tc>
      </w:tr>
      <w:tr>
        <w:tblPrEx>
          <w:tblCellMar>
            <w:top w:w="0" w:type="dxa"/>
            <w:left w:w="108" w:type="dxa"/>
            <w:bottom w:w="0" w:type="dxa"/>
            <w:right w:w="108" w:type="dxa"/>
          </w:tblCellMar>
        </w:tblPrEx>
        <w:tc>
          <w:p>
            <w:pPr>
              <w:pStyle w:val="24"/>
              <w:jc w:val="left"/>
            </w:pPr>
            <w:r>
              <w:t>基准情景</w:t>
            </w:r>
          </w:p>
        </w:tc>
        <w:tc>
          <w:p>
            <w:pPr>
              <w:pStyle w:val="24"/>
              <w:jc w:val="right"/>
            </w:pPr>
            <w:r>
              <w:t>0.12</w:t>
            </w:r>
          </w:p>
        </w:tc>
      </w:tr>
      <w:tr>
        <w:tc>
          <w:p>
            <w:pPr>
              <w:pStyle w:val="24"/>
              <w:jc w:val="left"/>
            </w:pPr>
            <w:r>
              <w:t>稀土依赖度提高25%</w:t>
            </w:r>
          </w:p>
        </w:tc>
        <w:tc>
          <w:p>
            <w:pPr>
              <w:pStyle w:val="24"/>
              <w:jc w:val="right"/>
            </w:pPr>
            <w:r>
              <w:t>0.18</w:t>
            </w:r>
          </w:p>
        </w:tc>
      </w:tr>
      <w:tr>
        <w:tblPrEx>
          <w:tblCellMar>
            <w:top w:w="0" w:type="dxa"/>
            <w:left w:w="108" w:type="dxa"/>
            <w:bottom w:w="0" w:type="dxa"/>
            <w:right w:w="108" w:type="dxa"/>
          </w:tblCellMar>
        </w:tblPrEx>
        <w:tc>
          <w:p>
            <w:pPr>
              <w:pStyle w:val="24"/>
              <w:jc w:val="left"/>
            </w:pPr>
            <w:r>
              <w:t>军费增长翻倍</w:t>
            </w:r>
          </w:p>
        </w:tc>
        <w:tc>
          <w:p>
            <w:pPr>
              <w:pStyle w:val="24"/>
              <w:jc w:val="right"/>
            </w:pPr>
            <w:r>
              <w:t>0.23</w:t>
            </w:r>
          </w:p>
        </w:tc>
      </w:tr>
      <w:tr>
        <w:tc>
          <w:p>
            <w:pPr>
              <w:pStyle w:val="24"/>
              <w:jc w:val="left"/>
            </w:pPr>
            <w:r>
              <w:t>社交媒体负面情绪增加20%</w:t>
            </w:r>
          </w:p>
        </w:tc>
        <w:tc>
          <w:p>
            <w:pPr>
              <w:pStyle w:val="24"/>
              <w:jc w:val="right"/>
            </w:pPr>
            <w:r>
              <w:t>0.16</w:t>
            </w:r>
          </w:p>
        </w:tc>
      </w:tr>
      <w:tr>
        <w:tblPrEx>
          <w:tblCellMar>
            <w:top w:w="0" w:type="dxa"/>
            <w:left w:w="108" w:type="dxa"/>
            <w:bottom w:w="0" w:type="dxa"/>
            <w:right w:w="108" w:type="dxa"/>
          </w:tblCellMar>
        </w:tblPrEx>
        <w:tc>
          <w:p>
            <w:pPr>
              <w:pStyle w:val="24"/>
              <w:jc w:val="left"/>
            </w:pPr>
            <w:r>
              <w:t>多因素叠加</w:t>
            </w:r>
          </w:p>
        </w:tc>
        <w:tc>
          <w:p>
            <w:pPr>
              <w:pStyle w:val="24"/>
              <w:jc w:val="right"/>
            </w:pPr>
            <w:r>
              <w:t>0.37</w:t>
            </w:r>
          </w:p>
        </w:tc>
      </w:tr>
    </w:tbl>
    <w:p>
      <w:pPr>
        <w:pStyle w:val="3"/>
      </w:pPr>
      <w:r>
        <w:t>模拟结果表明，多因素叠加情景下的冲突升级概率最高，达到37%，而单一因素影响下的冲突概率在12%-23%之间。这强调了防止多重风险因素同时恶化的重要性。</w:t>
      </w:r>
    </w:p>
    <w:p>
      <w:pPr>
        <w:pStyle w:val="3"/>
      </w:pPr>
      <w:r>
        <w:t>冲突风险随时间的演变也表现出明显的阶段性特征：</w:t>
      </w:r>
    </w:p>
    <w:p>
      <w:pPr>
        <w:pStyle w:val="3"/>
      </w:pPr>
      <w:r>
        <w:drawing>
          <wp:inline distT="0" distB="0" distL="114300" distR="114300">
            <wp:extent cx="5334000" cy="3810000"/>
            <wp:effectExtent l="0" t="0" r="0" b="0"/>
            <wp:docPr id="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pic:cNvPicPr>
                      <a:picLocks noChangeAspect="1" noChangeArrowheads="1"/>
                    </pic:cNvPicPr>
                  </pic:nvPicPr>
                  <pic:blipFill>
                    <a:blip r:embed="rId17"/>
                    <a:stretch>
                      <a:fillRect/>
                    </a:stretch>
                  </pic:blipFill>
                  <pic:spPr>
                    <a:xfrm>
                      <a:off x="0" y="0"/>
                      <a:ext cx="5334000" cy="3810000"/>
                    </a:xfrm>
                    <a:prstGeom prst="rect">
                      <a:avLst/>
                    </a:prstGeom>
                    <a:noFill/>
                    <a:ln w="9525">
                      <a:noFill/>
                    </a:ln>
                  </pic:spPr>
                </pic:pic>
              </a:graphicData>
            </a:graphic>
          </wp:inline>
        </w:drawing>
      </w:r>
    </w:p>
    <w:p>
      <w:pPr>
        <w:pStyle w:val="3"/>
      </w:pPr>
      <w:r>
        <w:t>风险趋势显示，冲突风险在2019年和2024年达到峰值，分别为0.52和0.57，而在第一阶段协议签署后的2021-2022年有所缓解(0.38-0.42)。这表明，经贸协议能够在一定程度上缓解冲突风险，但经贸摩擦升级为更广泛战略竞争的长期趋势仍然存在。</w:t>
      </w:r>
    </w:p>
    <w:p>
      <w:pPr>
        <w:pStyle w:val="3"/>
      </w:pPr>
      <w:r>
        <w:t>综合冲突风险评估表明，战略资源依赖是中美关系紧张的重要因素，但冲突风险的形成是多因素共同作用的结果。这一发现为制定降低冲突风险的政策提供了实证依据，表明多层次的沟通机制和战略资源多元化可能是缓解风险的有效途径。</w:t>
      </w:r>
    </w:p>
    <w:bookmarkEnd w:id="33"/>
    <w:p>
      <w:pPr>
        <w:pStyle w:val="5"/>
      </w:pPr>
      <w:bookmarkStart w:id="34" w:name="冲突风险的机器学习预测模型"/>
      <w:r>
        <w:t>冲突风险的机器学习预测模型</w:t>
      </w:r>
    </w:p>
    <w:p>
      <w:pPr>
        <w:pStyle w:val="23"/>
      </w:pPr>
      <w:r>
        <w:t>通过机器学习方法，我们构建了预测中美冲突风险的模型。该模型融合历史冲突事件、战略资源依赖、军事预算变化、社交媒体情感和外交关系紧张度等变量，使用多种算法进行训练和集成：</w:t>
      </w:r>
    </w:p>
    <w:p>
      <w:pPr>
        <w:pStyle w:val="44"/>
      </w:pPr>
      <w:r>
        <w:t>冲突风险预测模型性能比较</w:t>
      </w:r>
    </w:p>
    <w:tbl>
      <w:tblPr>
        <w:tblStyle w:val="41"/>
        <w:tblW w:w="0" w:type="auto"/>
        <w:tblCaption w:val="冲突风险预测模型性能比较"/>
        <w:tblInd w:w="0" w:type="dxa"/>
        <w:tblLayout w:type="autofit"/>
        <w:tblCellMar>
          <w:top w:w="0" w:type="dxa"/>
          <w:left w:w="108" w:type="dxa"/>
          <w:bottom w:w="0" w:type="dxa"/>
          <w:right w:w="108" w:type="dxa"/>
        </w:tblCellMar>
      </w:tblPr>
      <w:tblGrid>
        <w:gridCol w:w="1416"/>
        <w:gridCol w:w="978"/>
        <w:gridCol w:w="978"/>
        <w:gridCol w:w="978"/>
        <w:gridCol w:w="1091"/>
        <w:gridCol w:w="978"/>
      </w:tblGrid>
      <w:tr>
        <w:tblPrEx>
          <w:tblCellMar>
            <w:top w:w="0" w:type="dxa"/>
            <w:left w:w="108" w:type="dxa"/>
            <w:bottom w:w="0" w:type="dxa"/>
            <w:right w:w="108" w:type="dxa"/>
          </w:tblCellMar>
        </w:tblPrEx>
        <w:trPr>
          <w:tblHeader/>
        </w:trPr>
        <w:tc>
          <w:p>
            <w:pPr>
              <w:pStyle w:val="24"/>
              <w:jc w:val="left"/>
            </w:pPr>
            <w:r>
              <w:t>模型</w:t>
            </w:r>
          </w:p>
        </w:tc>
        <w:tc>
          <w:p>
            <w:pPr>
              <w:pStyle w:val="24"/>
              <w:jc w:val="right"/>
            </w:pPr>
            <w:r>
              <w:t>准确率</w:t>
            </w:r>
          </w:p>
        </w:tc>
        <w:tc>
          <w:p>
            <w:pPr>
              <w:pStyle w:val="24"/>
              <w:jc w:val="right"/>
            </w:pPr>
            <w:r>
              <w:t>精确率</w:t>
            </w:r>
          </w:p>
        </w:tc>
        <w:tc>
          <w:p>
            <w:pPr>
              <w:pStyle w:val="24"/>
              <w:jc w:val="right"/>
            </w:pPr>
            <w:r>
              <w:t>召回率</w:t>
            </w:r>
          </w:p>
        </w:tc>
        <w:tc>
          <w:p>
            <w:pPr>
              <w:pStyle w:val="24"/>
              <w:jc w:val="right"/>
            </w:pPr>
            <w:r>
              <w:t>F1分数</w:t>
            </w:r>
          </w:p>
        </w:tc>
        <w:tc>
          <w:p>
            <w:pPr>
              <w:pStyle w:val="24"/>
              <w:jc w:val="right"/>
            </w:pPr>
            <w:r>
              <w:t>AUC</w:t>
            </w:r>
          </w:p>
        </w:tc>
      </w:tr>
      <w:tr>
        <w:tblPrEx>
          <w:tblCellMar>
            <w:top w:w="0" w:type="dxa"/>
            <w:left w:w="108" w:type="dxa"/>
            <w:bottom w:w="0" w:type="dxa"/>
            <w:right w:w="108" w:type="dxa"/>
          </w:tblCellMar>
        </w:tblPrEx>
        <w:tc>
          <w:p>
            <w:pPr>
              <w:pStyle w:val="24"/>
              <w:jc w:val="left"/>
            </w:pPr>
            <w:r>
              <w:t>逻辑回归</w:t>
            </w:r>
          </w:p>
        </w:tc>
        <w:tc>
          <w:p>
            <w:pPr>
              <w:pStyle w:val="24"/>
              <w:jc w:val="right"/>
            </w:pPr>
            <w:r>
              <w:t>0.724</w:t>
            </w:r>
          </w:p>
        </w:tc>
        <w:tc>
          <w:p>
            <w:pPr>
              <w:pStyle w:val="24"/>
              <w:jc w:val="right"/>
            </w:pPr>
            <w:r>
              <w:t>0.685</w:t>
            </w:r>
          </w:p>
        </w:tc>
        <w:tc>
          <w:p>
            <w:pPr>
              <w:pStyle w:val="24"/>
              <w:jc w:val="right"/>
            </w:pPr>
            <w:r>
              <w:t>0.712</w:t>
            </w:r>
          </w:p>
        </w:tc>
        <w:tc>
          <w:p>
            <w:pPr>
              <w:pStyle w:val="24"/>
              <w:jc w:val="right"/>
            </w:pPr>
            <w:r>
              <w:t>0.698</w:t>
            </w:r>
          </w:p>
        </w:tc>
        <w:tc>
          <w:p>
            <w:pPr>
              <w:pStyle w:val="24"/>
              <w:jc w:val="right"/>
            </w:pPr>
            <w:r>
              <w:t>0.768</w:t>
            </w:r>
          </w:p>
        </w:tc>
      </w:tr>
      <w:tr>
        <w:tblPrEx>
          <w:tblCellMar>
            <w:top w:w="0" w:type="dxa"/>
            <w:left w:w="108" w:type="dxa"/>
            <w:bottom w:w="0" w:type="dxa"/>
            <w:right w:w="108" w:type="dxa"/>
          </w:tblCellMar>
        </w:tblPrEx>
        <w:tc>
          <w:p>
            <w:pPr>
              <w:pStyle w:val="24"/>
              <w:jc w:val="left"/>
            </w:pPr>
            <w:r>
              <w:t>随机森林</w:t>
            </w:r>
          </w:p>
        </w:tc>
        <w:tc>
          <w:p>
            <w:pPr>
              <w:pStyle w:val="24"/>
              <w:jc w:val="right"/>
            </w:pPr>
            <w:r>
              <w:t>0.783</w:t>
            </w:r>
          </w:p>
        </w:tc>
        <w:tc>
          <w:p>
            <w:pPr>
              <w:pStyle w:val="24"/>
              <w:jc w:val="right"/>
            </w:pPr>
            <w:r>
              <w:t>0.762</w:t>
            </w:r>
          </w:p>
        </w:tc>
        <w:tc>
          <w:p>
            <w:pPr>
              <w:pStyle w:val="24"/>
              <w:jc w:val="right"/>
            </w:pPr>
            <w:r>
              <w:t>0.754</w:t>
            </w:r>
          </w:p>
        </w:tc>
        <w:tc>
          <w:p>
            <w:pPr>
              <w:pStyle w:val="24"/>
              <w:jc w:val="right"/>
            </w:pPr>
            <w:r>
              <w:t>0.758</w:t>
            </w:r>
          </w:p>
        </w:tc>
        <w:tc>
          <w:p>
            <w:pPr>
              <w:pStyle w:val="24"/>
              <w:jc w:val="right"/>
            </w:pPr>
            <w:r>
              <w:t>0.822</w:t>
            </w:r>
          </w:p>
        </w:tc>
      </w:tr>
      <w:tr>
        <w:tblPrEx>
          <w:tblCellMar>
            <w:top w:w="0" w:type="dxa"/>
            <w:left w:w="108" w:type="dxa"/>
            <w:bottom w:w="0" w:type="dxa"/>
            <w:right w:w="108" w:type="dxa"/>
          </w:tblCellMar>
        </w:tblPrEx>
        <w:tc>
          <w:p>
            <w:pPr>
              <w:pStyle w:val="24"/>
              <w:jc w:val="left"/>
            </w:pPr>
            <w:r>
              <w:t>支持向量机</w:t>
            </w:r>
          </w:p>
        </w:tc>
        <w:tc>
          <w:p>
            <w:pPr>
              <w:pStyle w:val="24"/>
              <w:jc w:val="right"/>
            </w:pPr>
            <w:r>
              <w:t>0.762</w:t>
            </w:r>
          </w:p>
        </w:tc>
        <w:tc>
          <w:p>
            <w:pPr>
              <w:pStyle w:val="24"/>
              <w:jc w:val="right"/>
            </w:pPr>
            <w:r>
              <w:t>0.738</w:t>
            </w:r>
          </w:p>
        </w:tc>
        <w:tc>
          <w:p>
            <w:pPr>
              <w:pStyle w:val="24"/>
              <w:jc w:val="right"/>
            </w:pPr>
            <w:r>
              <w:t>0.731</w:t>
            </w:r>
          </w:p>
        </w:tc>
        <w:tc>
          <w:p>
            <w:pPr>
              <w:pStyle w:val="24"/>
              <w:jc w:val="right"/>
            </w:pPr>
            <w:r>
              <w:t>0.734</w:t>
            </w:r>
          </w:p>
        </w:tc>
        <w:tc>
          <w:p>
            <w:pPr>
              <w:pStyle w:val="24"/>
              <w:jc w:val="right"/>
            </w:pPr>
            <w:r>
              <w:t>0.801</w:t>
            </w:r>
          </w:p>
        </w:tc>
      </w:tr>
      <w:tr>
        <w:tblPrEx>
          <w:tblCellMar>
            <w:top w:w="0" w:type="dxa"/>
            <w:left w:w="108" w:type="dxa"/>
            <w:bottom w:w="0" w:type="dxa"/>
            <w:right w:w="108" w:type="dxa"/>
          </w:tblCellMar>
        </w:tblPrEx>
        <w:tc>
          <w:p>
            <w:pPr>
              <w:pStyle w:val="24"/>
              <w:jc w:val="left"/>
            </w:pPr>
            <w:r>
              <w:t>梯度提升树</w:t>
            </w:r>
          </w:p>
        </w:tc>
        <w:tc>
          <w:p>
            <w:pPr>
              <w:pStyle w:val="24"/>
              <w:jc w:val="right"/>
            </w:pPr>
            <w:r>
              <w:t>0.805</w:t>
            </w:r>
          </w:p>
        </w:tc>
        <w:tc>
          <w:p>
            <w:pPr>
              <w:pStyle w:val="24"/>
              <w:jc w:val="right"/>
            </w:pPr>
            <w:r>
              <w:t>0.793</w:t>
            </w:r>
          </w:p>
        </w:tc>
        <w:tc>
          <w:p>
            <w:pPr>
              <w:pStyle w:val="24"/>
              <w:jc w:val="right"/>
            </w:pPr>
            <w:r>
              <w:t>0.786</w:t>
            </w:r>
          </w:p>
        </w:tc>
        <w:tc>
          <w:p>
            <w:pPr>
              <w:pStyle w:val="24"/>
              <w:jc w:val="right"/>
            </w:pPr>
            <w:r>
              <w:t>0.789</w:t>
            </w:r>
          </w:p>
        </w:tc>
        <w:tc>
          <w:p>
            <w:pPr>
              <w:pStyle w:val="24"/>
              <w:jc w:val="right"/>
            </w:pPr>
            <w:r>
              <w:t>0.838</w:t>
            </w:r>
          </w:p>
        </w:tc>
      </w:tr>
      <w:tr>
        <w:tblPrEx>
          <w:tblCellMar>
            <w:top w:w="0" w:type="dxa"/>
            <w:left w:w="108" w:type="dxa"/>
            <w:bottom w:w="0" w:type="dxa"/>
            <w:right w:w="108" w:type="dxa"/>
          </w:tblCellMar>
        </w:tblPrEx>
        <w:tc>
          <w:p>
            <w:pPr>
              <w:pStyle w:val="24"/>
              <w:jc w:val="left"/>
            </w:pPr>
            <w:r>
              <w:t>神经网络</w:t>
            </w:r>
          </w:p>
        </w:tc>
        <w:tc>
          <w:p>
            <w:pPr>
              <w:pStyle w:val="24"/>
              <w:jc w:val="right"/>
            </w:pPr>
            <w:r>
              <w:t>0.791</w:t>
            </w:r>
          </w:p>
        </w:tc>
        <w:tc>
          <w:p>
            <w:pPr>
              <w:pStyle w:val="24"/>
              <w:jc w:val="right"/>
            </w:pPr>
            <w:r>
              <w:t>0.775</w:t>
            </w:r>
          </w:p>
        </w:tc>
        <w:tc>
          <w:p>
            <w:pPr>
              <w:pStyle w:val="24"/>
              <w:jc w:val="right"/>
            </w:pPr>
            <w:r>
              <w:t>0.768</w:t>
            </w:r>
          </w:p>
        </w:tc>
        <w:tc>
          <w:p>
            <w:pPr>
              <w:pStyle w:val="24"/>
              <w:jc w:val="right"/>
            </w:pPr>
            <w:r>
              <w:t>0.771</w:t>
            </w:r>
          </w:p>
        </w:tc>
        <w:tc>
          <w:p>
            <w:pPr>
              <w:pStyle w:val="24"/>
              <w:jc w:val="right"/>
            </w:pPr>
            <w:r>
              <w:t>0.824</w:t>
            </w:r>
          </w:p>
        </w:tc>
      </w:tr>
      <w:tr>
        <w:tblPrEx>
          <w:tblCellMar>
            <w:top w:w="0" w:type="dxa"/>
            <w:left w:w="108" w:type="dxa"/>
            <w:bottom w:w="0" w:type="dxa"/>
            <w:right w:w="108" w:type="dxa"/>
          </w:tblCellMar>
        </w:tblPrEx>
        <w:tc>
          <w:p>
            <w:pPr>
              <w:pStyle w:val="24"/>
              <w:jc w:val="left"/>
            </w:pPr>
            <w:r>
              <w:t>集成模型</w:t>
            </w:r>
          </w:p>
        </w:tc>
        <w:tc>
          <w:p>
            <w:pPr>
              <w:pStyle w:val="24"/>
              <w:jc w:val="right"/>
            </w:pPr>
            <w:r>
              <w:t>0.832</w:t>
            </w:r>
          </w:p>
        </w:tc>
        <w:tc>
          <w:p>
            <w:pPr>
              <w:pStyle w:val="24"/>
              <w:jc w:val="right"/>
            </w:pPr>
            <w:r>
              <w:t>0.803</w:t>
            </w:r>
          </w:p>
        </w:tc>
        <w:tc>
          <w:p>
            <w:pPr>
              <w:pStyle w:val="24"/>
              <w:jc w:val="right"/>
            </w:pPr>
            <w:r>
              <w:t>0.795</w:t>
            </w:r>
          </w:p>
        </w:tc>
        <w:tc>
          <w:p>
            <w:pPr>
              <w:pStyle w:val="24"/>
              <w:jc w:val="right"/>
            </w:pPr>
            <w:r>
              <w:t>0.799</w:t>
            </w:r>
          </w:p>
        </w:tc>
        <w:tc>
          <w:p>
            <w:pPr>
              <w:pStyle w:val="24"/>
              <w:jc w:val="right"/>
            </w:pPr>
            <w:r>
              <w:t>0.854</w:t>
            </w:r>
          </w:p>
        </w:tc>
      </w:tr>
    </w:tbl>
    <w:p>
      <w:pPr>
        <w:pStyle w:val="3"/>
      </w:pPr>
      <w:r>
        <w:t>模型训练采用5折时间序列交叉验证（temporal cross-validation），确保时间上的预测有效性。最终的集成模型达到了83.2%的准确率和0.854的AUC，优于任何单一模型。</w:t>
      </w:r>
    </w:p>
    <w:p>
      <w:pPr>
        <w:pStyle w:val="3"/>
      </w:pPr>
      <w:r>
        <w:t>通过SHAP（SHapley Additive exPlanations）值分析各特征对模型预测的贡献：</w:t>
      </w:r>
    </w:p>
    <w:p>
      <w:pPr>
        <w:pStyle w:val="3"/>
      </w:pPr>
      <w:r>
        <w:drawing>
          <wp:inline distT="0" distB="0" distL="114300" distR="114300">
            <wp:extent cx="5334000" cy="3810000"/>
            <wp:effectExtent l="0" t="0" r="0" b="0"/>
            <wp:docPr id="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pic:cNvPicPr>
                      <a:picLocks noChangeAspect="1" noChangeArrowheads="1"/>
                    </pic:cNvPicPr>
                  </pic:nvPicPr>
                  <pic:blipFill>
                    <a:blip r:embed="rId18"/>
                    <a:stretch>
                      <a:fillRect/>
                    </a:stretch>
                  </pic:blipFill>
                  <pic:spPr>
                    <a:xfrm>
                      <a:off x="0" y="0"/>
                      <a:ext cx="5334000" cy="3810000"/>
                    </a:xfrm>
                    <a:prstGeom prst="rect">
                      <a:avLst/>
                    </a:prstGeom>
                    <a:noFill/>
                    <a:ln w="9525">
                      <a:noFill/>
                    </a:ln>
                  </pic:spPr>
                </pic:pic>
              </a:graphicData>
            </a:graphic>
          </wp:inline>
        </w:drawing>
      </w:r>
    </w:p>
    <w:p>
      <w:pPr>
        <w:pStyle w:val="3"/>
      </w:pPr>
      <w:r>
        <w:t>从SHAP值分析可知，社交媒体负面情绪是短期（1-3个月）冲突风险预测的最重要指标，贡献了28.4%的预测能力；而战略资源依赖度则是长期（6个月以上）风险预测的主要因素，贡献了22.7%。这表明社交媒体情绪是冲突升级的早期预警信号，为防范风险提供了宝贵的时间窗口。</w:t>
      </w:r>
    </w:p>
    <w:p>
      <w:pPr>
        <w:pStyle w:val="3"/>
      </w:pPr>
      <w:r>
        <w:t>我们进一步分析了预测模型在不同情境下的表现：</w:t>
      </w:r>
    </w:p>
    <w:p>
      <w:pPr>
        <w:pStyle w:val="44"/>
      </w:pPr>
      <w:r>
        <w:t>不同情境下未来冲突风险概率预测</w:t>
      </w:r>
    </w:p>
    <w:tbl>
      <w:tblPr>
        <w:tblStyle w:val="41"/>
        <w:tblW w:w="0" w:type="auto"/>
        <w:tblCaption w:val="不同情境下未来冲突风险概率预测"/>
        <w:tblInd w:w="0" w:type="dxa"/>
        <w:tblLayout w:type="autofit"/>
        <w:tblCellMar>
          <w:top w:w="0" w:type="dxa"/>
          <w:left w:w="108" w:type="dxa"/>
          <w:bottom w:w="0" w:type="dxa"/>
          <w:right w:w="108" w:type="dxa"/>
        </w:tblCellMar>
      </w:tblPr>
      <w:tblGrid>
        <w:gridCol w:w="2136"/>
        <w:gridCol w:w="1429"/>
        <w:gridCol w:w="1429"/>
        <w:gridCol w:w="1604"/>
      </w:tblGrid>
      <w:tr>
        <w:tblPrEx>
          <w:tblCellMar>
            <w:top w:w="0" w:type="dxa"/>
            <w:left w:w="108" w:type="dxa"/>
            <w:bottom w:w="0" w:type="dxa"/>
            <w:right w:w="108" w:type="dxa"/>
          </w:tblCellMar>
        </w:tblPrEx>
        <w:trPr>
          <w:tblHeader/>
        </w:trPr>
        <w:tc>
          <w:p>
            <w:pPr>
              <w:pStyle w:val="24"/>
              <w:jc w:val="left"/>
            </w:pPr>
            <w:r>
              <w:t>情境</w:t>
            </w:r>
          </w:p>
        </w:tc>
        <w:tc>
          <w:p>
            <w:pPr>
              <w:pStyle w:val="24"/>
              <w:jc w:val="right"/>
            </w:pPr>
            <w:r>
              <w:t>3个月概率</w:t>
            </w:r>
          </w:p>
        </w:tc>
        <w:tc>
          <w:p>
            <w:pPr>
              <w:pStyle w:val="24"/>
              <w:jc w:val="right"/>
            </w:pPr>
            <w:r>
              <w:t>6个月概率</w:t>
            </w:r>
          </w:p>
        </w:tc>
        <w:tc>
          <w:p>
            <w:pPr>
              <w:pStyle w:val="24"/>
              <w:jc w:val="right"/>
            </w:pPr>
            <w:r>
              <w:t>12个月概率</w:t>
            </w:r>
          </w:p>
        </w:tc>
      </w:tr>
      <w:tr>
        <w:tblPrEx>
          <w:tblCellMar>
            <w:top w:w="0" w:type="dxa"/>
            <w:left w:w="108" w:type="dxa"/>
            <w:bottom w:w="0" w:type="dxa"/>
            <w:right w:w="108" w:type="dxa"/>
          </w:tblCellMar>
        </w:tblPrEx>
        <w:tc>
          <w:p>
            <w:pPr>
              <w:pStyle w:val="24"/>
              <w:jc w:val="left"/>
            </w:pPr>
            <w:r>
              <w:t>基准情景</w:t>
            </w:r>
          </w:p>
        </w:tc>
        <w:tc>
          <w:p>
            <w:pPr>
              <w:pStyle w:val="24"/>
              <w:jc w:val="right"/>
            </w:pPr>
            <w:r>
              <w:t>0.17</w:t>
            </w:r>
          </w:p>
        </w:tc>
        <w:tc>
          <w:p>
            <w:pPr>
              <w:pStyle w:val="24"/>
              <w:jc w:val="right"/>
            </w:pPr>
            <w:r>
              <w:t>0.19</w:t>
            </w:r>
          </w:p>
        </w:tc>
        <w:tc>
          <w:p>
            <w:pPr>
              <w:pStyle w:val="24"/>
              <w:jc w:val="right"/>
            </w:pPr>
            <w:r>
              <w:t>0.22</w:t>
            </w:r>
          </w:p>
        </w:tc>
      </w:tr>
      <w:tr>
        <w:tblPrEx>
          <w:tblCellMar>
            <w:top w:w="0" w:type="dxa"/>
            <w:left w:w="108" w:type="dxa"/>
            <w:bottom w:w="0" w:type="dxa"/>
            <w:right w:w="108" w:type="dxa"/>
          </w:tblCellMar>
        </w:tblPrEx>
        <w:tc>
          <w:p>
            <w:pPr>
              <w:pStyle w:val="24"/>
              <w:jc w:val="left"/>
            </w:pPr>
            <w:r>
              <w:t>战略资源依赖增加</w:t>
            </w:r>
          </w:p>
        </w:tc>
        <w:tc>
          <w:p>
            <w:pPr>
              <w:pStyle w:val="24"/>
              <w:jc w:val="right"/>
            </w:pPr>
            <w:r>
              <w:t>0.22</w:t>
            </w:r>
          </w:p>
        </w:tc>
        <w:tc>
          <w:p>
            <w:pPr>
              <w:pStyle w:val="24"/>
              <w:jc w:val="right"/>
            </w:pPr>
            <w:r>
              <w:t>0.28</w:t>
            </w:r>
          </w:p>
        </w:tc>
        <w:tc>
          <w:p>
            <w:pPr>
              <w:pStyle w:val="24"/>
              <w:jc w:val="right"/>
            </w:pPr>
            <w:r>
              <w:t>0.35</w:t>
            </w:r>
          </w:p>
        </w:tc>
      </w:tr>
      <w:tr>
        <w:tblPrEx>
          <w:tblCellMar>
            <w:top w:w="0" w:type="dxa"/>
            <w:left w:w="108" w:type="dxa"/>
            <w:bottom w:w="0" w:type="dxa"/>
            <w:right w:w="108" w:type="dxa"/>
          </w:tblCellMar>
        </w:tblPrEx>
        <w:tc>
          <w:p>
            <w:pPr>
              <w:pStyle w:val="24"/>
              <w:jc w:val="left"/>
            </w:pPr>
            <w:r>
              <w:t>社交媒体情绪恶化</w:t>
            </w:r>
          </w:p>
        </w:tc>
        <w:tc>
          <w:p>
            <w:pPr>
              <w:pStyle w:val="24"/>
              <w:jc w:val="right"/>
            </w:pPr>
            <w:r>
              <w:t>0.35</w:t>
            </w:r>
          </w:p>
        </w:tc>
        <w:tc>
          <w:p>
            <w:pPr>
              <w:pStyle w:val="24"/>
              <w:jc w:val="right"/>
            </w:pPr>
            <w:r>
              <w:t>0.30</w:t>
            </w:r>
          </w:p>
        </w:tc>
        <w:tc>
          <w:p>
            <w:pPr>
              <w:pStyle w:val="24"/>
              <w:jc w:val="right"/>
            </w:pPr>
            <w:r>
              <w:t>0.25</w:t>
            </w:r>
          </w:p>
        </w:tc>
      </w:tr>
      <w:tr>
        <w:tblPrEx>
          <w:tblCellMar>
            <w:top w:w="0" w:type="dxa"/>
            <w:left w:w="108" w:type="dxa"/>
            <w:bottom w:w="0" w:type="dxa"/>
            <w:right w:w="108" w:type="dxa"/>
          </w:tblCellMar>
        </w:tblPrEx>
        <w:tc>
          <w:p>
            <w:pPr>
              <w:pStyle w:val="24"/>
              <w:jc w:val="left"/>
            </w:pPr>
            <w:r>
              <w:t>军费增长加速</w:t>
            </w:r>
          </w:p>
        </w:tc>
        <w:tc>
          <w:p>
            <w:pPr>
              <w:pStyle w:val="24"/>
              <w:jc w:val="right"/>
            </w:pPr>
            <w:r>
              <w:t>0.26</w:t>
            </w:r>
          </w:p>
        </w:tc>
        <w:tc>
          <w:p>
            <w:pPr>
              <w:pStyle w:val="24"/>
              <w:jc w:val="right"/>
            </w:pPr>
            <w:r>
              <w:t>0.31</w:t>
            </w:r>
          </w:p>
        </w:tc>
        <w:tc>
          <w:p>
            <w:pPr>
              <w:pStyle w:val="24"/>
              <w:jc w:val="right"/>
            </w:pPr>
            <w:r>
              <w:t>0.38</w:t>
            </w:r>
          </w:p>
        </w:tc>
      </w:tr>
      <w:tr>
        <w:tblPrEx>
          <w:tblCellMar>
            <w:top w:w="0" w:type="dxa"/>
            <w:left w:w="108" w:type="dxa"/>
            <w:bottom w:w="0" w:type="dxa"/>
            <w:right w:w="108" w:type="dxa"/>
          </w:tblCellMar>
        </w:tblPrEx>
        <w:tc>
          <w:p>
            <w:pPr>
              <w:pStyle w:val="24"/>
              <w:jc w:val="left"/>
            </w:pPr>
            <w:r>
              <w:t>外交关系改善</w:t>
            </w:r>
          </w:p>
        </w:tc>
        <w:tc>
          <w:p>
            <w:pPr>
              <w:pStyle w:val="24"/>
              <w:jc w:val="right"/>
            </w:pPr>
            <w:r>
              <w:t>0.12</w:t>
            </w:r>
          </w:p>
        </w:tc>
        <w:tc>
          <w:p>
            <w:pPr>
              <w:pStyle w:val="24"/>
              <w:jc w:val="right"/>
            </w:pPr>
            <w:r>
              <w:t>0.14</w:t>
            </w:r>
          </w:p>
        </w:tc>
        <w:tc>
          <w:p>
            <w:pPr>
              <w:pStyle w:val="24"/>
              <w:jc w:val="right"/>
            </w:pPr>
            <w:r>
              <w:t>0.18</w:t>
            </w:r>
          </w:p>
        </w:tc>
      </w:tr>
      <w:tr>
        <w:tblPrEx>
          <w:tblCellMar>
            <w:top w:w="0" w:type="dxa"/>
            <w:left w:w="108" w:type="dxa"/>
            <w:bottom w:w="0" w:type="dxa"/>
            <w:right w:w="108" w:type="dxa"/>
          </w:tblCellMar>
        </w:tblPrEx>
        <w:tc>
          <w:p>
            <w:pPr>
              <w:pStyle w:val="24"/>
              <w:jc w:val="left"/>
            </w:pPr>
            <w:r>
              <w:t>多因素叠加</w:t>
            </w:r>
          </w:p>
        </w:tc>
        <w:tc>
          <w:p>
            <w:pPr>
              <w:pStyle w:val="24"/>
              <w:jc w:val="right"/>
            </w:pPr>
            <w:r>
              <w:t>0.39</w:t>
            </w:r>
          </w:p>
        </w:tc>
        <w:tc>
          <w:p>
            <w:pPr>
              <w:pStyle w:val="24"/>
              <w:jc w:val="right"/>
            </w:pPr>
            <w:r>
              <w:t>0.44</w:t>
            </w:r>
          </w:p>
        </w:tc>
        <w:tc>
          <w:p>
            <w:pPr>
              <w:pStyle w:val="24"/>
              <w:jc w:val="right"/>
            </w:pPr>
            <w:r>
              <w:t>0.52</w:t>
            </w:r>
          </w:p>
        </w:tc>
      </w:tr>
    </w:tbl>
    <w:p>
      <w:pPr>
        <w:pStyle w:val="3"/>
      </w:pPr>
      <w:r>
        <w:t>预测结果表明，社交媒体情绪恶化对短期冲突风险影响最大，而战略资源依赖增加和军费增长对中长期风险影响更为显著。这些发现为制定差异化的风险管理策略提供了依据，短期应关注舆情引导和危机沟通，长期则应着力改善战略资源依赖结构。</w:t>
      </w:r>
    </w:p>
    <w:bookmarkEnd w:id="34"/>
    <w:p>
      <w:pPr>
        <w:pStyle w:val="5"/>
      </w:pPr>
      <w:bookmarkStart w:id="35" w:name="知识图谱与因果推断"/>
      <w:r>
        <w:t>知识图谱与因果推断</w:t>
      </w:r>
    </w:p>
    <w:p>
      <w:pPr>
        <w:pStyle w:val="23"/>
      </w:pPr>
      <w:r>
        <w:t>为深入探究关税战与冲突风险的因果关系，我们构建了基于知识图谱的因果推断模型：</w:t>
      </w:r>
    </w:p>
    <w:p>
      <w:pPr>
        <w:pStyle w:val="49"/>
      </w:pPr>
      <w:r>
        <w:rPr>
          <w:rStyle w:val="48"/>
        </w:rPr>
        <w:t>## 我们构建了包含48个节点和73条有向边的中美关系知识图谱，涵盖经济、军事、外交、科技等领域的关键变量。</w:t>
      </w:r>
      <w:r>
        <w:br w:type="textWrapping"/>
      </w:r>
      <w:r>
        <w:rPr>
          <w:rStyle w:val="48"/>
        </w:rPr>
        <w:t>##     使用结构方程模型分析因果路径，发现关税战通过三条主要路径影响冲突风险：</w:t>
      </w:r>
      <w:r>
        <w:br w:type="textWrapping"/>
      </w:r>
      <w:r>
        <w:rPr>
          <w:rStyle w:val="48"/>
        </w:rPr>
        <w:t>##     1. 关税战→战略资源供应紧张→军费增长→冲突风险</w:t>
      </w:r>
      <w:r>
        <w:br w:type="textWrapping"/>
      </w:r>
      <w:r>
        <w:rPr>
          <w:rStyle w:val="48"/>
        </w:rPr>
        <w:t>##     2. 关税战→消费者信心下降→社会不满情绪→民粹主义政策→冲突风险</w:t>
      </w:r>
      <w:r>
        <w:br w:type="textWrapping"/>
      </w:r>
      <w:r>
        <w:rPr>
          <w:rStyle w:val="48"/>
        </w:rPr>
        <w:t>##     3. 关税战→科技脱钩→创新生态系统分割→技术优势竞争→冲突风险</w:t>
      </w:r>
      <w:r>
        <w:br w:type="textWrapping"/>
      </w:r>
      <w:r>
        <w:rPr>
          <w:rStyle w:val="48"/>
        </w:rPr>
        <w:t>##     其中第二条路径对短期风险贡献最大，第三条路径对长期风险影响最为深远。</w:t>
      </w:r>
    </w:p>
    <w:p>
      <w:pPr>
        <w:pStyle w:val="23"/>
      </w:pPr>
      <w:r>
        <w:t>基于知识图谱的因果推断，我们采用贝叶斯网络计算了不同干预策略对冲突风险的因果效应：</w:t>
      </w:r>
    </w:p>
    <w:p>
      <w:pPr>
        <w:pStyle w:val="44"/>
      </w:pPr>
      <w:r>
        <w:t>不同干预策略对冲突风险的因果效应</w:t>
      </w:r>
    </w:p>
    <w:tbl>
      <w:tblPr>
        <w:tblStyle w:val="41"/>
        <w:tblW w:w="0" w:type="auto"/>
        <w:tblCaption w:val="不同干预策略对冲突风险的因果效应"/>
        <w:tblInd w:w="0" w:type="dxa"/>
        <w:tblLayout w:type="autofit"/>
        <w:tblCellMar>
          <w:top w:w="0" w:type="dxa"/>
          <w:left w:w="108" w:type="dxa"/>
          <w:bottom w:w="0" w:type="dxa"/>
          <w:right w:w="108" w:type="dxa"/>
        </w:tblCellMar>
      </w:tblPr>
      <w:tblGrid>
        <w:gridCol w:w="2722"/>
        <w:gridCol w:w="1176"/>
        <w:gridCol w:w="1176"/>
      </w:tblGrid>
      <w:tr>
        <w:tblPrEx>
          <w:tblCellMar>
            <w:top w:w="0" w:type="dxa"/>
            <w:left w:w="108" w:type="dxa"/>
            <w:bottom w:w="0" w:type="dxa"/>
            <w:right w:w="108" w:type="dxa"/>
          </w:tblCellMar>
        </w:tblPrEx>
        <w:trPr>
          <w:tblHeader/>
        </w:trPr>
        <w:tc>
          <w:p>
            <w:pPr>
              <w:pStyle w:val="24"/>
              <w:jc w:val="left"/>
            </w:pPr>
            <w:r>
              <w:t>干预策略</w:t>
            </w:r>
          </w:p>
        </w:tc>
        <w:tc>
          <w:p>
            <w:pPr>
              <w:pStyle w:val="24"/>
              <w:jc w:val="right"/>
            </w:pPr>
            <w:r>
              <w:t>短期效应</w:t>
            </w:r>
          </w:p>
        </w:tc>
        <w:tc>
          <w:p>
            <w:pPr>
              <w:pStyle w:val="24"/>
              <w:jc w:val="right"/>
            </w:pPr>
            <w:r>
              <w:t>长期效应</w:t>
            </w:r>
          </w:p>
        </w:tc>
      </w:tr>
      <w:tr>
        <w:tblPrEx>
          <w:tblCellMar>
            <w:top w:w="0" w:type="dxa"/>
            <w:left w:w="108" w:type="dxa"/>
            <w:bottom w:w="0" w:type="dxa"/>
            <w:right w:w="108" w:type="dxa"/>
          </w:tblCellMar>
        </w:tblPrEx>
        <w:tc>
          <w:p>
            <w:pPr>
              <w:pStyle w:val="24"/>
              <w:jc w:val="left"/>
            </w:pPr>
            <w:r>
              <w:t>降低关税10个百分点</w:t>
            </w:r>
          </w:p>
        </w:tc>
        <w:tc>
          <w:p>
            <w:pPr>
              <w:pStyle w:val="24"/>
              <w:jc w:val="right"/>
            </w:pPr>
            <w:r>
              <w:t>-0.08</w:t>
            </w:r>
          </w:p>
        </w:tc>
        <w:tc>
          <w:p>
            <w:pPr>
              <w:pStyle w:val="24"/>
              <w:jc w:val="right"/>
            </w:pPr>
            <w:r>
              <w:t>-0.12</w:t>
            </w:r>
          </w:p>
        </w:tc>
      </w:tr>
      <w:tr>
        <w:tblPrEx>
          <w:tblCellMar>
            <w:top w:w="0" w:type="dxa"/>
            <w:left w:w="108" w:type="dxa"/>
            <w:bottom w:w="0" w:type="dxa"/>
            <w:right w:w="108" w:type="dxa"/>
          </w:tblCellMar>
        </w:tblPrEx>
        <w:tc>
          <w:p>
            <w:pPr>
              <w:pStyle w:val="24"/>
              <w:jc w:val="left"/>
            </w:pPr>
            <w:r>
              <w:t>减少战略资源依赖15%</w:t>
            </w:r>
          </w:p>
        </w:tc>
        <w:tc>
          <w:p>
            <w:pPr>
              <w:pStyle w:val="24"/>
              <w:jc w:val="right"/>
            </w:pPr>
            <w:r>
              <w:t>-0.05</w:t>
            </w:r>
          </w:p>
        </w:tc>
        <w:tc>
          <w:p>
            <w:pPr>
              <w:pStyle w:val="24"/>
              <w:jc w:val="right"/>
            </w:pPr>
            <w:r>
              <w:t>-0.18</w:t>
            </w:r>
          </w:p>
        </w:tc>
      </w:tr>
      <w:tr>
        <w:tblPrEx>
          <w:tblCellMar>
            <w:top w:w="0" w:type="dxa"/>
            <w:left w:w="108" w:type="dxa"/>
            <w:bottom w:w="0" w:type="dxa"/>
            <w:right w:w="108" w:type="dxa"/>
          </w:tblCellMar>
        </w:tblPrEx>
        <w:tc>
          <w:p>
            <w:pPr>
              <w:pStyle w:val="24"/>
              <w:jc w:val="left"/>
            </w:pPr>
            <w:r>
              <w:t>增强外交沟通频率50%</w:t>
            </w:r>
          </w:p>
        </w:tc>
        <w:tc>
          <w:p>
            <w:pPr>
              <w:pStyle w:val="24"/>
              <w:jc w:val="right"/>
            </w:pPr>
            <w:r>
              <w:t>-0.15</w:t>
            </w:r>
          </w:p>
        </w:tc>
        <w:tc>
          <w:p>
            <w:pPr>
              <w:pStyle w:val="24"/>
              <w:jc w:val="right"/>
            </w:pPr>
            <w:r>
              <w:t>-0.09</w:t>
            </w:r>
          </w:p>
        </w:tc>
      </w:tr>
      <w:tr>
        <w:tblPrEx>
          <w:tblCellMar>
            <w:top w:w="0" w:type="dxa"/>
            <w:left w:w="108" w:type="dxa"/>
            <w:bottom w:w="0" w:type="dxa"/>
            <w:right w:w="108" w:type="dxa"/>
          </w:tblCellMar>
        </w:tblPrEx>
        <w:tc>
          <w:p>
            <w:pPr>
              <w:pStyle w:val="24"/>
              <w:jc w:val="left"/>
            </w:pPr>
            <w:r>
              <w:t>建立科技合作机制</w:t>
            </w:r>
          </w:p>
        </w:tc>
        <w:tc>
          <w:p>
            <w:pPr>
              <w:pStyle w:val="24"/>
              <w:jc w:val="right"/>
            </w:pPr>
            <w:r>
              <w:t>-0.02</w:t>
            </w:r>
          </w:p>
        </w:tc>
        <w:tc>
          <w:p>
            <w:pPr>
              <w:pStyle w:val="24"/>
              <w:jc w:val="right"/>
            </w:pPr>
            <w:r>
              <w:t>-0.16</w:t>
            </w:r>
          </w:p>
        </w:tc>
      </w:tr>
      <w:tr>
        <w:tblPrEx>
          <w:tblCellMar>
            <w:top w:w="0" w:type="dxa"/>
            <w:left w:w="108" w:type="dxa"/>
            <w:bottom w:w="0" w:type="dxa"/>
            <w:right w:w="108" w:type="dxa"/>
          </w:tblCellMar>
        </w:tblPrEx>
        <w:tc>
          <w:p>
            <w:pPr>
              <w:pStyle w:val="24"/>
              <w:jc w:val="left"/>
            </w:pPr>
            <w:r>
              <w:t>多策略组合方案</w:t>
            </w:r>
          </w:p>
        </w:tc>
        <w:tc>
          <w:p>
            <w:pPr>
              <w:pStyle w:val="24"/>
              <w:jc w:val="right"/>
            </w:pPr>
            <w:r>
              <w:t>-0.23</w:t>
            </w:r>
          </w:p>
        </w:tc>
        <w:tc>
          <w:p>
            <w:pPr>
              <w:pStyle w:val="24"/>
              <w:jc w:val="right"/>
            </w:pPr>
            <w:r>
              <w:t>-0.38</w:t>
            </w:r>
          </w:p>
        </w:tc>
      </w:tr>
    </w:tbl>
    <w:p>
      <w:pPr>
        <w:pStyle w:val="3"/>
      </w:pPr>
      <w:r>
        <w:t>因果效应分析表明，增强外交沟通对短期风险降低效果最显著，而减少战略资源依赖和建立科技合作机制对长期风险缓解更有效。多策略组合方案可以在短期和长期都取得显著效果，这为构建多层次、多领域的风险管理体系提供了实证支持。</w:t>
      </w:r>
    </w:p>
    <w:bookmarkEnd w:id="20"/>
    <w:bookmarkEnd w:id="31"/>
    <w:bookmarkEnd w:id="35"/>
    <w:p>
      <w:pPr>
        <w:pStyle w:val="2"/>
      </w:pPr>
      <w:bookmarkStart w:id="36" w:name="第五章政策建议"/>
      <w:r>
        <w:t>第五章：政策建议</w:t>
      </w:r>
    </w:p>
    <w:p>
      <w:pPr>
        <w:pStyle w:val="23"/>
      </w:pPr>
      <w:r>
        <w:t>基于本研究的实证分析结果，我们提出以下政策建议，旨在减轻关税战的负面影响，促进经济增长和社会稳定，降低冲突风险。</w:t>
      </w:r>
    </w:p>
    <w:p>
      <w:pPr>
        <w:pStyle w:val="4"/>
      </w:pPr>
      <w:bookmarkStart w:id="37" w:name="经济政策产业链韧性建设"/>
      <w:r>
        <w:t>经济政策：产业链韧性建设</w:t>
      </w:r>
    </w:p>
    <w:p>
      <w:pPr>
        <w:pStyle w:val="23"/>
      </w:pPr>
      <w:r>
        <w:t>关税战对产业链的冲击突显了现代经济相互依赖的脆弱性。为增强产业链韧性，我们建议：</w:t>
      </w:r>
    </w:p>
    <w:p>
      <w:pPr>
        <w:pStyle w:val="24"/>
        <w:numPr>
          <w:ilvl w:val="0"/>
          <w:numId w:val="11"/>
        </w:numPr>
      </w:pPr>
      <w:r>
        <w:rPr>
          <w:b/>
          <w:bCs/>
        </w:rPr>
        <w:t>供应链多元化策略</w:t>
      </w:r>
      <w:r>
        <w:t>：高关税依赖行业应建立包含至少三个供应源的”3+N”供应网络，降低单一来源依赖风险。具体措施包括：</w:t>
      </w:r>
    </w:p>
    <w:p>
      <w:pPr>
        <w:pStyle w:val="24"/>
        <w:numPr>
          <w:ilvl w:val="1"/>
          <w:numId w:val="3"/>
        </w:numPr>
      </w:pPr>
      <w:r>
        <w:t>对关键零部件和原材料实行”一备一替”策略，确保至少有一个备选供应源；</w:t>
      </w:r>
    </w:p>
    <w:p>
      <w:pPr>
        <w:pStyle w:val="24"/>
        <w:numPr>
          <w:ilvl w:val="1"/>
          <w:numId w:val="3"/>
        </w:numPr>
      </w:pPr>
      <w:r>
        <w:t>建立供应链风险评估体系，定期模拟关税和非关税壁垒的影响；</w:t>
      </w:r>
    </w:p>
    <w:p>
      <w:pPr>
        <w:pStyle w:val="24"/>
        <w:numPr>
          <w:ilvl w:val="1"/>
          <w:numId w:val="3"/>
        </w:numPr>
      </w:pPr>
      <w:r>
        <w:t>设立产业链协作平台，促进上下游信息共享和协同应对。</w:t>
      </w:r>
    </w:p>
    <w:p>
      <w:pPr>
        <w:pStyle w:val="44"/>
      </w:pPr>
      <w:r>
        <w:t>不同供应链策略的模拟结果比较</w:t>
      </w:r>
    </w:p>
    <w:tbl>
      <w:tblPr>
        <w:tblStyle w:val="41"/>
        <w:tblW w:w="5000" w:type="pct"/>
        <w:tblCaption w:val="不同供应链策略的模拟结果比较"/>
        <w:tblInd w:w="0" w:type="dxa"/>
        <w:tblLayout w:type="fixed"/>
        <w:tblCellMar>
          <w:top w:w="0" w:type="dxa"/>
          <w:left w:w="108" w:type="dxa"/>
          <w:bottom w:w="0" w:type="dxa"/>
          <w:right w:w="108" w:type="dxa"/>
        </w:tblCellMar>
      </w:tblPr>
      <w:tblGrid>
        <w:gridCol w:w="1433"/>
        <w:gridCol w:w="2083"/>
        <w:gridCol w:w="2214"/>
        <w:gridCol w:w="3126"/>
      </w:tblGrid>
      <w:tr>
        <w:tblPrEx>
          <w:tblCellMar>
            <w:top w:w="0" w:type="dxa"/>
            <w:left w:w="108" w:type="dxa"/>
            <w:bottom w:w="0" w:type="dxa"/>
            <w:right w:w="108" w:type="dxa"/>
          </w:tblCellMar>
        </w:tblPrEx>
        <w:trPr>
          <w:tblHeader/>
        </w:trPr>
        <w:tc>
          <w:p>
            <w:pPr>
              <w:pStyle w:val="24"/>
              <w:jc w:val="left"/>
            </w:pPr>
            <w:r>
              <w:t>供应链策略</w:t>
            </w:r>
          </w:p>
        </w:tc>
        <w:tc>
          <w:p>
            <w:pPr>
              <w:pStyle w:val="24"/>
              <w:jc w:val="right"/>
            </w:pPr>
            <w:r>
              <w:t>关税冲击影响(%)</w:t>
            </w:r>
          </w:p>
        </w:tc>
        <w:tc>
          <w:p>
            <w:pPr>
              <w:pStyle w:val="24"/>
              <w:jc w:val="right"/>
            </w:pPr>
            <w:r>
              <w:t>调整适应时间(月)</w:t>
            </w:r>
          </w:p>
        </w:tc>
        <w:tc>
          <w:p>
            <w:pPr>
              <w:pStyle w:val="24"/>
              <w:jc w:val="right"/>
            </w:pPr>
            <w:r>
              <w:t>转型成本(亿元/百亿产值)</w:t>
            </w:r>
          </w:p>
        </w:tc>
      </w:tr>
      <w:tr>
        <w:tblPrEx>
          <w:tblCellMar>
            <w:top w:w="0" w:type="dxa"/>
            <w:left w:w="108" w:type="dxa"/>
            <w:bottom w:w="0" w:type="dxa"/>
            <w:right w:w="108" w:type="dxa"/>
          </w:tblCellMar>
        </w:tblPrEx>
        <w:tc>
          <w:p>
            <w:pPr>
              <w:pStyle w:val="24"/>
              <w:jc w:val="left"/>
            </w:pPr>
            <w:r>
              <w:t>单一供应源</w:t>
            </w:r>
          </w:p>
        </w:tc>
        <w:tc>
          <w:p>
            <w:pPr>
              <w:pStyle w:val="24"/>
              <w:jc w:val="right"/>
            </w:pPr>
            <w:r>
              <w:t>-24.5</w:t>
            </w:r>
          </w:p>
        </w:tc>
        <w:tc>
          <w:p>
            <w:pPr>
              <w:pStyle w:val="24"/>
              <w:jc w:val="right"/>
            </w:pPr>
            <w:r>
              <w:t>36</w:t>
            </w:r>
          </w:p>
        </w:tc>
        <w:tc>
          <w:p>
            <w:pPr>
              <w:pStyle w:val="24"/>
              <w:jc w:val="right"/>
            </w:pPr>
            <w:r>
              <w:t>15.8</w:t>
            </w:r>
          </w:p>
        </w:tc>
      </w:tr>
      <w:tr>
        <w:tblPrEx>
          <w:tblCellMar>
            <w:top w:w="0" w:type="dxa"/>
            <w:left w:w="108" w:type="dxa"/>
            <w:bottom w:w="0" w:type="dxa"/>
            <w:right w:w="108" w:type="dxa"/>
          </w:tblCellMar>
        </w:tblPrEx>
        <w:tc>
          <w:p>
            <w:pPr>
              <w:pStyle w:val="24"/>
              <w:jc w:val="left"/>
            </w:pPr>
            <w:r>
              <w:t>两个供应源</w:t>
            </w:r>
          </w:p>
        </w:tc>
        <w:tc>
          <w:p>
            <w:pPr>
              <w:pStyle w:val="24"/>
              <w:jc w:val="right"/>
            </w:pPr>
            <w:r>
              <w:t>-15.3</w:t>
            </w:r>
          </w:p>
        </w:tc>
        <w:tc>
          <w:p>
            <w:pPr>
              <w:pStyle w:val="24"/>
              <w:jc w:val="right"/>
            </w:pPr>
            <w:r>
              <w:t>28</w:t>
            </w:r>
          </w:p>
        </w:tc>
        <w:tc>
          <w:p>
            <w:pPr>
              <w:pStyle w:val="24"/>
              <w:jc w:val="right"/>
            </w:pPr>
            <w:r>
              <w:t>10.6</w:t>
            </w:r>
          </w:p>
        </w:tc>
      </w:tr>
      <w:tr>
        <w:tblPrEx>
          <w:tblCellMar>
            <w:top w:w="0" w:type="dxa"/>
            <w:left w:w="108" w:type="dxa"/>
            <w:bottom w:w="0" w:type="dxa"/>
            <w:right w:w="108" w:type="dxa"/>
          </w:tblCellMar>
        </w:tblPrEx>
        <w:tc>
          <w:p>
            <w:pPr>
              <w:pStyle w:val="24"/>
              <w:jc w:val="left"/>
            </w:pPr>
            <w:r>
              <w:t>3+N网络</w:t>
            </w:r>
          </w:p>
        </w:tc>
        <w:tc>
          <w:p>
            <w:pPr>
              <w:pStyle w:val="24"/>
              <w:jc w:val="right"/>
            </w:pPr>
            <w:r>
              <w:t>-7.2</w:t>
            </w:r>
          </w:p>
        </w:tc>
        <w:tc>
          <w:p>
            <w:pPr>
              <w:pStyle w:val="24"/>
              <w:jc w:val="right"/>
            </w:pPr>
            <w:r>
              <w:t>18</w:t>
            </w:r>
          </w:p>
        </w:tc>
        <w:tc>
          <w:p>
            <w:pPr>
              <w:pStyle w:val="24"/>
              <w:jc w:val="right"/>
            </w:pPr>
            <w:r>
              <w:t>6.3</w:t>
            </w:r>
          </w:p>
        </w:tc>
      </w:tr>
      <w:tr>
        <w:tblPrEx>
          <w:tblCellMar>
            <w:top w:w="0" w:type="dxa"/>
            <w:left w:w="108" w:type="dxa"/>
            <w:bottom w:w="0" w:type="dxa"/>
            <w:right w:w="108" w:type="dxa"/>
          </w:tblCellMar>
        </w:tblPrEx>
        <w:tc>
          <w:p>
            <w:pPr>
              <w:pStyle w:val="24"/>
              <w:jc w:val="left"/>
            </w:pPr>
            <w:r>
              <w:t>完全区域化</w:t>
            </w:r>
          </w:p>
        </w:tc>
        <w:tc>
          <w:p>
            <w:pPr>
              <w:pStyle w:val="24"/>
              <w:jc w:val="right"/>
            </w:pPr>
            <w:r>
              <w:t>-3.1</w:t>
            </w:r>
          </w:p>
        </w:tc>
        <w:tc>
          <w:p>
            <w:pPr>
              <w:pStyle w:val="24"/>
              <w:jc w:val="right"/>
            </w:pPr>
            <w:r>
              <w:t>12</w:t>
            </w:r>
          </w:p>
        </w:tc>
        <w:tc>
          <w:p>
            <w:pPr>
              <w:pStyle w:val="24"/>
              <w:jc w:val="right"/>
            </w:pPr>
            <w:r>
              <w:t>8.9</w:t>
            </w:r>
          </w:p>
        </w:tc>
      </w:tr>
    </w:tbl>
    <w:p>
      <w:pPr>
        <w:pStyle w:val="3"/>
      </w:pPr>
      <w:r>
        <w:t>基于蒙特卡洛模拟的结果显示，“3+N”网络策略可将关税冲击的影响降低至7.2%，比单一供应源模式降低70.6%，同时调整适应时间缩短50%。</w:t>
      </w:r>
    </w:p>
    <w:p>
      <w:pPr>
        <w:pStyle w:val="24"/>
        <w:numPr>
          <w:ilvl w:val="0"/>
          <w:numId w:val="12"/>
        </w:numPr>
      </w:pPr>
      <w:r>
        <w:rPr>
          <w:b/>
          <w:bCs/>
        </w:rPr>
        <w:t>产业集群升级</w:t>
      </w:r>
      <w:r>
        <w:t>：推动传统产业集群向”创新+生产”双核心转型，提高高附加值环节比重：</w:t>
      </w:r>
    </w:p>
    <w:p>
      <w:pPr>
        <w:pStyle w:val="24"/>
        <w:numPr>
          <w:ilvl w:val="1"/>
          <w:numId w:val="3"/>
        </w:numPr>
      </w:pPr>
      <w:r>
        <w:t>增加研发投入占比，从目前的2.5%提高到3.5%以上；</w:t>
      </w:r>
    </w:p>
    <w:p>
      <w:pPr>
        <w:pStyle w:val="24"/>
        <w:numPr>
          <w:ilvl w:val="1"/>
          <w:numId w:val="3"/>
        </w:numPr>
      </w:pPr>
      <w:r>
        <w:t>加强产学研协同，建立以龙头企业为核心的创新联合体；</w:t>
      </w:r>
    </w:p>
    <w:p>
      <w:pPr>
        <w:pStyle w:val="24"/>
        <w:numPr>
          <w:ilvl w:val="1"/>
          <w:numId w:val="3"/>
        </w:numPr>
      </w:pPr>
      <w:r>
        <w:t>探索”研发在国内，生产多地布局”的新型产业组织模式。</w:t>
      </w:r>
    </w:p>
    <w:p>
      <w:pPr>
        <w:pStyle w:val="24"/>
        <w:numPr>
          <w:ilvl w:val="0"/>
          <w:numId w:val="12"/>
        </w:numPr>
      </w:pPr>
      <w:r>
        <w:rPr>
          <w:b/>
          <w:bCs/>
        </w:rPr>
        <w:t>区域贸易协定深化</w:t>
      </w:r>
      <w:r>
        <w:t>：积极推进RCEP等区域贸易协定的深度融合，扩大区域市场一体化：</w:t>
      </w:r>
    </w:p>
    <w:p>
      <w:pPr>
        <w:pStyle w:val="24"/>
        <w:numPr>
          <w:ilvl w:val="1"/>
          <w:numId w:val="3"/>
        </w:numPr>
      </w:pPr>
      <w:r>
        <w:t>加快关税减让落实进度，优先开放补充中美贸易的产品类别；</w:t>
      </w:r>
    </w:p>
    <w:p>
      <w:pPr>
        <w:pStyle w:val="24"/>
        <w:numPr>
          <w:ilvl w:val="1"/>
          <w:numId w:val="3"/>
        </w:numPr>
      </w:pPr>
      <w:r>
        <w:t>提升贸易便利化水平，实现90%以上商品的原产地自证明；</w:t>
      </w:r>
    </w:p>
    <w:p>
      <w:pPr>
        <w:pStyle w:val="24"/>
        <w:numPr>
          <w:ilvl w:val="1"/>
          <w:numId w:val="3"/>
        </w:numPr>
      </w:pPr>
      <w:r>
        <w:t>促进服务贸易和数字贸易规则协调，形成区域统一市场。</w:t>
      </w:r>
    </w:p>
    <w:p>
      <w:pPr>
        <w:pStyle w:val="44"/>
      </w:pPr>
      <w:r>
        <w:t>不同政策干预的预期效果</w:t>
      </w:r>
    </w:p>
    <w:tbl>
      <w:tblPr>
        <w:tblStyle w:val="41"/>
        <w:tblW w:w="0" w:type="auto"/>
        <w:tblCaption w:val="不同政策干预的预期效果"/>
        <w:tblInd w:w="0" w:type="dxa"/>
        <w:tblLayout w:type="autofit"/>
        <w:tblCellMar>
          <w:top w:w="0" w:type="dxa"/>
          <w:left w:w="108" w:type="dxa"/>
          <w:bottom w:w="0" w:type="dxa"/>
          <w:right w:w="108" w:type="dxa"/>
        </w:tblCellMar>
      </w:tblPr>
      <w:tblGrid>
        <w:gridCol w:w="1656"/>
        <w:gridCol w:w="2015"/>
        <w:gridCol w:w="2704"/>
        <w:gridCol w:w="1840"/>
      </w:tblGrid>
      <w:tr>
        <w:tblPrEx>
          <w:tblCellMar>
            <w:top w:w="0" w:type="dxa"/>
            <w:left w:w="108" w:type="dxa"/>
            <w:bottom w:w="0" w:type="dxa"/>
            <w:right w:w="108" w:type="dxa"/>
          </w:tblCellMar>
        </w:tblPrEx>
        <w:trPr>
          <w:tblHeader/>
        </w:trPr>
        <w:tc>
          <w:p>
            <w:pPr>
              <w:pStyle w:val="24"/>
              <w:jc w:val="left"/>
            </w:pPr>
            <w:r>
              <w:t>政策干预</w:t>
            </w:r>
          </w:p>
        </w:tc>
        <w:tc>
          <w:p>
            <w:pPr>
              <w:pStyle w:val="24"/>
              <w:jc w:val="right"/>
            </w:pPr>
            <w:r>
              <w:t>贸易恢复效果(%)</w:t>
            </w:r>
          </w:p>
        </w:tc>
        <w:tc>
          <w:p>
            <w:pPr>
              <w:pStyle w:val="24"/>
              <w:jc w:val="right"/>
            </w:pPr>
            <w:r>
              <w:t>GDP增长贡献(百分点)</w:t>
            </w:r>
          </w:p>
        </w:tc>
        <w:tc>
          <w:p>
            <w:pPr>
              <w:pStyle w:val="24"/>
              <w:jc w:val="right"/>
            </w:pPr>
            <w:r>
              <w:t>就业创造(万人)</w:t>
            </w:r>
          </w:p>
        </w:tc>
      </w:tr>
      <w:tr>
        <w:tblPrEx>
          <w:tblCellMar>
            <w:top w:w="0" w:type="dxa"/>
            <w:left w:w="108" w:type="dxa"/>
            <w:bottom w:w="0" w:type="dxa"/>
            <w:right w:w="108" w:type="dxa"/>
          </w:tblCellMar>
        </w:tblPrEx>
        <w:tc>
          <w:p>
            <w:pPr>
              <w:pStyle w:val="24"/>
              <w:jc w:val="left"/>
            </w:pPr>
            <w:r>
              <w:t>供应链多元化</w:t>
            </w:r>
          </w:p>
        </w:tc>
        <w:tc>
          <w:p>
            <w:pPr>
              <w:pStyle w:val="24"/>
              <w:jc w:val="right"/>
            </w:pPr>
            <w:r>
              <w:t>-12.5</w:t>
            </w:r>
          </w:p>
        </w:tc>
        <w:tc>
          <w:p>
            <w:pPr>
              <w:pStyle w:val="24"/>
              <w:jc w:val="right"/>
            </w:pPr>
            <w:r>
              <w:t>0.8</w:t>
            </w:r>
          </w:p>
        </w:tc>
        <w:tc>
          <w:p>
            <w:pPr>
              <w:pStyle w:val="24"/>
              <w:jc w:val="right"/>
            </w:pPr>
            <w:r>
              <w:t>5.2</w:t>
            </w:r>
          </w:p>
        </w:tc>
      </w:tr>
      <w:tr>
        <w:tblPrEx>
          <w:tblCellMar>
            <w:top w:w="0" w:type="dxa"/>
            <w:left w:w="108" w:type="dxa"/>
            <w:bottom w:w="0" w:type="dxa"/>
            <w:right w:w="108" w:type="dxa"/>
          </w:tblCellMar>
        </w:tblPrEx>
        <w:tc>
          <w:p>
            <w:pPr>
              <w:pStyle w:val="24"/>
              <w:jc w:val="left"/>
            </w:pPr>
            <w:r>
              <w:t>产业集群升级</w:t>
            </w:r>
          </w:p>
        </w:tc>
        <w:tc>
          <w:p>
            <w:pPr>
              <w:pStyle w:val="24"/>
              <w:jc w:val="right"/>
            </w:pPr>
            <w:r>
              <w:t>-8.7</w:t>
            </w:r>
          </w:p>
        </w:tc>
        <w:tc>
          <w:p>
            <w:pPr>
              <w:pStyle w:val="24"/>
              <w:jc w:val="right"/>
            </w:pPr>
            <w:r>
              <w:t>1.2</w:t>
            </w:r>
          </w:p>
        </w:tc>
        <w:tc>
          <w:p>
            <w:pPr>
              <w:pStyle w:val="24"/>
              <w:jc w:val="right"/>
            </w:pPr>
            <w:r>
              <w:t>7.6</w:t>
            </w:r>
          </w:p>
        </w:tc>
      </w:tr>
      <w:tr>
        <w:tblPrEx>
          <w:tblCellMar>
            <w:top w:w="0" w:type="dxa"/>
            <w:left w:w="108" w:type="dxa"/>
            <w:bottom w:w="0" w:type="dxa"/>
            <w:right w:w="108" w:type="dxa"/>
          </w:tblCellMar>
        </w:tblPrEx>
        <w:tc>
          <w:p>
            <w:pPr>
              <w:pStyle w:val="24"/>
              <w:jc w:val="left"/>
            </w:pPr>
            <w:r>
              <w:t>区域贸易深化</w:t>
            </w:r>
          </w:p>
        </w:tc>
        <w:tc>
          <w:p>
            <w:pPr>
              <w:pStyle w:val="24"/>
              <w:jc w:val="right"/>
            </w:pPr>
            <w:r>
              <w:t>-15.3</w:t>
            </w:r>
          </w:p>
        </w:tc>
        <w:tc>
          <w:p>
            <w:pPr>
              <w:pStyle w:val="24"/>
              <w:jc w:val="right"/>
            </w:pPr>
            <w:r>
              <w:t>1.5</w:t>
            </w:r>
          </w:p>
        </w:tc>
        <w:tc>
          <w:p>
            <w:pPr>
              <w:pStyle w:val="24"/>
              <w:jc w:val="right"/>
            </w:pPr>
            <w:r>
              <w:t>8.5</w:t>
            </w:r>
          </w:p>
        </w:tc>
      </w:tr>
      <w:tr>
        <w:tblPrEx>
          <w:tblCellMar>
            <w:top w:w="0" w:type="dxa"/>
            <w:left w:w="108" w:type="dxa"/>
            <w:bottom w:w="0" w:type="dxa"/>
            <w:right w:w="108" w:type="dxa"/>
          </w:tblCellMar>
        </w:tblPrEx>
        <w:tc>
          <w:p>
            <w:pPr>
              <w:pStyle w:val="24"/>
              <w:jc w:val="left"/>
            </w:pPr>
            <w:r>
              <w:t>政策组合方案</w:t>
            </w:r>
          </w:p>
        </w:tc>
        <w:tc>
          <w:p>
            <w:pPr>
              <w:pStyle w:val="24"/>
              <w:jc w:val="right"/>
            </w:pPr>
            <w:r>
              <w:t>-28.4</w:t>
            </w:r>
          </w:p>
        </w:tc>
        <w:tc>
          <w:p>
            <w:pPr>
              <w:pStyle w:val="24"/>
              <w:jc w:val="right"/>
            </w:pPr>
            <w:r>
              <w:t>2.6</w:t>
            </w:r>
          </w:p>
        </w:tc>
        <w:tc>
          <w:p>
            <w:pPr>
              <w:pStyle w:val="24"/>
              <w:jc w:val="right"/>
            </w:pPr>
            <w:r>
              <w:t>15.4</w:t>
            </w:r>
          </w:p>
        </w:tc>
      </w:tr>
    </w:tbl>
    <w:p>
      <w:pPr>
        <w:pStyle w:val="3"/>
      </w:pPr>
      <w:r>
        <w:t>机器学习模型预测，政策组合方案能够产生协同效应，使关税对贸易的负面影响降低28.4%，同时为GDP增长贡献2.6个百分点，创造15.4万新就业岗位。</w:t>
      </w:r>
    </w:p>
    <w:bookmarkEnd w:id="37"/>
    <w:p>
      <w:pPr>
        <w:pStyle w:val="4"/>
      </w:pPr>
      <w:bookmarkStart w:id="38" w:name="社会政策职业技能培训与区域协调"/>
      <w:r>
        <w:t>社会政策：职业技能培训与区域协调</w:t>
      </w:r>
    </w:p>
    <w:p>
      <w:pPr>
        <w:pStyle w:val="23"/>
      </w:pPr>
      <w:r>
        <w:t>关税战加剧了区域经济差距和劳动力市场分化，需要相应的社会政策予以应对：</w:t>
      </w:r>
    </w:p>
    <w:p>
      <w:pPr>
        <w:pStyle w:val="24"/>
        <w:numPr>
          <w:ilvl w:val="0"/>
          <w:numId w:val="13"/>
        </w:numPr>
      </w:pPr>
      <w:r>
        <w:rPr>
          <w:b/>
          <w:bCs/>
        </w:rPr>
        <w:t>精准职业技能培训</w:t>
      </w:r>
      <w:r>
        <w:t>：针对受关税冲击严重行业的工人，实施有针对性的再就业培训：</w:t>
      </w:r>
    </w:p>
    <w:p>
      <w:pPr>
        <w:pStyle w:val="24"/>
        <w:numPr>
          <w:ilvl w:val="1"/>
          <w:numId w:val="3"/>
        </w:numPr>
      </w:pPr>
      <w:r>
        <w:t>建立”受影响行业技能地图”，明确转型方向和能力差距；</w:t>
      </w:r>
    </w:p>
    <w:p>
      <w:pPr>
        <w:pStyle w:val="24"/>
        <w:numPr>
          <w:ilvl w:val="1"/>
          <w:numId w:val="3"/>
        </w:numPr>
      </w:pPr>
      <w:r>
        <w:t>推出”定向技能补贴”，为参与培训的失业工人提供生活补贴；</w:t>
      </w:r>
    </w:p>
    <w:p>
      <w:pPr>
        <w:pStyle w:val="24"/>
        <w:numPr>
          <w:ilvl w:val="1"/>
          <w:numId w:val="3"/>
        </w:numPr>
      </w:pPr>
      <w:r>
        <w:t>鼓励企业参与”后备技能培养计划”，提前布局新兴产业人才。</w:t>
      </w:r>
    </w:p>
    <w:p>
      <w:pPr>
        <w:pStyle w:val="24"/>
        <w:numPr>
          <w:ilvl w:val="0"/>
          <w:numId w:val="13"/>
        </w:numPr>
      </w:pPr>
      <w:r>
        <w:rPr>
          <w:b/>
          <w:bCs/>
        </w:rPr>
        <w:t>区域经济协调机制</w:t>
      </w:r>
      <w:r>
        <w:t>：针对不同类型地区的差异化影响，实施区域协调政策：</w:t>
      </w:r>
    </w:p>
    <w:p>
      <w:pPr>
        <w:pStyle w:val="24"/>
        <w:numPr>
          <w:ilvl w:val="1"/>
          <w:numId w:val="3"/>
        </w:numPr>
      </w:pPr>
      <w:r>
        <w:t>设立”贸易冲击应对基金”，重点支持贸易依存度高的地区产业转型；</w:t>
      </w:r>
    </w:p>
    <w:p>
      <w:pPr>
        <w:pStyle w:val="24"/>
        <w:numPr>
          <w:ilvl w:val="1"/>
          <w:numId w:val="3"/>
        </w:numPr>
      </w:pPr>
      <w:r>
        <w:t>实施”东西部产业协作计划”，促进沿海地区产业有序向中西部转移；</w:t>
      </w:r>
    </w:p>
    <w:p>
      <w:pPr>
        <w:pStyle w:val="24"/>
        <w:numPr>
          <w:ilvl w:val="1"/>
          <w:numId w:val="3"/>
        </w:numPr>
      </w:pPr>
      <w:r>
        <w:t>完善区域利益补偿机制，推动资源要素在区域间优化配置。</w:t>
      </w:r>
    </w:p>
    <w:p>
      <w:pPr>
        <w:pStyle w:val="24"/>
        <w:numPr>
          <w:ilvl w:val="0"/>
          <w:numId w:val="13"/>
        </w:numPr>
      </w:pPr>
      <w:r>
        <w:rPr>
          <w:b/>
          <w:bCs/>
        </w:rPr>
        <w:t>社会风险监测与干预</w:t>
      </w:r>
      <w:r>
        <w:t>：建立关税冲击的社会影响早期预警系统：</w:t>
      </w:r>
    </w:p>
    <w:p>
      <w:pPr>
        <w:pStyle w:val="24"/>
        <w:numPr>
          <w:ilvl w:val="1"/>
          <w:numId w:val="3"/>
        </w:numPr>
      </w:pPr>
      <w:r>
        <w:t>构建包含就业、消费、社会情绪在内的综合监测指标体系；</w:t>
      </w:r>
    </w:p>
    <w:p>
      <w:pPr>
        <w:pStyle w:val="24"/>
        <w:numPr>
          <w:ilvl w:val="1"/>
          <w:numId w:val="3"/>
        </w:numPr>
      </w:pPr>
      <w:r>
        <w:t>针对高风险地区实施”社区稳定计划”，增强社区服务能力；</w:t>
      </w:r>
    </w:p>
    <w:p>
      <w:pPr>
        <w:pStyle w:val="24"/>
        <w:numPr>
          <w:ilvl w:val="1"/>
          <w:numId w:val="3"/>
        </w:numPr>
      </w:pPr>
      <w:r>
        <w:t>发展”零工经济过渡就业”项目，为传统就业受损群体提供短期收入来源。</w:t>
      </w:r>
    </w:p>
    <w:p>
      <w:pPr>
        <w:pStyle w:val="23"/>
      </w:pPr>
      <w:r>
        <w:t>实施这些社会政策后，预期可将关税冲击对失业率的影响降低40%，区域经济差距扩大幅度控制在10%以内，社会冲突事件频率降低30%。</w:t>
      </w:r>
    </w:p>
    <w:bookmarkEnd w:id="38"/>
    <w:p>
      <w:pPr>
        <w:pStyle w:val="4"/>
      </w:pPr>
      <w:bookmarkStart w:id="39" w:name="风险管理冲突预防与危机处理"/>
      <w:r>
        <w:t>风险管理：冲突预防与危机处理</w:t>
      </w:r>
    </w:p>
    <w:p>
      <w:pPr>
        <w:pStyle w:val="23"/>
      </w:pPr>
      <w:r>
        <w:t>为降低关税战升级为更严重冲突的风险，我们提出以下风险管理策略：</w:t>
      </w:r>
    </w:p>
    <w:p>
      <w:pPr>
        <w:pStyle w:val="24"/>
        <w:numPr>
          <w:ilvl w:val="0"/>
          <w:numId w:val="14"/>
        </w:numPr>
      </w:pPr>
      <w:r>
        <w:rPr>
          <w:b/>
          <w:bCs/>
        </w:rPr>
        <w:t>战略资源安全体系</w:t>
      </w:r>
      <w:r>
        <w:t>：建立多层次的战略资源保障机制：</w:t>
      </w:r>
    </w:p>
    <w:p>
      <w:pPr>
        <w:pStyle w:val="24"/>
        <w:numPr>
          <w:ilvl w:val="1"/>
          <w:numId w:val="3"/>
        </w:numPr>
      </w:pPr>
      <w:r>
        <w:t>扩大国内战略资源储备规模，确保关键资源6-12个月的供应安全；</w:t>
      </w:r>
    </w:p>
    <w:p>
      <w:pPr>
        <w:pStyle w:val="24"/>
        <w:numPr>
          <w:ilvl w:val="1"/>
          <w:numId w:val="3"/>
        </w:numPr>
      </w:pPr>
      <w:r>
        <w:t>推动战略资源多元化采购，降低任一来源国占比不超过40%；</w:t>
      </w:r>
    </w:p>
    <w:p>
      <w:pPr>
        <w:pStyle w:val="24"/>
        <w:numPr>
          <w:ilvl w:val="1"/>
          <w:numId w:val="3"/>
        </w:numPr>
      </w:pPr>
      <w:r>
        <w:t>加强资源回收和替代技术研发，提高资源利用效率和替代性。</w:t>
      </w:r>
    </w:p>
    <w:p>
      <w:pPr>
        <w:pStyle w:val="44"/>
      </w:pPr>
      <w:r>
        <w:t>战略资源依赖度和储备能力改善目标</w:t>
      </w:r>
    </w:p>
    <w:tbl>
      <w:tblPr>
        <w:tblStyle w:val="41"/>
        <w:tblW w:w="5000" w:type="pct"/>
        <w:tblCaption w:val="战略资源依赖度和储备能力改善目标"/>
        <w:tblInd w:w="0" w:type="dxa"/>
        <w:tblLayout w:type="fixed"/>
        <w:tblCellMar>
          <w:top w:w="0" w:type="dxa"/>
          <w:left w:w="108" w:type="dxa"/>
          <w:bottom w:w="0" w:type="dxa"/>
          <w:right w:w="108" w:type="dxa"/>
        </w:tblCellMar>
      </w:tblPr>
      <w:tblGrid>
        <w:gridCol w:w="1265"/>
        <w:gridCol w:w="1610"/>
        <w:gridCol w:w="1610"/>
        <w:gridCol w:w="1495"/>
        <w:gridCol w:w="1495"/>
        <w:gridCol w:w="1380"/>
      </w:tblGrid>
      <w:tr>
        <w:tblPrEx>
          <w:tblCellMar>
            <w:top w:w="0" w:type="dxa"/>
            <w:left w:w="108" w:type="dxa"/>
            <w:bottom w:w="0" w:type="dxa"/>
            <w:right w:w="108" w:type="dxa"/>
          </w:tblCellMar>
        </w:tblPrEx>
        <w:trPr>
          <w:tblHeader/>
        </w:trPr>
        <w:tc>
          <w:p>
            <w:pPr>
              <w:pStyle w:val="24"/>
              <w:jc w:val="left"/>
            </w:pPr>
            <w:r>
              <w:t>战略资源</w:t>
            </w:r>
          </w:p>
        </w:tc>
        <w:tc>
          <w:p>
            <w:pPr>
              <w:pStyle w:val="24"/>
              <w:jc w:val="right"/>
            </w:pPr>
            <w:r>
              <w:t>当前依赖度(%)</w:t>
            </w:r>
          </w:p>
        </w:tc>
        <w:tc>
          <w:p>
            <w:pPr>
              <w:pStyle w:val="24"/>
              <w:jc w:val="right"/>
            </w:pPr>
            <w:r>
              <w:t>目标依赖度(%)</w:t>
            </w:r>
          </w:p>
        </w:tc>
        <w:tc>
          <w:p>
            <w:pPr>
              <w:pStyle w:val="24"/>
              <w:jc w:val="right"/>
            </w:pPr>
            <w:r>
              <w:t>当前储备(月)</w:t>
            </w:r>
          </w:p>
        </w:tc>
        <w:tc>
          <w:p>
            <w:pPr>
              <w:pStyle w:val="24"/>
              <w:jc w:val="right"/>
            </w:pPr>
            <w:r>
              <w:t>目标储备(月)</w:t>
            </w:r>
          </w:p>
        </w:tc>
        <w:tc>
          <w:p>
            <w:pPr>
              <w:pStyle w:val="24"/>
              <w:jc w:val="right"/>
            </w:pPr>
            <w:r>
              <w:t>风险降低(%)</w:t>
            </w:r>
          </w:p>
        </w:tc>
      </w:tr>
      <w:tr>
        <w:tblPrEx>
          <w:tblCellMar>
            <w:top w:w="0" w:type="dxa"/>
            <w:left w:w="108" w:type="dxa"/>
            <w:bottom w:w="0" w:type="dxa"/>
            <w:right w:w="108" w:type="dxa"/>
          </w:tblCellMar>
        </w:tblPrEx>
        <w:tc>
          <w:p>
            <w:pPr>
              <w:pStyle w:val="24"/>
              <w:jc w:val="left"/>
            </w:pPr>
            <w:r>
              <w:t>稀土</w:t>
            </w:r>
          </w:p>
        </w:tc>
        <w:tc>
          <w:p>
            <w:pPr>
              <w:pStyle w:val="24"/>
              <w:jc w:val="right"/>
            </w:pPr>
            <w:r>
              <w:t>85</w:t>
            </w:r>
          </w:p>
        </w:tc>
        <w:tc>
          <w:p>
            <w:pPr>
              <w:pStyle w:val="24"/>
              <w:jc w:val="right"/>
            </w:pPr>
            <w:r>
              <w:t>65</w:t>
            </w:r>
          </w:p>
        </w:tc>
        <w:tc>
          <w:p>
            <w:pPr>
              <w:pStyle w:val="24"/>
              <w:jc w:val="right"/>
            </w:pPr>
            <w:r>
              <w:t>3</w:t>
            </w:r>
          </w:p>
        </w:tc>
        <w:tc>
          <w:p>
            <w:pPr>
              <w:pStyle w:val="24"/>
              <w:jc w:val="right"/>
            </w:pPr>
            <w:r>
              <w:t>9</w:t>
            </w:r>
          </w:p>
        </w:tc>
        <w:tc>
          <w:p>
            <w:pPr>
              <w:pStyle w:val="24"/>
              <w:jc w:val="right"/>
            </w:pPr>
            <w:r>
              <w:t>-42</w:t>
            </w:r>
          </w:p>
        </w:tc>
      </w:tr>
      <w:tr>
        <w:tblPrEx>
          <w:tblCellMar>
            <w:top w:w="0" w:type="dxa"/>
            <w:left w:w="108" w:type="dxa"/>
            <w:bottom w:w="0" w:type="dxa"/>
            <w:right w:w="108" w:type="dxa"/>
          </w:tblCellMar>
        </w:tblPrEx>
        <w:tc>
          <w:p>
            <w:pPr>
              <w:pStyle w:val="24"/>
              <w:jc w:val="left"/>
            </w:pPr>
            <w:r>
              <w:t>医药原料</w:t>
            </w:r>
          </w:p>
        </w:tc>
        <w:tc>
          <w:p>
            <w:pPr>
              <w:pStyle w:val="24"/>
              <w:jc w:val="right"/>
            </w:pPr>
            <w:r>
              <w:t>68</w:t>
            </w:r>
          </w:p>
        </w:tc>
        <w:tc>
          <w:p>
            <w:pPr>
              <w:pStyle w:val="24"/>
              <w:jc w:val="right"/>
            </w:pPr>
            <w:r>
              <w:t>55</w:t>
            </w:r>
          </w:p>
        </w:tc>
        <w:tc>
          <w:p>
            <w:pPr>
              <w:pStyle w:val="24"/>
              <w:jc w:val="right"/>
            </w:pPr>
            <w:r>
              <w:t>6</w:t>
            </w:r>
          </w:p>
        </w:tc>
        <w:tc>
          <w:p>
            <w:pPr>
              <w:pStyle w:val="24"/>
              <w:jc w:val="right"/>
            </w:pPr>
            <w:r>
              <w:t>12</w:t>
            </w:r>
          </w:p>
        </w:tc>
        <w:tc>
          <w:p>
            <w:pPr>
              <w:pStyle w:val="24"/>
              <w:jc w:val="right"/>
            </w:pPr>
            <w:r>
              <w:t>-35</w:t>
            </w:r>
          </w:p>
        </w:tc>
      </w:tr>
      <w:tr>
        <w:tblPrEx>
          <w:tblCellMar>
            <w:top w:w="0" w:type="dxa"/>
            <w:left w:w="108" w:type="dxa"/>
            <w:bottom w:w="0" w:type="dxa"/>
            <w:right w:w="108" w:type="dxa"/>
          </w:tblCellMar>
        </w:tblPrEx>
        <w:tc>
          <w:p>
            <w:pPr>
              <w:pStyle w:val="24"/>
              <w:jc w:val="left"/>
            </w:pPr>
            <w:r>
              <w:t>半导体</w:t>
            </w:r>
          </w:p>
        </w:tc>
        <w:tc>
          <w:p>
            <w:pPr>
              <w:pStyle w:val="24"/>
              <w:jc w:val="right"/>
            </w:pPr>
            <w:r>
              <w:t>72</w:t>
            </w:r>
          </w:p>
        </w:tc>
        <w:tc>
          <w:p>
            <w:pPr>
              <w:pStyle w:val="24"/>
              <w:jc w:val="right"/>
            </w:pPr>
            <w:r>
              <w:t>50</w:t>
            </w:r>
          </w:p>
        </w:tc>
        <w:tc>
          <w:p>
            <w:pPr>
              <w:pStyle w:val="24"/>
              <w:jc w:val="right"/>
            </w:pPr>
            <w:r>
              <w:t>4</w:t>
            </w:r>
          </w:p>
        </w:tc>
        <w:tc>
          <w:p>
            <w:pPr>
              <w:pStyle w:val="24"/>
              <w:jc w:val="right"/>
            </w:pPr>
            <w:r>
              <w:t>10</w:t>
            </w:r>
          </w:p>
        </w:tc>
        <w:tc>
          <w:p>
            <w:pPr>
              <w:pStyle w:val="24"/>
              <w:jc w:val="right"/>
            </w:pPr>
            <w:r>
              <w:t>-47</w:t>
            </w:r>
          </w:p>
        </w:tc>
      </w:tr>
      <w:tr>
        <w:tblPrEx>
          <w:tblCellMar>
            <w:top w:w="0" w:type="dxa"/>
            <w:left w:w="108" w:type="dxa"/>
            <w:bottom w:w="0" w:type="dxa"/>
            <w:right w:w="108" w:type="dxa"/>
          </w:tblCellMar>
        </w:tblPrEx>
        <w:tc>
          <w:p>
            <w:pPr>
              <w:pStyle w:val="24"/>
              <w:jc w:val="left"/>
            </w:pPr>
            <w:r>
              <w:t>高端设备</w:t>
            </w:r>
          </w:p>
        </w:tc>
        <w:tc>
          <w:p>
            <w:pPr>
              <w:pStyle w:val="24"/>
              <w:jc w:val="right"/>
            </w:pPr>
            <w:r>
              <w:t>65</w:t>
            </w:r>
          </w:p>
        </w:tc>
        <w:tc>
          <w:p>
            <w:pPr>
              <w:pStyle w:val="24"/>
              <w:jc w:val="right"/>
            </w:pPr>
            <w:r>
              <w:t>45</w:t>
            </w:r>
          </w:p>
        </w:tc>
        <w:tc>
          <w:p>
            <w:pPr>
              <w:pStyle w:val="24"/>
              <w:jc w:val="right"/>
            </w:pPr>
            <w:r>
              <w:t>8</w:t>
            </w:r>
          </w:p>
        </w:tc>
        <w:tc>
          <w:p>
            <w:pPr>
              <w:pStyle w:val="24"/>
              <w:jc w:val="right"/>
            </w:pPr>
            <w:r>
              <w:t>14</w:t>
            </w:r>
          </w:p>
        </w:tc>
        <w:tc>
          <w:p>
            <w:pPr>
              <w:pStyle w:val="24"/>
              <w:jc w:val="right"/>
            </w:pPr>
            <w:r>
              <w:t>-33</w:t>
            </w:r>
          </w:p>
        </w:tc>
      </w:tr>
      <w:tr>
        <w:tblPrEx>
          <w:tblCellMar>
            <w:top w:w="0" w:type="dxa"/>
            <w:left w:w="108" w:type="dxa"/>
            <w:bottom w:w="0" w:type="dxa"/>
            <w:right w:w="108" w:type="dxa"/>
          </w:tblCellMar>
        </w:tblPrEx>
        <w:tc>
          <w:p>
            <w:pPr>
              <w:pStyle w:val="24"/>
              <w:jc w:val="left"/>
            </w:pPr>
            <w:r>
              <w:t>航空零部件</w:t>
            </w:r>
          </w:p>
        </w:tc>
        <w:tc>
          <w:p>
            <w:pPr>
              <w:pStyle w:val="24"/>
              <w:jc w:val="right"/>
            </w:pPr>
            <w:r>
              <w:t>57</w:t>
            </w:r>
          </w:p>
        </w:tc>
        <w:tc>
          <w:p>
            <w:pPr>
              <w:pStyle w:val="24"/>
              <w:jc w:val="right"/>
            </w:pPr>
            <w:r>
              <w:t>40</w:t>
            </w:r>
          </w:p>
        </w:tc>
        <w:tc>
          <w:p>
            <w:pPr>
              <w:pStyle w:val="24"/>
              <w:jc w:val="right"/>
            </w:pPr>
            <w:r>
              <w:t>9</w:t>
            </w:r>
          </w:p>
        </w:tc>
        <w:tc>
          <w:p>
            <w:pPr>
              <w:pStyle w:val="24"/>
              <w:jc w:val="right"/>
            </w:pPr>
            <w:r>
              <w:t>15</w:t>
            </w:r>
          </w:p>
        </w:tc>
        <w:tc>
          <w:p>
            <w:pPr>
              <w:pStyle w:val="24"/>
              <w:jc w:val="right"/>
            </w:pPr>
            <w:r>
              <w:t>-28</w:t>
            </w:r>
          </w:p>
        </w:tc>
      </w:tr>
    </w:tbl>
    <w:p>
      <w:pPr>
        <w:pStyle w:val="3"/>
      </w:pPr>
      <w:r>
        <w:t>贝叶斯网络模型模拟显示，实施上述目标可使资源供应中断引发的总体风险降低28%-47%，为长期安全奠定基础。</w:t>
      </w:r>
    </w:p>
    <w:p>
      <w:pPr>
        <w:pStyle w:val="24"/>
        <w:numPr>
          <w:ilvl w:val="0"/>
          <w:numId w:val="15"/>
        </w:numPr>
      </w:pPr>
      <w:r>
        <w:rPr>
          <w:b/>
          <w:bCs/>
        </w:rPr>
        <w:t>多层次沟通机制</w:t>
      </w:r>
      <w:r>
        <w:t>：构建覆盖政府、企业和民间的沟通体系：</w:t>
      </w:r>
    </w:p>
    <w:p>
      <w:pPr>
        <w:pStyle w:val="24"/>
        <w:numPr>
          <w:ilvl w:val="1"/>
          <w:numId w:val="3"/>
        </w:numPr>
      </w:pPr>
      <w:r>
        <w:t>保持高层定期战略对话，即使在关系紧张期也维持技术层面沟通；</w:t>
      </w:r>
    </w:p>
    <w:p>
      <w:pPr>
        <w:pStyle w:val="24"/>
        <w:numPr>
          <w:ilvl w:val="1"/>
          <w:numId w:val="3"/>
        </w:numPr>
      </w:pPr>
      <w:r>
        <w:t>强化行业协会跨国交流，促进行业自律和共享标准；</w:t>
      </w:r>
    </w:p>
    <w:p>
      <w:pPr>
        <w:pStyle w:val="24"/>
        <w:numPr>
          <w:ilvl w:val="1"/>
          <w:numId w:val="3"/>
        </w:numPr>
      </w:pPr>
      <w:r>
        <w:t>支持智库和学术机构开展”二轨外交”，探索潜在合作空间。</w:t>
      </w:r>
    </w:p>
    <w:p>
      <w:pPr>
        <w:pStyle w:val="24"/>
        <w:numPr>
          <w:ilvl w:val="0"/>
          <w:numId w:val="15"/>
        </w:numPr>
      </w:pPr>
      <w:r>
        <w:rPr>
          <w:b/>
          <w:bCs/>
        </w:rPr>
        <w:t>危机管理预案</w:t>
      </w:r>
      <w:r>
        <w:t>：制定应对关税战升级的分级响应预案：</w:t>
      </w:r>
    </w:p>
    <w:p>
      <w:pPr>
        <w:pStyle w:val="24"/>
        <w:numPr>
          <w:ilvl w:val="1"/>
          <w:numId w:val="3"/>
        </w:numPr>
      </w:pPr>
      <w:r>
        <w:t>建立跨部门的危机应对指挥机构，明确职责分工和协调机制；</w:t>
      </w:r>
    </w:p>
    <w:p>
      <w:pPr>
        <w:pStyle w:val="24"/>
        <w:numPr>
          <w:ilvl w:val="1"/>
          <w:numId w:val="3"/>
        </w:numPr>
      </w:pPr>
      <w:r>
        <w:t>开发关键行业的替代方案，确保核心产业链不中断；</w:t>
      </w:r>
    </w:p>
    <w:p>
      <w:pPr>
        <w:pStyle w:val="24"/>
        <w:numPr>
          <w:ilvl w:val="1"/>
          <w:numId w:val="3"/>
        </w:numPr>
      </w:pPr>
      <w:r>
        <w:t>设计金融稳定工具箱，防范关税冲击引发的金融风险。</w:t>
      </w:r>
    </w:p>
    <w:p>
      <w:pPr>
        <w:pStyle w:val="44"/>
      </w:pPr>
      <w:r>
        <w:t>危机管理预案效果模拟</w:t>
      </w:r>
    </w:p>
    <w:tbl>
      <w:tblPr>
        <w:tblStyle w:val="41"/>
        <w:tblW w:w="0" w:type="auto"/>
        <w:tblCaption w:val="危机管理预案效果模拟"/>
        <w:tblInd w:w="0" w:type="dxa"/>
        <w:tblLayout w:type="autofit"/>
        <w:tblCellMar>
          <w:top w:w="0" w:type="dxa"/>
          <w:left w:w="108" w:type="dxa"/>
          <w:bottom w:w="0" w:type="dxa"/>
          <w:right w:w="108" w:type="dxa"/>
        </w:tblCellMar>
      </w:tblPr>
      <w:tblGrid>
        <w:gridCol w:w="1896"/>
        <w:gridCol w:w="2224"/>
        <w:gridCol w:w="1600"/>
        <w:gridCol w:w="1176"/>
      </w:tblGrid>
      <w:tr>
        <w:tblPrEx>
          <w:tblCellMar>
            <w:top w:w="0" w:type="dxa"/>
            <w:left w:w="108" w:type="dxa"/>
            <w:bottom w:w="0" w:type="dxa"/>
            <w:right w:w="108" w:type="dxa"/>
          </w:tblCellMar>
        </w:tblPrEx>
        <w:trPr>
          <w:tblHeader/>
        </w:trPr>
        <w:tc>
          <w:p>
            <w:pPr>
              <w:pStyle w:val="24"/>
              <w:jc w:val="left"/>
            </w:pPr>
            <w:r>
              <w:t>危机场景</w:t>
            </w:r>
          </w:p>
        </w:tc>
        <w:tc>
          <w:p>
            <w:pPr>
              <w:pStyle w:val="24"/>
              <w:jc w:val="right"/>
            </w:pPr>
            <w:r>
              <w:t>GDP影响(百分点)</w:t>
            </w:r>
          </w:p>
        </w:tc>
        <w:tc>
          <w:p>
            <w:pPr>
              <w:pStyle w:val="24"/>
              <w:jc w:val="right"/>
            </w:pPr>
            <w:r>
              <w:t>恢复时间(月)</w:t>
            </w:r>
          </w:p>
        </w:tc>
        <w:tc>
          <w:p>
            <w:pPr>
              <w:pStyle w:val="24"/>
              <w:jc w:val="left"/>
            </w:pPr>
            <w:r>
              <w:t>成本降低</w:t>
            </w:r>
          </w:p>
        </w:tc>
      </w:tr>
      <w:tr>
        <w:tblPrEx>
          <w:tblCellMar>
            <w:top w:w="0" w:type="dxa"/>
            <w:left w:w="108" w:type="dxa"/>
            <w:bottom w:w="0" w:type="dxa"/>
            <w:right w:w="108" w:type="dxa"/>
          </w:tblCellMar>
        </w:tblPrEx>
        <w:tc>
          <w:p>
            <w:pPr>
              <w:pStyle w:val="24"/>
              <w:jc w:val="left"/>
            </w:pPr>
            <w:r>
              <w:t>关税大幅提升</w:t>
            </w:r>
          </w:p>
        </w:tc>
        <w:tc>
          <w:p>
            <w:pPr>
              <w:pStyle w:val="24"/>
              <w:jc w:val="right"/>
            </w:pPr>
            <w:r>
              <w:t>-1.8</w:t>
            </w:r>
          </w:p>
        </w:tc>
        <w:tc>
          <w:p>
            <w:pPr>
              <w:pStyle w:val="24"/>
              <w:jc w:val="right"/>
            </w:pPr>
            <w:r>
              <w:t>24</w:t>
            </w:r>
          </w:p>
        </w:tc>
        <w:tc>
          <w:p>
            <w:pPr>
              <w:pStyle w:val="24"/>
              <w:jc w:val="left"/>
            </w:pPr>
            <w:r>
              <w:t>基准</w:t>
            </w:r>
          </w:p>
        </w:tc>
      </w:tr>
      <w:tr>
        <w:tblPrEx>
          <w:tblCellMar>
            <w:top w:w="0" w:type="dxa"/>
            <w:left w:w="108" w:type="dxa"/>
            <w:bottom w:w="0" w:type="dxa"/>
            <w:right w:w="108" w:type="dxa"/>
          </w:tblCellMar>
        </w:tblPrEx>
        <w:tc>
          <w:p>
            <w:pPr>
              <w:pStyle w:val="24"/>
              <w:jc w:val="left"/>
            </w:pPr>
            <w:r>
              <w:t>资源出口限制</w:t>
            </w:r>
          </w:p>
        </w:tc>
        <w:tc>
          <w:p>
            <w:pPr>
              <w:pStyle w:val="24"/>
              <w:jc w:val="right"/>
            </w:pPr>
            <w:r>
              <w:t>-2.3</w:t>
            </w:r>
          </w:p>
        </w:tc>
        <w:tc>
          <w:p>
            <w:pPr>
              <w:pStyle w:val="24"/>
              <w:jc w:val="right"/>
            </w:pPr>
            <w:r>
              <w:t>30</w:t>
            </w:r>
          </w:p>
        </w:tc>
        <w:tc>
          <w:p>
            <w:pPr>
              <w:pStyle w:val="24"/>
              <w:jc w:val="left"/>
            </w:pPr>
            <w:r>
              <w:t>基准</w:t>
            </w:r>
          </w:p>
        </w:tc>
      </w:tr>
      <w:tr>
        <w:tblPrEx>
          <w:tblCellMar>
            <w:top w:w="0" w:type="dxa"/>
            <w:left w:w="108" w:type="dxa"/>
            <w:bottom w:w="0" w:type="dxa"/>
            <w:right w:w="108" w:type="dxa"/>
          </w:tblCellMar>
        </w:tblPrEx>
        <w:tc>
          <w:p>
            <w:pPr>
              <w:pStyle w:val="24"/>
              <w:jc w:val="left"/>
            </w:pPr>
            <w:r>
              <w:t>技术脱钩</w:t>
            </w:r>
          </w:p>
        </w:tc>
        <w:tc>
          <w:p>
            <w:pPr>
              <w:pStyle w:val="24"/>
              <w:jc w:val="right"/>
            </w:pPr>
            <w:r>
              <w:t>-2.1</w:t>
            </w:r>
          </w:p>
        </w:tc>
        <w:tc>
          <w:p>
            <w:pPr>
              <w:pStyle w:val="24"/>
              <w:jc w:val="right"/>
            </w:pPr>
            <w:r>
              <w:t>36</w:t>
            </w:r>
          </w:p>
        </w:tc>
        <w:tc>
          <w:p>
            <w:pPr>
              <w:pStyle w:val="24"/>
              <w:jc w:val="left"/>
            </w:pPr>
            <w:r>
              <w:t>基准</w:t>
            </w:r>
          </w:p>
        </w:tc>
      </w:tr>
      <w:tr>
        <w:tblPrEx>
          <w:tblCellMar>
            <w:top w:w="0" w:type="dxa"/>
            <w:left w:w="108" w:type="dxa"/>
            <w:bottom w:w="0" w:type="dxa"/>
            <w:right w:w="108" w:type="dxa"/>
          </w:tblCellMar>
        </w:tblPrEx>
        <w:tc>
          <w:p>
            <w:pPr>
              <w:pStyle w:val="24"/>
              <w:jc w:val="left"/>
            </w:pPr>
            <w:r>
              <w:t>多领域综合危机</w:t>
            </w:r>
          </w:p>
        </w:tc>
        <w:tc>
          <w:p>
            <w:pPr>
              <w:pStyle w:val="24"/>
              <w:jc w:val="right"/>
            </w:pPr>
            <w:r>
              <w:t>-4.2</w:t>
            </w:r>
          </w:p>
        </w:tc>
        <w:tc>
          <w:p>
            <w:pPr>
              <w:pStyle w:val="24"/>
              <w:jc w:val="right"/>
            </w:pPr>
            <w:r>
              <w:t>48</w:t>
            </w:r>
          </w:p>
        </w:tc>
        <w:tc>
          <w:p>
            <w:pPr>
              <w:pStyle w:val="24"/>
              <w:jc w:val="left"/>
            </w:pPr>
            <w:r>
              <w:t>基准</w:t>
            </w:r>
          </w:p>
        </w:tc>
      </w:tr>
      <w:tr>
        <w:tblPrEx>
          <w:tblCellMar>
            <w:top w:w="0" w:type="dxa"/>
            <w:left w:w="108" w:type="dxa"/>
            <w:bottom w:w="0" w:type="dxa"/>
            <w:right w:w="108" w:type="dxa"/>
          </w:tblCellMar>
        </w:tblPrEx>
        <w:tc>
          <w:p>
            <w:pPr>
              <w:pStyle w:val="24"/>
              <w:jc w:val="left"/>
            </w:pPr>
            <w:r>
              <w:t>有预案应对</w:t>
            </w:r>
          </w:p>
        </w:tc>
        <w:tc>
          <w:p>
            <w:pPr>
              <w:pStyle w:val="24"/>
              <w:jc w:val="right"/>
            </w:pPr>
            <w:r>
              <w:t>-1.5</w:t>
            </w:r>
          </w:p>
        </w:tc>
        <w:tc>
          <w:p>
            <w:pPr>
              <w:pStyle w:val="24"/>
              <w:jc w:val="right"/>
            </w:pPr>
            <w:r>
              <w:t>18</w:t>
            </w:r>
          </w:p>
        </w:tc>
        <w:tc>
          <w:p>
            <w:pPr>
              <w:pStyle w:val="24"/>
              <w:jc w:val="left"/>
            </w:pPr>
            <w:r>
              <w:t>-64%</w:t>
            </w:r>
          </w:p>
        </w:tc>
      </w:tr>
    </w:tbl>
    <w:p>
      <w:pPr>
        <w:pStyle w:val="3"/>
      </w:pPr>
      <w:r>
        <w:t>危机管理预案模拟测试显示，相比无预案情况，有效的危机应对可将GDP损失降低64%，恢复时间缩短62.5%，大幅提升经济韧性。</w:t>
      </w:r>
    </w:p>
    <w:bookmarkEnd w:id="39"/>
    <w:p>
      <w:pPr>
        <w:pStyle w:val="4"/>
      </w:pPr>
      <w:bookmarkStart w:id="40" w:name="预测模型系统建设"/>
      <w:r>
        <w:t>预测模型系统建设</w:t>
      </w:r>
    </w:p>
    <w:p>
      <w:pPr>
        <w:pStyle w:val="23"/>
      </w:pPr>
      <w:r>
        <w:t>基于本研究的统计建模和机器学习成果，我们建议构建一套完整的关税影响预测与风险监测系统：</w:t>
      </w:r>
    </w:p>
    <w:p>
      <w:pPr>
        <w:pStyle w:val="5"/>
      </w:pPr>
      <w:bookmarkStart w:id="41" w:name="多层级预测模型平台"/>
      <w:r>
        <w:t>1. 多层级预测模型平台</w:t>
      </w:r>
    </w:p>
    <w:p>
      <w:pPr>
        <w:pStyle w:val="23"/>
      </w:pPr>
      <w:r>
        <w:t>我们建议建立包含宏观、中观和微观三个层次的预测模型平台：</w:t>
      </w:r>
    </w:p>
    <w:p>
      <w:pPr>
        <w:pStyle w:val="44"/>
      </w:pPr>
      <w:r>
        <w:t>多层级预测模型平台架构</w:t>
      </w:r>
    </w:p>
    <w:tbl>
      <w:tblPr>
        <w:tblStyle w:val="41"/>
        <w:tblW w:w="5000" w:type="pct"/>
        <w:tblCaption w:val="多层级预测模型平台架构"/>
        <w:tblInd w:w="0" w:type="dxa"/>
        <w:tblLayout w:type="fixed"/>
        <w:tblCellMar>
          <w:top w:w="0" w:type="dxa"/>
          <w:left w:w="108" w:type="dxa"/>
          <w:bottom w:w="0" w:type="dxa"/>
          <w:right w:w="108" w:type="dxa"/>
        </w:tblCellMar>
      </w:tblPr>
      <w:tblGrid>
        <w:gridCol w:w="960"/>
        <w:gridCol w:w="2668"/>
        <w:gridCol w:w="2988"/>
        <w:gridCol w:w="1173"/>
        <w:gridCol w:w="1067"/>
      </w:tblGrid>
      <w:tr>
        <w:tblPrEx>
          <w:tblCellMar>
            <w:top w:w="0" w:type="dxa"/>
            <w:left w:w="108" w:type="dxa"/>
            <w:bottom w:w="0" w:type="dxa"/>
            <w:right w:w="108" w:type="dxa"/>
          </w:tblCellMar>
        </w:tblPrEx>
        <w:trPr>
          <w:tblHeader/>
        </w:trPr>
        <w:tc>
          <w:p>
            <w:pPr>
              <w:pStyle w:val="24"/>
              <w:jc w:val="left"/>
            </w:pPr>
            <w:r>
              <w:t>预测层级</w:t>
            </w:r>
          </w:p>
        </w:tc>
        <w:tc>
          <w:p>
            <w:pPr>
              <w:pStyle w:val="24"/>
              <w:jc w:val="left"/>
            </w:pPr>
            <w:r>
              <w:t>预测目标</w:t>
            </w:r>
          </w:p>
        </w:tc>
        <w:tc>
          <w:p>
            <w:pPr>
              <w:pStyle w:val="24"/>
              <w:jc w:val="left"/>
            </w:pPr>
            <w:r>
              <w:t>推荐模型</w:t>
            </w:r>
          </w:p>
        </w:tc>
        <w:tc>
          <w:p>
            <w:pPr>
              <w:pStyle w:val="24"/>
              <w:jc w:val="left"/>
            </w:pPr>
            <w:r>
              <w:t>预测准确率</w:t>
            </w:r>
          </w:p>
        </w:tc>
        <w:tc>
          <w:p>
            <w:pPr>
              <w:pStyle w:val="24"/>
              <w:jc w:val="left"/>
            </w:pPr>
            <w:r>
              <w:t>更新频率</w:t>
            </w:r>
          </w:p>
        </w:tc>
      </w:tr>
      <w:tr>
        <w:tblPrEx>
          <w:tblCellMar>
            <w:top w:w="0" w:type="dxa"/>
            <w:left w:w="108" w:type="dxa"/>
            <w:bottom w:w="0" w:type="dxa"/>
            <w:right w:w="108" w:type="dxa"/>
          </w:tblCellMar>
        </w:tblPrEx>
        <w:tc>
          <w:p>
            <w:pPr>
              <w:pStyle w:val="24"/>
              <w:jc w:val="left"/>
            </w:pPr>
            <w:r>
              <w:t>宏观层面</w:t>
            </w:r>
          </w:p>
        </w:tc>
        <w:tc>
          <w:p>
            <w:pPr>
              <w:pStyle w:val="24"/>
              <w:jc w:val="left"/>
            </w:pPr>
            <w:r>
              <w:t>贸易流量、GDP增长</w:t>
            </w:r>
          </w:p>
        </w:tc>
        <w:tc>
          <w:p>
            <w:pPr>
              <w:pStyle w:val="24"/>
              <w:jc w:val="left"/>
            </w:pPr>
            <w:r>
              <w:t>ARIMAX、VAR、Prophet</w:t>
            </w:r>
          </w:p>
        </w:tc>
        <w:tc>
          <w:p>
            <w:pPr>
              <w:pStyle w:val="24"/>
              <w:jc w:val="left"/>
            </w:pPr>
            <w:r>
              <w:t>90-95%</w:t>
            </w:r>
          </w:p>
        </w:tc>
        <w:tc>
          <w:p>
            <w:pPr>
              <w:pStyle w:val="24"/>
              <w:jc w:val="left"/>
            </w:pPr>
            <w:r>
              <w:t>月度</w:t>
            </w:r>
          </w:p>
        </w:tc>
      </w:tr>
      <w:tr>
        <w:tblPrEx>
          <w:tblCellMar>
            <w:top w:w="0" w:type="dxa"/>
            <w:left w:w="108" w:type="dxa"/>
            <w:bottom w:w="0" w:type="dxa"/>
            <w:right w:w="108" w:type="dxa"/>
          </w:tblCellMar>
        </w:tblPrEx>
        <w:tc>
          <w:p>
            <w:pPr>
              <w:pStyle w:val="24"/>
              <w:jc w:val="left"/>
            </w:pPr>
            <w:r>
              <w:t>中观层面</w:t>
            </w:r>
          </w:p>
        </w:tc>
        <w:tc>
          <w:p>
            <w:pPr>
              <w:pStyle w:val="24"/>
              <w:jc w:val="left"/>
            </w:pPr>
            <w:r>
              <w:t>区域经济指标、行业变化</w:t>
            </w:r>
          </w:p>
        </w:tc>
        <w:tc>
          <w:p>
            <w:pPr>
              <w:pStyle w:val="24"/>
              <w:jc w:val="left"/>
            </w:pPr>
            <w:r>
              <w:t>XGBoost、随机森林、空间计量</w:t>
            </w:r>
          </w:p>
        </w:tc>
        <w:tc>
          <w:p>
            <w:pPr>
              <w:pStyle w:val="24"/>
              <w:jc w:val="left"/>
            </w:pPr>
            <w:r>
              <w:t>85-90%</w:t>
            </w:r>
          </w:p>
        </w:tc>
        <w:tc>
          <w:p>
            <w:pPr>
              <w:pStyle w:val="24"/>
              <w:jc w:val="left"/>
            </w:pPr>
            <w:r>
              <w:t>季度</w:t>
            </w:r>
          </w:p>
        </w:tc>
      </w:tr>
      <w:tr>
        <w:tblPrEx>
          <w:tblCellMar>
            <w:top w:w="0" w:type="dxa"/>
            <w:left w:w="108" w:type="dxa"/>
            <w:bottom w:w="0" w:type="dxa"/>
            <w:right w:w="108" w:type="dxa"/>
          </w:tblCellMar>
        </w:tblPrEx>
        <w:tc>
          <w:p>
            <w:pPr>
              <w:pStyle w:val="24"/>
              <w:jc w:val="left"/>
            </w:pPr>
            <w:r>
              <w:t>微观层面</w:t>
            </w:r>
          </w:p>
        </w:tc>
        <w:tc>
          <w:p>
            <w:pPr>
              <w:pStyle w:val="24"/>
              <w:jc w:val="left"/>
            </w:pPr>
            <w:r>
              <w:t>企业生产决策、消费者行为</w:t>
            </w:r>
          </w:p>
        </w:tc>
        <w:tc>
          <w:p>
            <w:pPr>
              <w:pStyle w:val="24"/>
              <w:jc w:val="left"/>
            </w:pPr>
            <w:r>
              <w:t>深度学习、Agent模拟</w:t>
            </w:r>
          </w:p>
        </w:tc>
        <w:tc>
          <w:p>
            <w:pPr>
              <w:pStyle w:val="24"/>
              <w:jc w:val="left"/>
            </w:pPr>
            <w:r>
              <w:t>80-85%</w:t>
            </w:r>
          </w:p>
        </w:tc>
        <w:tc>
          <w:p>
            <w:pPr>
              <w:pStyle w:val="24"/>
              <w:jc w:val="left"/>
            </w:pPr>
            <w:r>
              <w:t>实时/周度</w:t>
            </w:r>
          </w:p>
        </w:tc>
      </w:tr>
    </w:tbl>
    <w:p>
      <w:pPr>
        <w:pStyle w:val="3"/>
      </w:pPr>
      <w:r>
        <w:t>该平台应具备以下关键特性：</w:t>
      </w:r>
    </w:p>
    <w:p>
      <w:pPr>
        <w:numPr>
          <w:ilvl w:val="0"/>
          <w:numId w:val="16"/>
        </w:numPr>
      </w:pPr>
      <w:r>
        <w:rPr>
          <w:b/>
          <w:bCs/>
        </w:rPr>
        <w:t>自适应学习能力</w:t>
      </w:r>
      <w:r>
        <w:t>：持续吸收新数据，通过在线学习算法自动更新模型参数，确保预测准确性不随时间衰减；</w:t>
      </w:r>
    </w:p>
    <w:p>
      <w:pPr>
        <w:numPr>
          <w:ilvl w:val="0"/>
          <w:numId w:val="16"/>
        </w:numPr>
      </w:pPr>
      <w:r>
        <w:rPr>
          <w:b/>
          <w:bCs/>
        </w:rPr>
        <w:t>场景模拟功能</w:t>
      </w:r>
      <w:r>
        <w:t>：允许政策制定者设定不同关税情景（如税率变化、覆盖范围调整），模拟评估各种政策效果；</w:t>
      </w:r>
    </w:p>
    <w:p>
      <w:pPr>
        <w:numPr>
          <w:ilvl w:val="0"/>
          <w:numId w:val="16"/>
        </w:numPr>
      </w:pPr>
      <w:r>
        <w:rPr>
          <w:b/>
          <w:bCs/>
        </w:rPr>
        <w:t>多模型集成机制</w:t>
      </w:r>
      <w:r>
        <w:t>：整合多种算法预测结果，赋予不同权重，随着预测表现动态调整权重分配；</w:t>
      </w:r>
    </w:p>
    <w:p>
      <w:pPr>
        <w:numPr>
          <w:ilvl w:val="0"/>
          <w:numId w:val="16"/>
        </w:numPr>
      </w:pPr>
      <w:r>
        <w:rPr>
          <w:b/>
          <w:bCs/>
        </w:rPr>
        <w:t>可解释性展示</w:t>
      </w:r>
      <w:r>
        <w:t>：通过SHAP值分析、部分依赖图等方式，解释影响预测的关键因素，增强决策透明度。</w:t>
      </w:r>
    </w:p>
    <w:bookmarkEnd w:id="41"/>
    <w:p>
      <w:pPr>
        <w:pStyle w:val="5"/>
      </w:pPr>
      <w:bookmarkStart w:id="42" w:name="实时风险监测系统"/>
      <w:r>
        <w:t>2. 实时风险监测系统</w:t>
      </w:r>
    </w:p>
    <w:p>
      <w:pPr>
        <w:pStyle w:val="23"/>
      </w:pPr>
      <w:r>
        <w:t>建立基于机器学习的实时风险监测系统，对经济冲击和社会风险进行早期预警：</w:t>
      </w:r>
    </w:p>
    <w:p>
      <w:pPr>
        <w:pStyle w:val="44"/>
      </w:pPr>
      <w:r>
        <w:t>实时风险监测指标体系</w:t>
      </w:r>
    </w:p>
    <w:tbl>
      <w:tblPr>
        <w:tblStyle w:val="41"/>
        <w:tblW w:w="0" w:type="auto"/>
        <w:tblCaption w:val="实时风险监测指标体系"/>
        <w:tblInd w:w="0" w:type="dxa"/>
        <w:tblLayout w:type="autofit"/>
        <w:tblCellMar>
          <w:top w:w="0" w:type="dxa"/>
          <w:left w:w="108" w:type="dxa"/>
          <w:bottom w:w="0" w:type="dxa"/>
          <w:right w:w="108" w:type="dxa"/>
        </w:tblCellMar>
      </w:tblPr>
      <w:tblGrid>
        <w:gridCol w:w="1176"/>
        <w:gridCol w:w="2136"/>
        <w:gridCol w:w="1896"/>
        <w:gridCol w:w="1656"/>
        <w:gridCol w:w="1176"/>
      </w:tblGrid>
      <w:tr>
        <w:tblPrEx>
          <w:tblCellMar>
            <w:top w:w="0" w:type="dxa"/>
            <w:left w:w="108" w:type="dxa"/>
            <w:bottom w:w="0" w:type="dxa"/>
            <w:right w:w="108" w:type="dxa"/>
          </w:tblCellMar>
        </w:tblPrEx>
        <w:trPr>
          <w:tblHeader/>
        </w:trPr>
        <w:tc>
          <w:p>
            <w:pPr>
              <w:pStyle w:val="24"/>
              <w:jc w:val="left"/>
            </w:pPr>
            <w:r>
              <w:t>风险类别</w:t>
            </w:r>
          </w:p>
        </w:tc>
        <w:tc>
          <w:p>
            <w:pPr>
              <w:pStyle w:val="24"/>
              <w:jc w:val="left"/>
            </w:pPr>
            <w:r>
              <w:t>监测指标</w:t>
            </w:r>
          </w:p>
        </w:tc>
        <w:tc>
          <w:p>
            <w:pPr>
              <w:pStyle w:val="24"/>
              <w:jc w:val="left"/>
            </w:pPr>
            <w:r>
              <w:t>数据来源</w:t>
            </w:r>
          </w:p>
        </w:tc>
        <w:tc>
          <w:p>
            <w:pPr>
              <w:pStyle w:val="24"/>
              <w:jc w:val="left"/>
            </w:pPr>
            <w:r>
              <w:t>机器学习方法</w:t>
            </w:r>
          </w:p>
        </w:tc>
        <w:tc>
          <w:p>
            <w:pPr>
              <w:pStyle w:val="24"/>
              <w:jc w:val="left"/>
            </w:pPr>
            <w:r>
              <w:t>预警阈值</w:t>
            </w:r>
          </w:p>
        </w:tc>
      </w:tr>
      <w:tr>
        <w:tblPrEx>
          <w:tblCellMar>
            <w:top w:w="0" w:type="dxa"/>
            <w:left w:w="108" w:type="dxa"/>
            <w:bottom w:w="0" w:type="dxa"/>
            <w:right w:w="108" w:type="dxa"/>
          </w:tblCellMar>
        </w:tblPrEx>
        <w:tc>
          <w:p>
            <w:pPr>
              <w:pStyle w:val="24"/>
              <w:jc w:val="left"/>
            </w:pPr>
            <w:r>
              <w:t>经济风险</w:t>
            </w:r>
          </w:p>
        </w:tc>
        <w:tc>
          <w:p>
            <w:pPr>
              <w:pStyle w:val="24"/>
              <w:jc w:val="left"/>
            </w:pPr>
            <w:r>
              <w:t>贸易冲击指数</w:t>
            </w:r>
          </w:p>
        </w:tc>
        <w:tc>
          <w:p>
            <w:pPr>
              <w:pStyle w:val="24"/>
              <w:jc w:val="left"/>
            </w:pPr>
            <w:r>
              <w:t>海关数据</w:t>
            </w:r>
          </w:p>
        </w:tc>
        <w:tc>
          <w:p>
            <w:pPr>
              <w:pStyle w:val="24"/>
              <w:jc w:val="left"/>
            </w:pPr>
            <w:r>
              <w:t>梯度提升树</w:t>
            </w:r>
          </w:p>
        </w:tc>
        <w:tc>
          <w:p>
            <w:pPr>
              <w:pStyle w:val="24"/>
              <w:jc w:val="left"/>
            </w:pPr>
            <w:r>
              <w:t>&gt; 0.75</w:t>
            </w:r>
          </w:p>
        </w:tc>
      </w:tr>
      <w:tr>
        <w:tblPrEx>
          <w:tblCellMar>
            <w:top w:w="0" w:type="dxa"/>
            <w:left w:w="108" w:type="dxa"/>
            <w:bottom w:w="0" w:type="dxa"/>
            <w:right w:w="108" w:type="dxa"/>
          </w:tblCellMar>
        </w:tblPrEx>
        <w:tc>
          <w:p>
            <w:pPr>
              <w:pStyle w:val="24"/>
              <w:jc w:val="left"/>
            </w:pPr>
            <w:r>
              <w:t>经济风险</w:t>
            </w:r>
          </w:p>
        </w:tc>
        <w:tc>
          <w:p>
            <w:pPr>
              <w:pStyle w:val="24"/>
              <w:jc w:val="left"/>
            </w:pPr>
            <w:r>
              <w:t>供应链脆弱性指标</w:t>
            </w:r>
          </w:p>
        </w:tc>
        <w:tc>
          <w:p>
            <w:pPr>
              <w:pStyle w:val="24"/>
              <w:jc w:val="left"/>
            </w:pPr>
            <w:r>
              <w:t>产业链数据</w:t>
            </w:r>
          </w:p>
        </w:tc>
        <w:tc>
          <w:p>
            <w:pPr>
              <w:pStyle w:val="24"/>
              <w:jc w:val="left"/>
            </w:pPr>
            <w:r>
              <w:t>神经网络</w:t>
            </w:r>
          </w:p>
        </w:tc>
        <w:tc>
          <w:p>
            <w:pPr>
              <w:pStyle w:val="24"/>
              <w:jc w:val="left"/>
            </w:pPr>
            <w:r>
              <w:t>&gt; 0.65</w:t>
            </w:r>
          </w:p>
        </w:tc>
      </w:tr>
      <w:tr>
        <w:tblPrEx>
          <w:tblCellMar>
            <w:top w:w="0" w:type="dxa"/>
            <w:left w:w="108" w:type="dxa"/>
            <w:bottom w:w="0" w:type="dxa"/>
            <w:right w:w="108" w:type="dxa"/>
          </w:tblCellMar>
        </w:tblPrEx>
        <w:tc>
          <w:p>
            <w:pPr>
              <w:pStyle w:val="24"/>
              <w:jc w:val="left"/>
            </w:pPr>
            <w:r>
              <w:t>社会风险</w:t>
            </w:r>
          </w:p>
        </w:tc>
        <w:tc>
          <w:p>
            <w:pPr>
              <w:pStyle w:val="24"/>
              <w:jc w:val="left"/>
            </w:pPr>
            <w:r>
              <w:t>失业风险指数</w:t>
            </w:r>
          </w:p>
        </w:tc>
        <w:tc>
          <w:p>
            <w:pPr>
              <w:pStyle w:val="24"/>
              <w:jc w:val="left"/>
            </w:pPr>
            <w:r>
              <w:t>劳动力市场数据</w:t>
            </w:r>
          </w:p>
        </w:tc>
        <w:tc>
          <w:p>
            <w:pPr>
              <w:pStyle w:val="24"/>
              <w:jc w:val="left"/>
            </w:pPr>
            <w:r>
              <w:t>随机森林</w:t>
            </w:r>
          </w:p>
        </w:tc>
        <w:tc>
          <w:p>
            <w:pPr>
              <w:pStyle w:val="24"/>
              <w:jc w:val="left"/>
            </w:pPr>
            <w:r>
              <w:t>&gt; 0.70</w:t>
            </w:r>
          </w:p>
        </w:tc>
      </w:tr>
      <w:tr>
        <w:tblPrEx>
          <w:tblCellMar>
            <w:top w:w="0" w:type="dxa"/>
            <w:left w:w="108" w:type="dxa"/>
            <w:bottom w:w="0" w:type="dxa"/>
            <w:right w:w="108" w:type="dxa"/>
          </w:tblCellMar>
        </w:tblPrEx>
        <w:tc>
          <w:p>
            <w:pPr>
              <w:pStyle w:val="24"/>
              <w:jc w:val="left"/>
            </w:pPr>
            <w:r>
              <w:t>社会风险</w:t>
            </w:r>
          </w:p>
        </w:tc>
        <w:tc>
          <w:p>
            <w:pPr>
              <w:pStyle w:val="24"/>
              <w:jc w:val="left"/>
            </w:pPr>
            <w:r>
              <w:t>社会情绪波动指标</w:t>
            </w:r>
          </w:p>
        </w:tc>
        <w:tc>
          <w:p>
            <w:pPr>
              <w:pStyle w:val="24"/>
              <w:jc w:val="left"/>
            </w:pPr>
            <w:r>
              <w:t>社交媒体</w:t>
            </w:r>
          </w:p>
        </w:tc>
        <w:tc>
          <w:p>
            <w:pPr>
              <w:pStyle w:val="24"/>
              <w:jc w:val="left"/>
            </w:pPr>
            <w:r>
              <w:t>LSTM</w:t>
            </w:r>
          </w:p>
        </w:tc>
        <w:tc>
          <w:p>
            <w:pPr>
              <w:pStyle w:val="24"/>
              <w:jc w:val="left"/>
            </w:pPr>
            <w:r>
              <w:t>&gt; 0.60</w:t>
            </w:r>
          </w:p>
        </w:tc>
      </w:tr>
      <w:tr>
        <w:tblPrEx>
          <w:tblCellMar>
            <w:top w:w="0" w:type="dxa"/>
            <w:left w:w="108" w:type="dxa"/>
            <w:bottom w:w="0" w:type="dxa"/>
            <w:right w:w="108" w:type="dxa"/>
          </w:tblCellMar>
        </w:tblPrEx>
        <w:tc>
          <w:p>
            <w:pPr>
              <w:pStyle w:val="24"/>
              <w:jc w:val="left"/>
            </w:pPr>
            <w:r>
              <w:t>冲突风险</w:t>
            </w:r>
          </w:p>
        </w:tc>
        <w:tc>
          <w:p>
            <w:pPr>
              <w:pStyle w:val="24"/>
              <w:jc w:val="left"/>
            </w:pPr>
            <w:r>
              <w:t>外交关系张力指数</w:t>
            </w:r>
          </w:p>
        </w:tc>
        <w:tc>
          <w:p>
            <w:pPr>
              <w:pStyle w:val="24"/>
              <w:jc w:val="left"/>
            </w:pPr>
            <w:r>
              <w:t>外交活动记录</w:t>
            </w:r>
          </w:p>
        </w:tc>
        <w:tc>
          <w:p>
            <w:pPr>
              <w:pStyle w:val="24"/>
              <w:jc w:val="left"/>
            </w:pPr>
            <w:r>
              <w:t>集成模型</w:t>
            </w:r>
          </w:p>
        </w:tc>
        <w:tc>
          <w:p>
            <w:pPr>
              <w:pStyle w:val="24"/>
              <w:jc w:val="left"/>
            </w:pPr>
            <w:r>
              <w:t>&gt; 0.55</w:t>
            </w:r>
          </w:p>
        </w:tc>
      </w:tr>
      <w:tr>
        <w:tblPrEx>
          <w:tblCellMar>
            <w:top w:w="0" w:type="dxa"/>
            <w:left w:w="108" w:type="dxa"/>
            <w:bottom w:w="0" w:type="dxa"/>
            <w:right w:w="108" w:type="dxa"/>
          </w:tblCellMar>
        </w:tblPrEx>
        <w:tc>
          <w:p>
            <w:pPr>
              <w:pStyle w:val="24"/>
              <w:jc w:val="left"/>
            </w:pPr>
            <w:r>
              <w:t>冲突风险</w:t>
            </w:r>
          </w:p>
        </w:tc>
        <w:tc>
          <w:p>
            <w:pPr>
              <w:pStyle w:val="24"/>
              <w:jc w:val="left"/>
            </w:pPr>
            <w:r>
              <w:t>资源依赖风险指标</w:t>
            </w:r>
          </w:p>
        </w:tc>
        <w:tc>
          <w:p>
            <w:pPr>
              <w:pStyle w:val="24"/>
              <w:jc w:val="left"/>
            </w:pPr>
            <w:r>
              <w:t>战略资源数据</w:t>
            </w:r>
          </w:p>
        </w:tc>
        <w:tc>
          <w:p>
            <w:pPr>
              <w:pStyle w:val="24"/>
              <w:jc w:val="left"/>
            </w:pPr>
            <w:r>
              <w:t>贝叶斯网络</w:t>
            </w:r>
          </w:p>
        </w:tc>
        <w:tc>
          <w:p>
            <w:pPr>
              <w:pStyle w:val="24"/>
              <w:jc w:val="left"/>
            </w:pPr>
            <w:r>
              <w:t>&gt; 0.75</w:t>
            </w:r>
          </w:p>
        </w:tc>
      </w:tr>
    </w:tbl>
    <w:p>
      <w:pPr>
        <w:pStyle w:val="3"/>
      </w:pPr>
      <w:r>
        <w:t>该系统的主要特点包括：</w:t>
      </w:r>
    </w:p>
    <w:p>
      <w:pPr>
        <w:numPr>
          <w:ilvl w:val="0"/>
          <w:numId w:val="17"/>
        </w:numPr>
      </w:pPr>
      <w:r>
        <w:rPr>
          <w:b/>
          <w:bCs/>
        </w:rPr>
        <w:t>多源数据整合</w:t>
      </w:r>
      <w:r>
        <w:t>：实时采集和整合贸易数据、社交媒体情感、新闻事件等多源数据；</w:t>
      </w:r>
    </w:p>
    <w:p>
      <w:pPr>
        <w:numPr>
          <w:ilvl w:val="0"/>
          <w:numId w:val="17"/>
        </w:numPr>
      </w:pPr>
      <w:r>
        <w:rPr>
          <w:b/>
          <w:bCs/>
        </w:rPr>
        <w:t>异常检测算法</w:t>
      </w:r>
      <w:r>
        <w:t>：使用深度学习模型检测时间序列异常点，识别潜在风险事件；</w:t>
      </w:r>
    </w:p>
    <w:p>
      <w:pPr>
        <w:numPr>
          <w:ilvl w:val="0"/>
          <w:numId w:val="17"/>
        </w:numPr>
      </w:pPr>
      <w:r>
        <w:rPr>
          <w:b/>
          <w:bCs/>
        </w:rPr>
        <w:t>分级预警机制</w:t>
      </w:r>
      <w:r>
        <w:t>：根据风险严重程度和紧迫性，建立四级（常态、关注、警戒、紧急）预警信号；</w:t>
      </w:r>
    </w:p>
    <w:p>
      <w:pPr>
        <w:numPr>
          <w:ilvl w:val="0"/>
          <w:numId w:val="17"/>
        </w:numPr>
      </w:pPr>
      <w:r>
        <w:rPr>
          <w:b/>
          <w:bCs/>
        </w:rPr>
        <w:t>传导路径追踪</w:t>
      </w:r>
      <w:r>
        <w:t>：辨识风险在不同领域和区域间的传导路径，预测风险扩散趋势。</w:t>
      </w:r>
    </w:p>
    <w:bookmarkEnd w:id="42"/>
    <w:p>
      <w:pPr>
        <w:pStyle w:val="5"/>
      </w:pPr>
      <w:bookmarkStart w:id="43" w:name="知识图谱与因果推理系统"/>
      <w:r>
        <w:t>3. 知识图谱与因果推理系统</w:t>
      </w:r>
    </w:p>
    <w:p>
      <w:pPr>
        <w:pStyle w:val="23"/>
      </w:pPr>
      <w:r>
        <w:t>构建中美关系知识图谱，实现风险的因果推理与干预评估：</w:t>
      </w:r>
    </w:p>
    <w:p>
      <w:pPr>
        <w:numPr>
          <w:ilvl w:val="0"/>
          <w:numId w:val="18"/>
        </w:numPr>
      </w:pPr>
      <w:r>
        <w:rPr>
          <w:b/>
          <w:bCs/>
        </w:rPr>
        <w:t>动态知识图谱</w:t>
      </w:r>
      <w:r>
        <w:t>：整合涵盖经济、外交、军事、科技等多个领域的数据，构建包含实体关系与时序演变的知识图谱；</w:t>
      </w:r>
    </w:p>
    <w:p>
      <w:pPr>
        <w:numPr>
          <w:ilvl w:val="0"/>
          <w:numId w:val="18"/>
        </w:numPr>
      </w:pPr>
      <w:r>
        <w:rPr>
          <w:b/>
          <w:bCs/>
        </w:rPr>
        <w:t>因果发现算法</w:t>
      </w:r>
      <w:r>
        <w:t>：应用PC算法、GES算法等因果发现方法，从观测数据中推断潜在因果关系；</w:t>
      </w:r>
    </w:p>
    <w:p>
      <w:pPr>
        <w:numPr>
          <w:ilvl w:val="0"/>
          <w:numId w:val="18"/>
        </w:numPr>
      </w:pPr>
      <w:r>
        <w:rPr>
          <w:b/>
          <w:bCs/>
        </w:rPr>
        <w:t>干预效果评估</w:t>
      </w:r>
      <w:r>
        <w:t>：基于因果推断模型（如双重机器学习、CATE估计）评估各种政策干预的效果；</w:t>
      </w:r>
    </w:p>
    <w:p>
      <w:pPr>
        <w:numPr>
          <w:ilvl w:val="0"/>
          <w:numId w:val="18"/>
        </w:numPr>
      </w:pPr>
      <w:r>
        <w:rPr>
          <w:b/>
          <w:bCs/>
        </w:rPr>
        <w:t>反事实模拟</w:t>
      </w:r>
      <w:r>
        <w:t>：构建反事实分析框架，评估”如果不实施某项关税措施，会发生什么”。</w:t>
      </w:r>
    </w:p>
    <w:p>
      <w:pPr>
        <w:pStyle w:val="23"/>
      </w:pPr>
      <w:r>
        <w:t>系统开发建议采用模块化架构，首期可选择关键领域（如关税贸易、消费者信心、区域经济、冲突风险）试点实施，后续逐步拓展至全面覆盖。平台与现有经济决策支持系统对接，为宏观政策制定提供数据与模型支撑。</w:t>
      </w:r>
    </w:p>
    <w:p>
      <w:pPr>
        <w:pStyle w:val="3"/>
      </w:pPr>
      <w:r>
        <w:t>预计全面建设周期为3年，总投入约1200-1500万元，包括数据资源整合、算法研发、平台建设和人才培养等方面。投入产出比分析显示，该系统可减少10-15%的决策不确定性，提高应对关税冲击的韧性，经济效益显著。</w:t>
      </w:r>
    </w:p>
    <w:bookmarkEnd w:id="36"/>
    <w:bookmarkEnd w:id="40"/>
    <w:bookmarkEnd w:id="43"/>
    <w:p>
      <w:pPr>
        <w:pStyle w:val="2"/>
      </w:pPr>
      <w:bookmarkStart w:id="44" w:name="第六章结论与展望"/>
      <w:r>
        <w:t>第六章：结论与展望</w:t>
      </w:r>
    </w:p>
    <w:p>
      <w:pPr>
        <w:pStyle w:val="4"/>
      </w:pPr>
      <w:bookmarkStart w:id="45" w:name="主要结论"/>
      <w:r>
        <w:t>主要结论</w:t>
      </w:r>
    </w:p>
    <w:p>
      <w:pPr>
        <w:pStyle w:val="23"/>
      </w:pPr>
      <w:r>
        <w:t>本研究从多学科视角分析了中美关税战的多维度影响，通过统计建模与机器学习方法得出以下主要结论：</w:t>
      </w:r>
    </w:p>
    <w:p>
      <w:pPr>
        <w:pStyle w:val="24"/>
        <w:numPr>
          <w:ilvl w:val="0"/>
          <w:numId w:val="19"/>
        </w:numPr>
      </w:pPr>
      <w:r>
        <w:rPr>
          <w:b/>
          <w:bCs/>
        </w:rPr>
        <w:t>关税影响的异质性与传导机制</w:t>
      </w:r>
      <w:r>
        <w:t>：我们的面板数据模型显示，关税对不同行业、不同地区的影响存在显著异质性。面板固定效应模型（R²=0.78）表明，贸易依存度每增加10个百分点，关税对GDP增长率的负面影响增加0.32个百分点。空间计量模型进一步识别了显著的空间溢出效应，关税冲击通过产业链关联向相邻地区传导，乘数效应达到1.45。</w:t>
      </w:r>
    </w:p>
    <w:p>
      <w:pPr>
        <w:pStyle w:val="44"/>
      </w:pPr>
      <w:r>
        <w:t>关税冲击的空间溢出效应</w:t>
      </w:r>
    </w:p>
    <w:tbl>
      <w:tblPr>
        <w:tblStyle w:val="41"/>
        <w:tblW w:w="0" w:type="auto"/>
        <w:tblCaption w:val="关税冲击的空间溢出效应"/>
        <w:tblInd w:w="0" w:type="dxa"/>
        <w:tblLayout w:type="autofit"/>
        <w:tblCellMar>
          <w:top w:w="0" w:type="dxa"/>
          <w:left w:w="108" w:type="dxa"/>
          <w:bottom w:w="0" w:type="dxa"/>
          <w:right w:w="108" w:type="dxa"/>
        </w:tblCellMar>
      </w:tblPr>
      <w:tblGrid>
        <w:gridCol w:w="2856"/>
        <w:gridCol w:w="1656"/>
        <w:gridCol w:w="1107"/>
        <w:gridCol w:w="1656"/>
      </w:tblGrid>
      <w:tr>
        <w:tblPrEx>
          <w:tblCellMar>
            <w:top w:w="0" w:type="dxa"/>
            <w:left w:w="108" w:type="dxa"/>
            <w:bottom w:w="0" w:type="dxa"/>
            <w:right w:w="108" w:type="dxa"/>
          </w:tblCellMar>
        </w:tblPrEx>
        <w:trPr>
          <w:tblHeader/>
        </w:trPr>
        <w:tc>
          <w:p>
            <w:pPr>
              <w:pStyle w:val="24"/>
              <w:jc w:val="left"/>
            </w:pPr>
            <w:r>
              <w:t>区域对</w:t>
            </w:r>
          </w:p>
        </w:tc>
        <w:tc>
          <w:p>
            <w:pPr>
              <w:pStyle w:val="24"/>
              <w:jc w:val="right"/>
            </w:pPr>
            <w:r>
              <w:t>空间滞后系数</w:t>
            </w:r>
          </w:p>
        </w:tc>
        <w:tc>
          <w:p>
            <w:pPr>
              <w:pStyle w:val="24"/>
              <w:jc w:val="left"/>
            </w:pPr>
            <w:r>
              <w:t>显著性</w:t>
            </w:r>
          </w:p>
        </w:tc>
        <w:tc>
          <w:p>
            <w:pPr>
              <w:pStyle w:val="24"/>
              <w:jc w:val="left"/>
            </w:pPr>
            <w:r>
              <w:t>传导强度评级</w:t>
            </w:r>
          </w:p>
        </w:tc>
      </w:tr>
      <w:tr>
        <w:tblPrEx>
          <w:tblCellMar>
            <w:top w:w="0" w:type="dxa"/>
            <w:left w:w="108" w:type="dxa"/>
            <w:bottom w:w="0" w:type="dxa"/>
            <w:right w:w="108" w:type="dxa"/>
          </w:tblCellMar>
        </w:tblPrEx>
        <w:tc>
          <w:p>
            <w:pPr>
              <w:pStyle w:val="24"/>
              <w:jc w:val="left"/>
            </w:pPr>
            <w:r>
              <w:t>沿海→内陆</w:t>
            </w:r>
          </w:p>
        </w:tc>
        <w:tc>
          <w:p>
            <w:pPr>
              <w:pStyle w:val="24"/>
              <w:jc w:val="right"/>
            </w:pPr>
            <w:r>
              <w:t>0.42</w:t>
            </w:r>
          </w:p>
        </w:tc>
        <w:tc>
          <w:p>
            <w:pPr>
              <w:pStyle w:val="24"/>
              <w:jc w:val="left"/>
            </w:pPr>
            <w:r>
              <w:t>&lt;0.001</w:t>
            </w:r>
          </w:p>
        </w:tc>
        <w:tc>
          <w:p>
            <w:pPr>
              <w:pStyle w:val="24"/>
              <w:jc w:val="left"/>
            </w:pPr>
            <w:r>
              <w:t>高</w:t>
            </w:r>
          </w:p>
        </w:tc>
      </w:tr>
      <w:tr>
        <w:tblPrEx>
          <w:tblCellMar>
            <w:top w:w="0" w:type="dxa"/>
            <w:left w:w="108" w:type="dxa"/>
            <w:bottom w:w="0" w:type="dxa"/>
            <w:right w:w="108" w:type="dxa"/>
          </w:tblCellMar>
        </w:tblPrEx>
        <w:tc>
          <w:p>
            <w:pPr>
              <w:pStyle w:val="24"/>
              <w:jc w:val="left"/>
            </w:pPr>
            <w:r>
              <w:t>东部→中部</w:t>
            </w:r>
          </w:p>
        </w:tc>
        <w:tc>
          <w:p>
            <w:pPr>
              <w:pStyle w:val="24"/>
              <w:jc w:val="right"/>
            </w:pPr>
            <w:r>
              <w:t>0.38</w:t>
            </w:r>
          </w:p>
        </w:tc>
        <w:tc>
          <w:p>
            <w:pPr>
              <w:pStyle w:val="24"/>
              <w:jc w:val="left"/>
            </w:pPr>
            <w:r>
              <w:t>&lt;0.001</w:t>
            </w:r>
          </w:p>
        </w:tc>
        <w:tc>
          <w:p>
            <w:pPr>
              <w:pStyle w:val="24"/>
              <w:jc w:val="left"/>
            </w:pPr>
            <w:r>
              <w:t>高</w:t>
            </w:r>
          </w:p>
        </w:tc>
      </w:tr>
      <w:tr>
        <w:tblPrEx>
          <w:tblCellMar>
            <w:top w:w="0" w:type="dxa"/>
            <w:left w:w="108" w:type="dxa"/>
            <w:bottom w:w="0" w:type="dxa"/>
            <w:right w:w="108" w:type="dxa"/>
          </w:tblCellMar>
        </w:tblPrEx>
        <w:tc>
          <w:p>
            <w:pPr>
              <w:pStyle w:val="24"/>
              <w:jc w:val="left"/>
            </w:pPr>
            <w:r>
              <w:t>制造业密集→服务业密集</w:t>
            </w:r>
          </w:p>
        </w:tc>
        <w:tc>
          <w:p>
            <w:pPr>
              <w:pStyle w:val="24"/>
              <w:jc w:val="right"/>
            </w:pPr>
            <w:r>
              <w:t>0.31</w:t>
            </w:r>
          </w:p>
        </w:tc>
        <w:tc>
          <w:p>
            <w:pPr>
              <w:pStyle w:val="24"/>
              <w:jc w:val="left"/>
            </w:pPr>
            <w:r>
              <w:t>&lt;0.01</w:t>
            </w:r>
          </w:p>
        </w:tc>
        <w:tc>
          <w:p>
            <w:pPr>
              <w:pStyle w:val="24"/>
              <w:jc w:val="left"/>
            </w:pPr>
            <w:r>
              <w:t>中</w:t>
            </w:r>
          </w:p>
        </w:tc>
      </w:tr>
      <w:tr>
        <w:tblPrEx>
          <w:tblCellMar>
            <w:top w:w="0" w:type="dxa"/>
            <w:left w:w="108" w:type="dxa"/>
            <w:bottom w:w="0" w:type="dxa"/>
            <w:right w:w="108" w:type="dxa"/>
          </w:tblCellMar>
        </w:tblPrEx>
        <w:tc>
          <w:p>
            <w:pPr>
              <w:pStyle w:val="24"/>
              <w:jc w:val="left"/>
            </w:pPr>
            <w:r>
              <w:t>出口导向→内需导向</w:t>
            </w:r>
          </w:p>
        </w:tc>
        <w:tc>
          <w:p>
            <w:pPr>
              <w:pStyle w:val="24"/>
              <w:jc w:val="right"/>
            </w:pPr>
            <w:r>
              <w:t>0.26</w:t>
            </w:r>
          </w:p>
        </w:tc>
        <w:tc>
          <w:p>
            <w:pPr>
              <w:pStyle w:val="24"/>
              <w:jc w:val="left"/>
            </w:pPr>
            <w:r>
              <w:t>&lt;0.01</w:t>
            </w:r>
          </w:p>
        </w:tc>
        <w:tc>
          <w:p>
            <w:pPr>
              <w:pStyle w:val="24"/>
              <w:jc w:val="left"/>
            </w:pPr>
            <w:r>
              <w:t>中</w:t>
            </w:r>
          </w:p>
        </w:tc>
      </w:tr>
      <w:tr>
        <w:tblPrEx>
          <w:tblCellMar>
            <w:top w:w="0" w:type="dxa"/>
            <w:left w:w="108" w:type="dxa"/>
            <w:bottom w:w="0" w:type="dxa"/>
            <w:right w:w="108" w:type="dxa"/>
          </w:tblCellMar>
        </w:tblPrEx>
        <w:tc>
          <w:p>
            <w:pPr>
              <w:pStyle w:val="24"/>
              <w:jc w:val="left"/>
            </w:pPr>
            <w:r>
              <w:t>外资密集→本土企业密集</w:t>
            </w:r>
          </w:p>
        </w:tc>
        <w:tc>
          <w:p>
            <w:pPr>
              <w:pStyle w:val="24"/>
              <w:jc w:val="right"/>
            </w:pPr>
            <w:r>
              <w:t>0.22</w:t>
            </w:r>
          </w:p>
        </w:tc>
        <w:tc>
          <w:p>
            <w:pPr>
              <w:pStyle w:val="24"/>
              <w:jc w:val="left"/>
            </w:pPr>
            <w:r>
              <w:t>&lt;0.05</w:t>
            </w:r>
          </w:p>
        </w:tc>
        <w:tc>
          <w:p>
            <w:pPr>
              <w:pStyle w:val="24"/>
              <w:jc w:val="left"/>
            </w:pPr>
            <w:r>
              <w:t>低</w:t>
            </w:r>
          </w:p>
        </w:tc>
      </w:tr>
    </w:tbl>
    <w:p>
      <w:pPr>
        <w:numPr>
          <w:ilvl w:val="0"/>
          <w:numId w:val="20"/>
        </w:numPr>
      </w:pPr>
      <w:r>
        <w:rPr>
          <w:b/>
          <w:bCs/>
        </w:rPr>
        <w:t>供应链调整的经济成本</w:t>
      </w:r>
      <w:r>
        <w:t>：基于机器学习模型的供应链仿真表明，供应链调整伴随着高昂成本和长期调整期。预测模型显示，完全调整需要3-5年时间，整体调整成本约为年贸易额的8.7%。XGBoost模型（验证集RMSE=2.34%）精确预测了不同行业的供应链迁移概率，电子和纺织行业位列前茅。</w:t>
      </w:r>
    </w:p>
    <w:p>
      <w:pPr>
        <w:numPr>
          <w:ilvl w:val="0"/>
          <w:numId w:val="20"/>
        </w:numPr>
      </w:pPr>
      <w:r>
        <w:rPr>
          <w:b/>
          <w:bCs/>
        </w:rPr>
        <w:t>消费者信心的波动与适应</w:t>
      </w:r>
      <w:r>
        <w:t>：断点回归分析（RDD）证实，第一轮关税实施后美国消费者信心显著下降了5.6个点（p&lt;0.01），而中国则下降了3.2个点（p&lt;0.05）。时间序列预测模型（MAPE=7.3%）显示，消费者信心会在12-18个月内逐渐适应新的关税环境，但仍低于关税战前水平。</w:t>
      </w:r>
    </w:p>
    <w:p>
      <w:pPr>
        <w:numPr>
          <w:ilvl w:val="0"/>
          <w:numId w:val="20"/>
        </w:numPr>
      </w:pPr>
      <w:r>
        <w:rPr>
          <w:b/>
          <w:bCs/>
        </w:rPr>
        <w:t>社交媒体情感作为市场预测指标</w:t>
      </w:r>
      <w:r>
        <w:t>：Granger因果检验证实社交媒体负面情绪增加是市场波动的领先指标（F=8.74, p&lt;0.01）。机器学习情感分析模型（准确率86.7%）捕捉到负面情绪在关税公告后48小时内达到峰值，并在两周内逐渐消退。情感趋势预测模型（集成学习，MAPE=7.8%）成功预测了未来情绪波动。</w:t>
      </w:r>
    </w:p>
    <w:p>
      <w:pPr>
        <w:pStyle w:val="44"/>
      </w:pPr>
      <w:r>
        <w:t>社交媒体情感与市场波动关系 (滞后天数)</w:t>
      </w:r>
    </w:p>
    <w:tbl>
      <w:tblPr>
        <w:tblStyle w:val="41"/>
        <w:tblW w:w="0" w:type="auto"/>
        <w:tblCaption w:val="社交媒体情感与市场波动关系 (滞后天数)"/>
        <w:tblInd w:w="0" w:type="dxa"/>
        <w:tblLayout w:type="autofit"/>
        <w:tblCellMar>
          <w:top w:w="0" w:type="dxa"/>
          <w:left w:w="108" w:type="dxa"/>
          <w:bottom w:w="0" w:type="dxa"/>
          <w:right w:w="108" w:type="dxa"/>
        </w:tblCellMar>
      </w:tblPr>
      <w:tblGrid>
        <w:gridCol w:w="1176"/>
        <w:gridCol w:w="1176"/>
        <w:gridCol w:w="1765"/>
        <w:gridCol w:w="1176"/>
      </w:tblGrid>
      <w:tr>
        <w:tblPrEx>
          <w:tblCellMar>
            <w:top w:w="0" w:type="dxa"/>
            <w:left w:w="108" w:type="dxa"/>
            <w:bottom w:w="0" w:type="dxa"/>
            <w:right w:w="108" w:type="dxa"/>
          </w:tblCellMar>
        </w:tblPrEx>
        <w:trPr>
          <w:tblHeader/>
        </w:trPr>
        <w:tc>
          <w:p>
            <w:pPr>
              <w:pStyle w:val="24"/>
              <w:jc w:val="right"/>
            </w:pPr>
            <w:r>
              <w:t>滞后天数</w:t>
            </w:r>
          </w:p>
        </w:tc>
        <w:tc>
          <w:p>
            <w:pPr>
              <w:pStyle w:val="24"/>
              <w:jc w:val="right"/>
            </w:pPr>
            <w:r>
              <w:t>相关系数</w:t>
            </w:r>
          </w:p>
        </w:tc>
        <w:tc>
          <w:p>
            <w:pPr>
              <w:pStyle w:val="24"/>
              <w:jc w:val="left"/>
            </w:pPr>
            <w:r>
              <w:t>Granger F值</w:t>
            </w:r>
          </w:p>
        </w:tc>
        <w:tc>
          <w:p>
            <w:pPr>
              <w:pStyle w:val="24"/>
              <w:jc w:val="left"/>
            </w:pPr>
            <w:r>
              <w:t>预测增益</w:t>
            </w:r>
          </w:p>
        </w:tc>
      </w:tr>
      <w:tr>
        <w:tblPrEx>
          <w:tblCellMar>
            <w:top w:w="0" w:type="dxa"/>
            <w:left w:w="108" w:type="dxa"/>
            <w:bottom w:w="0" w:type="dxa"/>
            <w:right w:w="108" w:type="dxa"/>
          </w:tblCellMar>
        </w:tblPrEx>
        <w:tc>
          <w:p>
            <w:pPr>
              <w:pStyle w:val="24"/>
              <w:jc w:val="right"/>
            </w:pPr>
            <w:r>
              <w:t>0</w:t>
            </w:r>
          </w:p>
        </w:tc>
        <w:tc>
          <w:p>
            <w:pPr>
              <w:pStyle w:val="24"/>
              <w:jc w:val="right"/>
            </w:pPr>
            <w:r>
              <w:t>0.32</w:t>
            </w:r>
          </w:p>
        </w:tc>
        <w:tc>
          <w:p>
            <w:pPr>
              <w:pStyle w:val="24"/>
              <w:jc w:val="left"/>
            </w:pPr>
            <w:r>
              <w:t>NA</w:t>
            </w:r>
          </w:p>
        </w:tc>
        <w:tc>
          <w:p>
            <w:pPr>
              <w:pStyle w:val="24"/>
              <w:jc w:val="left"/>
            </w:pPr>
            <w:r>
              <w:t>NA</w:t>
            </w:r>
          </w:p>
        </w:tc>
      </w:tr>
      <w:tr>
        <w:tc>
          <w:p>
            <w:pPr>
              <w:pStyle w:val="24"/>
              <w:jc w:val="right"/>
            </w:pPr>
            <w:r>
              <w:t>1</w:t>
            </w:r>
          </w:p>
        </w:tc>
        <w:tc>
          <w:p>
            <w:pPr>
              <w:pStyle w:val="24"/>
              <w:jc w:val="right"/>
            </w:pPr>
            <w:r>
              <w:t>0.56</w:t>
            </w:r>
          </w:p>
        </w:tc>
        <w:tc>
          <w:p>
            <w:pPr>
              <w:pStyle w:val="24"/>
              <w:jc w:val="left"/>
            </w:pPr>
            <w:r>
              <w:t>5.47*</w:t>
            </w:r>
          </w:p>
        </w:tc>
        <w:tc>
          <w:p>
            <w:pPr>
              <w:pStyle w:val="24"/>
              <w:jc w:val="left"/>
            </w:pPr>
            <w:r>
              <w:t>18.4%</w:t>
            </w:r>
          </w:p>
        </w:tc>
      </w:tr>
      <w:tr>
        <w:tblPrEx>
          <w:tblCellMar>
            <w:top w:w="0" w:type="dxa"/>
            <w:left w:w="108" w:type="dxa"/>
            <w:bottom w:w="0" w:type="dxa"/>
            <w:right w:w="108" w:type="dxa"/>
          </w:tblCellMar>
        </w:tblPrEx>
        <w:tc>
          <w:p>
            <w:pPr>
              <w:pStyle w:val="24"/>
              <w:jc w:val="right"/>
            </w:pPr>
            <w:r>
              <w:t>2</w:t>
            </w:r>
          </w:p>
        </w:tc>
        <w:tc>
          <w:p>
            <w:pPr>
              <w:pStyle w:val="24"/>
              <w:jc w:val="right"/>
            </w:pPr>
            <w:r>
              <w:t>0.68</w:t>
            </w:r>
          </w:p>
        </w:tc>
        <w:tc>
          <w:p>
            <w:pPr>
              <w:pStyle w:val="24"/>
              <w:jc w:val="left"/>
            </w:pPr>
            <w:r>
              <w:t>8.74**</w:t>
            </w:r>
          </w:p>
        </w:tc>
        <w:tc>
          <w:p>
            <w:pPr>
              <w:pStyle w:val="24"/>
              <w:jc w:val="left"/>
            </w:pPr>
            <w:r>
              <w:t>27.3%</w:t>
            </w:r>
          </w:p>
        </w:tc>
      </w:tr>
      <w:tr>
        <w:tblPrEx>
          <w:tblCellMar>
            <w:top w:w="0" w:type="dxa"/>
            <w:left w:w="108" w:type="dxa"/>
            <w:bottom w:w="0" w:type="dxa"/>
            <w:right w:w="108" w:type="dxa"/>
          </w:tblCellMar>
        </w:tblPrEx>
        <w:tc>
          <w:p>
            <w:pPr>
              <w:pStyle w:val="24"/>
              <w:jc w:val="right"/>
            </w:pPr>
            <w:r>
              <w:t>3</w:t>
            </w:r>
          </w:p>
        </w:tc>
        <w:tc>
          <w:p>
            <w:pPr>
              <w:pStyle w:val="24"/>
              <w:jc w:val="right"/>
            </w:pPr>
            <w:r>
              <w:t>0.61</w:t>
            </w:r>
          </w:p>
        </w:tc>
        <w:tc>
          <w:p>
            <w:pPr>
              <w:pStyle w:val="24"/>
              <w:jc w:val="left"/>
            </w:pPr>
            <w:r>
              <w:t>7.92**</w:t>
            </w:r>
          </w:p>
        </w:tc>
        <w:tc>
          <w:p>
            <w:pPr>
              <w:pStyle w:val="24"/>
              <w:jc w:val="left"/>
            </w:pPr>
            <w:r>
              <w:t>23.9%</w:t>
            </w:r>
          </w:p>
        </w:tc>
      </w:tr>
      <w:tr>
        <w:tblPrEx>
          <w:tblCellMar>
            <w:top w:w="0" w:type="dxa"/>
            <w:left w:w="108" w:type="dxa"/>
            <w:bottom w:w="0" w:type="dxa"/>
            <w:right w:w="108" w:type="dxa"/>
          </w:tblCellMar>
        </w:tblPrEx>
        <w:tc>
          <w:p>
            <w:pPr>
              <w:pStyle w:val="24"/>
              <w:jc w:val="right"/>
            </w:pPr>
            <w:r>
              <w:t>5</w:t>
            </w:r>
          </w:p>
        </w:tc>
        <w:tc>
          <w:p>
            <w:pPr>
              <w:pStyle w:val="24"/>
              <w:jc w:val="right"/>
            </w:pPr>
            <w:r>
              <w:t>0.43</w:t>
            </w:r>
          </w:p>
        </w:tc>
        <w:tc>
          <w:p>
            <w:pPr>
              <w:pStyle w:val="24"/>
              <w:jc w:val="left"/>
            </w:pPr>
            <w:r>
              <w:t>4.35*</w:t>
            </w:r>
          </w:p>
        </w:tc>
        <w:tc>
          <w:p>
            <w:pPr>
              <w:pStyle w:val="24"/>
              <w:jc w:val="left"/>
            </w:pPr>
            <w:r>
              <w:t>14.7%</w:t>
            </w:r>
          </w:p>
        </w:tc>
      </w:tr>
      <w:tr>
        <w:tblPrEx>
          <w:tblCellMar>
            <w:top w:w="0" w:type="dxa"/>
            <w:left w:w="108" w:type="dxa"/>
            <w:bottom w:w="0" w:type="dxa"/>
            <w:right w:w="108" w:type="dxa"/>
          </w:tblCellMar>
        </w:tblPrEx>
        <w:tc>
          <w:p>
            <w:pPr>
              <w:pStyle w:val="24"/>
              <w:jc w:val="right"/>
            </w:pPr>
            <w:r>
              <w:t>7</w:t>
            </w:r>
          </w:p>
        </w:tc>
        <w:tc>
          <w:p>
            <w:pPr>
              <w:pStyle w:val="24"/>
              <w:jc w:val="right"/>
            </w:pPr>
            <w:r>
              <w:t>0.28</w:t>
            </w:r>
          </w:p>
        </w:tc>
        <w:tc>
          <w:p>
            <w:pPr>
              <w:pStyle w:val="24"/>
              <w:jc w:val="left"/>
            </w:pPr>
            <w:r>
              <w:t>2.16</w:t>
            </w:r>
          </w:p>
        </w:tc>
        <w:tc>
          <w:p>
            <w:pPr>
              <w:pStyle w:val="24"/>
              <w:jc w:val="left"/>
            </w:pPr>
            <w:r>
              <w:t>8.3%</w:t>
            </w:r>
          </w:p>
        </w:tc>
      </w:tr>
      <w:tr>
        <w:tblPrEx>
          <w:tblCellMar>
            <w:top w:w="0" w:type="dxa"/>
            <w:left w:w="108" w:type="dxa"/>
            <w:bottom w:w="0" w:type="dxa"/>
            <w:right w:w="108" w:type="dxa"/>
          </w:tblCellMar>
        </w:tblPrEx>
        <w:tc>
          <w:p>
            <w:pPr>
              <w:pStyle w:val="24"/>
              <w:jc w:val="right"/>
            </w:pPr>
            <w:r>
              <w:t>10</w:t>
            </w:r>
          </w:p>
        </w:tc>
        <w:tc>
          <w:p>
            <w:pPr>
              <w:pStyle w:val="24"/>
              <w:jc w:val="right"/>
            </w:pPr>
            <w:r>
              <w:t>0.15</w:t>
            </w:r>
          </w:p>
        </w:tc>
        <w:tc>
          <w:p>
            <w:pPr>
              <w:pStyle w:val="24"/>
              <w:jc w:val="left"/>
            </w:pPr>
            <w:r>
              <w:t>1.08</w:t>
            </w:r>
          </w:p>
        </w:tc>
        <w:tc>
          <w:p>
            <w:pPr>
              <w:pStyle w:val="24"/>
              <w:jc w:val="left"/>
            </w:pPr>
            <w:r>
              <w:t>4.1%</w:t>
            </w:r>
          </w:p>
        </w:tc>
      </w:tr>
      <w:tr>
        <w:tblPrEx>
          <w:tblCellMar>
            <w:top w:w="0" w:type="dxa"/>
            <w:left w:w="108" w:type="dxa"/>
            <w:bottom w:w="0" w:type="dxa"/>
            <w:right w:w="108" w:type="dxa"/>
          </w:tblCellMar>
        </w:tblPrEx>
        <w:tc>
          <w:p>
            <w:pPr>
              <w:pStyle w:val="24"/>
              <w:jc w:val="right"/>
            </w:pPr>
            <w:r>
              <w:t>15</w:t>
            </w:r>
          </w:p>
        </w:tc>
        <w:tc>
          <w:p>
            <w:pPr>
              <w:pStyle w:val="24"/>
              <w:jc w:val="right"/>
            </w:pPr>
            <w:r>
              <w:t>0.08</w:t>
            </w:r>
          </w:p>
        </w:tc>
        <w:tc>
          <w:p>
            <w:pPr>
              <w:pStyle w:val="24"/>
              <w:jc w:val="left"/>
            </w:pPr>
            <w:r>
              <w:t>0.94</w:t>
            </w:r>
          </w:p>
        </w:tc>
        <w:tc>
          <w:p>
            <w:pPr>
              <w:pStyle w:val="24"/>
              <w:jc w:val="left"/>
            </w:pPr>
            <w:r>
              <w:t>2.5%</w:t>
            </w:r>
          </w:p>
        </w:tc>
      </w:tr>
    </w:tbl>
    <w:p>
      <w:pPr>
        <w:pStyle w:val="24"/>
        <w:numPr>
          <w:ilvl w:val="0"/>
          <w:numId w:val="21"/>
        </w:numPr>
      </w:pPr>
      <w:r>
        <w:rPr>
          <w:b/>
          <w:bCs/>
        </w:rPr>
        <w:t>战略资源依赖与冲突风险</w:t>
      </w:r>
      <w:r>
        <w:t>：基于随机森林的特征重要性分析表明，战略资源依赖是影响中美关系紧张度的第二大因素（重要性22.7%），仅次于社交媒体负面情绪（28.4%）。贝叶斯网络因果模型揭示，减少战略资源依赖15%可降低长期冲突风险18个百分点。集成预测模型（AUC=0.854）在多种情境下的冲突风险预测准确率达到83.2%。</w:t>
      </w:r>
    </w:p>
    <w:p>
      <w:pPr>
        <w:pStyle w:val="23"/>
      </w:pPr>
      <w:r>
        <w:t>通过综合运用统计建模和机器学习方法，本研究不仅描述了关税战的影响，还构建了高精度预测模型，为政策制定提供了数据支持。实证结果表明，关税战的影响远超贸易领域，涵盖经济、社会和安全多个维度，需要多层次政策组合应对。</w:t>
      </w:r>
    </w:p>
    <w:bookmarkEnd w:id="45"/>
    <w:p>
      <w:pPr>
        <w:pStyle w:val="4"/>
      </w:pPr>
      <w:bookmarkStart w:id="46" w:name="研究局限"/>
      <w:r>
        <w:t>研究局限</w:t>
      </w:r>
    </w:p>
    <w:p>
      <w:pPr>
        <w:pStyle w:val="23"/>
      </w:pPr>
      <w:r>
        <w:t>尽管本研究通过先进的统计建模与机器学习方法提供了有价值的见解，但仍存在一些局限性：</w:t>
      </w:r>
    </w:p>
    <w:p>
      <w:pPr>
        <w:numPr>
          <w:ilvl w:val="0"/>
          <w:numId w:val="22"/>
        </w:numPr>
      </w:pPr>
      <w:r>
        <w:rPr>
          <w:b/>
          <w:bCs/>
        </w:rPr>
        <w:t>数据时效性</w:t>
      </w:r>
      <w:r>
        <w:t>：部分数据（尤其是2024-2025年）基于模型预测和模拟生成，可能与实际情况存在偏差，未来研究可随着实际数据的积累进行更新与验证；</w:t>
      </w:r>
    </w:p>
    <w:p>
      <w:pPr>
        <w:numPr>
          <w:ilvl w:val="0"/>
          <w:numId w:val="22"/>
        </w:numPr>
      </w:pPr>
      <w:r>
        <w:rPr>
          <w:b/>
          <w:bCs/>
        </w:rPr>
        <w:t>模型假设</w:t>
      </w:r>
      <w:r>
        <w:t>：空间计量模型和反事实分析依赖于特定假设，如空间权重矩阵的选择和平行趋势假设，这些假设的变化可能影响结论稳健性；</w:t>
      </w:r>
    </w:p>
    <w:p>
      <w:pPr>
        <w:numPr>
          <w:ilvl w:val="0"/>
          <w:numId w:val="22"/>
        </w:numPr>
      </w:pPr>
      <w:r>
        <w:rPr>
          <w:b/>
          <w:bCs/>
        </w:rPr>
        <w:t>社交媒体样本偏差</w:t>
      </w:r>
      <w:r>
        <w:t>：社交媒体数据可能存在样本选择偏差，不完全代表整体人口情绪，尽管我们采用了加权调整方法（基于人口统计特征），但仍可能存在代表性问题；</w:t>
      </w:r>
    </w:p>
    <w:p>
      <w:pPr>
        <w:numPr>
          <w:ilvl w:val="0"/>
          <w:numId w:val="22"/>
        </w:numPr>
      </w:pPr>
      <w:r>
        <w:rPr>
          <w:b/>
          <w:bCs/>
        </w:rPr>
        <w:t>模型可解释性与复杂性权衡</w:t>
      </w:r>
      <w:r>
        <w:t>：高精度的机器学习模型（如深度学习、集成模型）通常牺牲一定可解释性，虽然我们使用SHAP值等方法提升解释性，但复杂模型的内部运作机制仍有”黑箱”特性；</w:t>
      </w:r>
    </w:p>
    <w:p>
      <w:pPr>
        <w:numPr>
          <w:ilvl w:val="0"/>
          <w:numId w:val="22"/>
        </w:numPr>
      </w:pPr>
      <w:r>
        <w:rPr>
          <w:b/>
          <w:bCs/>
        </w:rPr>
        <w:t>因果识别挑战</w:t>
      </w:r>
      <w:r>
        <w:t>：在某些关系（如社交媒体情感与市场波动）上，尽管使用了Granger因果检验和因果推断方法，但严格意义上的因果关系识别仍面临挑战。</w:t>
      </w:r>
    </w:p>
    <w:bookmarkEnd w:id="46"/>
    <w:p>
      <w:pPr>
        <w:pStyle w:val="4"/>
      </w:pPr>
      <w:bookmarkStart w:id="47" w:name="未来研究方向"/>
      <w:r>
        <w:t>未来研究方向</w:t>
      </w:r>
    </w:p>
    <w:p>
      <w:pPr>
        <w:pStyle w:val="23"/>
      </w:pPr>
      <w:r>
        <w:t>基于本研究成果和局限性，我们提出以下未来研究方向：</w:t>
      </w:r>
    </w:p>
    <w:p>
      <w:pPr>
        <w:numPr>
          <w:ilvl w:val="0"/>
          <w:numId w:val="23"/>
        </w:numPr>
      </w:pPr>
      <w:r>
        <w:rPr>
          <w:b/>
          <w:bCs/>
        </w:rPr>
        <w:t>数字经济维度拓展</w:t>
      </w:r>
      <w:r>
        <w:t>：随着数字经济占比提高，未来研究可探索数字关税与数据流动限制的影响，将统计模型扩展到新型贸易形态；</w:t>
      </w:r>
    </w:p>
    <w:p>
      <w:pPr>
        <w:numPr>
          <w:ilvl w:val="0"/>
          <w:numId w:val="23"/>
        </w:numPr>
      </w:pPr>
      <w:r>
        <w:rPr>
          <w:b/>
          <w:bCs/>
        </w:rPr>
        <w:t>微观企业数据整合</w:t>
      </w:r>
      <w:r>
        <w:t>：整合企业层面微观数据，构建更精细的异质性企业模型，通过深度学习方法提高区域和行业影响预测的精度；</w:t>
      </w:r>
    </w:p>
    <w:p>
      <w:pPr>
        <w:numPr>
          <w:ilvl w:val="0"/>
          <w:numId w:val="23"/>
        </w:numPr>
      </w:pPr>
      <w:r>
        <w:rPr>
          <w:b/>
          <w:bCs/>
        </w:rPr>
        <w:t>自然语言处理深化</w:t>
      </w:r>
      <w:r>
        <w:t>：深化社交媒体和新闻报道的语义分析，从情感极性扩展到话题识别、论点提取和立场分析，构建更全面的舆情预测模型；</w:t>
      </w:r>
    </w:p>
    <w:p>
      <w:pPr>
        <w:numPr>
          <w:ilvl w:val="0"/>
          <w:numId w:val="23"/>
        </w:numPr>
      </w:pPr>
      <w:r>
        <w:rPr>
          <w:b/>
          <w:bCs/>
        </w:rPr>
        <w:t>综合预警系统优化</w:t>
      </w:r>
      <w:r>
        <w:t>：整合各类机器学习模型，构建动态综合预警系统，实现关税调整、市场波动和冲突风险的实时监测与预警；</w:t>
      </w:r>
    </w:p>
    <w:p>
      <w:pPr>
        <w:numPr>
          <w:ilvl w:val="0"/>
          <w:numId w:val="23"/>
        </w:numPr>
      </w:pPr>
      <w:r>
        <w:rPr>
          <w:b/>
          <w:bCs/>
        </w:rPr>
        <w:t>可因果推断的机器学习</w:t>
      </w:r>
      <w:r>
        <w:t>：进一步融合因果推断与机器学习方法，通过双重机器学习（double machine learning）、神经网络因果模型等方法，更精确地量化政策干预的因果效应；</w:t>
      </w:r>
    </w:p>
    <w:p>
      <w:pPr>
        <w:numPr>
          <w:ilvl w:val="0"/>
          <w:numId w:val="23"/>
        </w:numPr>
      </w:pPr>
      <w:r>
        <w:rPr>
          <w:b/>
          <w:bCs/>
        </w:rPr>
        <w:t>迁移学习应用</w:t>
      </w:r>
      <w:r>
        <w:t>：将中美关税战研究模型通过迁移学习应用到其他贸易冲突案例，探索模型的通用性和特殊性，提高预测模型在新情境中的适用性。</w:t>
      </w:r>
    </w:p>
    <w:p>
      <w:pPr>
        <w:pStyle w:val="23"/>
      </w:pPr>
      <w:r>
        <w:t>未来的研究将更多地依赖跨学科融合和先进的人工智能技术，从描述性和预测性分析向规范性和前瞻性分析转变，为应对全球贸易关系复杂变局提供更强大的决策支持工具。</w:t>
      </w:r>
    </w:p>
    <w:bookmarkEnd w:id="47"/>
    <w:p>
      <w:pPr>
        <w:pStyle w:val="4"/>
      </w:pPr>
      <w:bookmarkStart w:id="48" w:name="结论"/>
      <w:r>
        <w:t>结论</w:t>
      </w:r>
    </w:p>
    <w:p>
      <w:pPr>
        <w:pStyle w:val="23"/>
      </w:pPr>
      <w:r>
        <w:t>以上研究结果表明，贸易协议可以有效缓解冲突风险，但不能消除美中战略竞争的根本动力。长期稳定的双边关系需要建立在互利共赢的经济基础和相互尊重的政治框架上。</w:t>
      </w:r>
    </w:p>
    <w:bookmarkEnd w:id="44"/>
    <w:bookmarkEnd w:id="48"/>
    <w:p>
      <w:pPr>
        <w:pStyle w:val="2"/>
      </w:pPr>
      <w:bookmarkStart w:id="49" w:name="appendix"/>
      <w:r>
        <w:t>附录：数据与研究方法</w:t>
      </w:r>
    </w:p>
    <w:p>
      <w:pPr>
        <w:pStyle w:val="23"/>
      </w:pPr>
      <w:r>
        <w:t>本附录包含研究中使用的主要数据集、研究方法详细说明以及补充分析结果。</w:t>
      </w:r>
    </w:p>
    <w:p>
      <w:pPr>
        <w:pStyle w:val="4"/>
      </w:pPr>
      <w:bookmarkStart w:id="50" w:name="appendix-data"/>
      <w:r>
        <w:t>A.1 数据来源与处理</w:t>
      </w:r>
    </w:p>
    <w:p>
      <w:pPr>
        <w:pStyle w:val="5"/>
      </w:pPr>
      <w:bookmarkStart w:id="51" w:name="trade-data"/>
      <w:r>
        <w:t>A.1.1 贸易数据</w:t>
      </w:r>
    </w:p>
    <w:p>
      <w:pPr>
        <w:pStyle w:val="23"/>
      </w:pPr>
      <w:r>
        <w:t>本研究使用的主要贸易数据来源如下：</w:t>
      </w:r>
    </w:p>
    <w:p>
      <w:pPr>
        <w:pStyle w:val="44"/>
      </w:pPr>
      <w:r>
        <w:t>贸易数据来源说明</w:t>
      </w:r>
    </w:p>
    <w:tbl>
      <w:tblPr>
        <w:tblStyle w:val="41"/>
        <w:tblW w:w="5000" w:type="pct"/>
        <w:tblCaption w:val="贸易数据来源说明"/>
        <w:tblInd w:w="0" w:type="dxa"/>
        <w:tblLayout w:type="fixed"/>
        <w:tblCellMar>
          <w:top w:w="0" w:type="dxa"/>
          <w:left w:w="108" w:type="dxa"/>
          <w:bottom w:w="0" w:type="dxa"/>
          <w:right w:w="108" w:type="dxa"/>
        </w:tblCellMar>
      </w:tblPr>
      <w:tblGrid>
        <w:gridCol w:w="1573"/>
        <w:gridCol w:w="2566"/>
        <w:gridCol w:w="828"/>
        <w:gridCol w:w="745"/>
        <w:gridCol w:w="579"/>
        <w:gridCol w:w="2566"/>
      </w:tblGrid>
      <w:tr>
        <w:tblPrEx>
          <w:tblCellMar>
            <w:top w:w="0" w:type="dxa"/>
            <w:left w:w="108" w:type="dxa"/>
            <w:bottom w:w="0" w:type="dxa"/>
            <w:right w:w="108" w:type="dxa"/>
          </w:tblCellMar>
        </w:tblPrEx>
        <w:trPr>
          <w:tblHeader/>
        </w:trPr>
        <w:tc>
          <w:p>
            <w:pPr>
              <w:pStyle w:val="24"/>
              <w:jc w:val="left"/>
            </w:pPr>
            <w:r>
              <w:t>数据集</w:t>
            </w:r>
          </w:p>
        </w:tc>
        <w:tc>
          <w:p>
            <w:pPr>
              <w:pStyle w:val="24"/>
              <w:jc w:val="left"/>
            </w:pPr>
            <w:r>
              <w:t>来源</w:t>
            </w:r>
          </w:p>
        </w:tc>
        <w:tc>
          <w:p>
            <w:pPr>
              <w:pStyle w:val="24"/>
              <w:jc w:val="left"/>
            </w:pPr>
            <w:r>
              <w:t>时间范围</w:t>
            </w:r>
          </w:p>
        </w:tc>
        <w:tc>
          <w:p>
            <w:pPr>
              <w:pStyle w:val="24"/>
              <w:jc w:val="right"/>
            </w:pPr>
            <w:r>
              <w:t>变量数量</w:t>
            </w:r>
          </w:p>
        </w:tc>
        <w:tc>
          <w:p>
            <w:pPr>
              <w:pStyle w:val="24"/>
              <w:jc w:val="right"/>
            </w:pPr>
            <w:r>
              <w:t>观测数</w:t>
            </w:r>
          </w:p>
        </w:tc>
        <w:tc>
          <w:p>
            <w:pPr>
              <w:pStyle w:val="24"/>
              <w:jc w:val="left"/>
            </w:pPr>
            <w:r>
              <w:t>说明</w:t>
            </w:r>
          </w:p>
        </w:tc>
      </w:tr>
      <w:tr>
        <w:tblPrEx>
          <w:tblCellMar>
            <w:top w:w="0" w:type="dxa"/>
            <w:left w:w="108" w:type="dxa"/>
            <w:bottom w:w="0" w:type="dxa"/>
            <w:right w:w="108" w:type="dxa"/>
          </w:tblCellMar>
        </w:tblPrEx>
        <w:tc>
          <w:p>
            <w:pPr>
              <w:pStyle w:val="24"/>
              <w:jc w:val="left"/>
            </w:pPr>
            <w:r>
              <w:t>美中月度贸易数据</w:t>
            </w:r>
          </w:p>
        </w:tc>
        <w:tc>
          <w:p>
            <w:pPr>
              <w:pStyle w:val="24"/>
              <w:jc w:val="left"/>
            </w:pPr>
            <w:r>
              <w:t>美国人口普查局、中国海关总署</w:t>
            </w:r>
          </w:p>
        </w:tc>
        <w:tc>
          <w:p>
            <w:pPr>
              <w:pStyle w:val="24"/>
              <w:jc w:val="left"/>
            </w:pPr>
            <w:r>
              <w:t>2015-2023</w:t>
            </w:r>
          </w:p>
        </w:tc>
        <w:tc>
          <w:p>
            <w:pPr>
              <w:pStyle w:val="24"/>
              <w:jc w:val="right"/>
            </w:pPr>
            <w:r>
              <w:t>12</w:t>
            </w:r>
          </w:p>
        </w:tc>
        <w:tc>
          <w:p>
            <w:pPr>
              <w:pStyle w:val="24"/>
              <w:jc w:val="right"/>
            </w:pPr>
            <w:r>
              <w:t>108</w:t>
            </w:r>
          </w:p>
        </w:tc>
        <w:tc>
          <w:p>
            <w:pPr>
              <w:pStyle w:val="24"/>
              <w:jc w:val="left"/>
            </w:pPr>
            <w:r>
              <w:t>包含双边贸易总额、贸易逆差等</w:t>
            </w:r>
          </w:p>
        </w:tc>
      </w:tr>
      <w:tr>
        <w:tblPrEx>
          <w:tblCellMar>
            <w:top w:w="0" w:type="dxa"/>
            <w:left w:w="108" w:type="dxa"/>
            <w:bottom w:w="0" w:type="dxa"/>
            <w:right w:w="108" w:type="dxa"/>
          </w:tblCellMar>
        </w:tblPrEx>
        <w:tc>
          <w:p>
            <w:pPr>
              <w:pStyle w:val="24"/>
              <w:jc w:val="left"/>
            </w:pPr>
            <w:r>
              <w:t>行业关税冲击指数</w:t>
            </w:r>
          </w:p>
        </w:tc>
        <w:tc>
          <w:p>
            <w:pPr>
              <w:pStyle w:val="24"/>
              <w:jc w:val="left"/>
            </w:pPr>
            <w:r>
              <w:t>美国贸易代表办公室、中国商务部</w:t>
            </w:r>
          </w:p>
        </w:tc>
        <w:tc>
          <w:p>
            <w:pPr>
              <w:pStyle w:val="24"/>
              <w:jc w:val="left"/>
            </w:pPr>
            <w:r>
              <w:t>2018-2022</w:t>
            </w:r>
          </w:p>
        </w:tc>
        <w:tc>
          <w:p>
            <w:pPr>
              <w:pStyle w:val="24"/>
              <w:jc w:val="right"/>
            </w:pPr>
            <w:r>
              <w:t>8</w:t>
            </w:r>
          </w:p>
        </w:tc>
        <w:tc>
          <w:p>
            <w:pPr>
              <w:pStyle w:val="24"/>
              <w:jc w:val="right"/>
            </w:pPr>
            <w:r>
              <w:t>220</w:t>
            </w:r>
          </w:p>
        </w:tc>
        <w:tc>
          <w:p>
            <w:pPr>
              <w:pStyle w:val="24"/>
              <w:jc w:val="left"/>
            </w:pPr>
            <w:r>
              <w:t>包含各行业关税税率、贸易量变化</w:t>
            </w:r>
          </w:p>
        </w:tc>
      </w:tr>
      <w:tr>
        <w:tblPrEx>
          <w:tblCellMar>
            <w:top w:w="0" w:type="dxa"/>
            <w:left w:w="108" w:type="dxa"/>
            <w:bottom w:w="0" w:type="dxa"/>
            <w:right w:w="108" w:type="dxa"/>
          </w:tblCellMar>
        </w:tblPrEx>
        <w:tc>
          <w:p>
            <w:pPr>
              <w:pStyle w:val="24"/>
              <w:jc w:val="left"/>
            </w:pPr>
            <w:r>
              <w:t>全球价值链位置指数</w:t>
            </w:r>
          </w:p>
        </w:tc>
        <w:tc>
          <w:p>
            <w:pPr>
              <w:pStyle w:val="24"/>
              <w:jc w:val="left"/>
            </w:pPr>
            <w:r>
              <w:t>OECD-WTO TiVA数据库</w:t>
            </w:r>
          </w:p>
        </w:tc>
        <w:tc>
          <w:p>
            <w:pPr>
              <w:pStyle w:val="24"/>
              <w:jc w:val="left"/>
            </w:pPr>
            <w:r>
              <w:t>2015-2021</w:t>
            </w:r>
          </w:p>
        </w:tc>
        <w:tc>
          <w:p>
            <w:pPr>
              <w:pStyle w:val="24"/>
              <w:jc w:val="right"/>
            </w:pPr>
            <w:r>
              <w:t>15</w:t>
            </w:r>
          </w:p>
        </w:tc>
        <w:tc>
          <w:p>
            <w:pPr>
              <w:pStyle w:val="24"/>
              <w:jc w:val="right"/>
            </w:pPr>
            <w:r>
              <w:t>180</w:t>
            </w:r>
          </w:p>
        </w:tc>
        <w:tc>
          <w:p>
            <w:pPr>
              <w:pStyle w:val="24"/>
              <w:jc w:val="left"/>
            </w:pPr>
            <w:r>
              <w:t>包含各行业全球价值链参与度</w:t>
            </w:r>
          </w:p>
        </w:tc>
      </w:tr>
      <w:tr>
        <w:tblPrEx>
          <w:tblCellMar>
            <w:top w:w="0" w:type="dxa"/>
            <w:left w:w="108" w:type="dxa"/>
            <w:bottom w:w="0" w:type="dxa"/>
            <w:right w:w="108" w:type="dxa"/>
          </w:tblCellMar>
        </w:tblPrEx>
        <w:tc>
          <w:p>
            <w:pPr>
              <w:pStyle w:val="24"/>
              <w:jc w:val="left"/>
            </w:pPr>
            <w:r>
              <w:t>区域贸易依赖度</w:t>
            </w:r>
          </w:p>
        </w:tc>
        <w:tc>
          <w:p>
            <w:pPr>
              <w:pStyle w:val="24"/>
              <w:jc w:val="left"/>
            </w:pPr>
            <w:r>
              <w:t>区域经济统计数据库</w:t>
            </w:r>
          </w:p>
        </w:tc>
        <w:tc>
          <w:p>
            <w:pPr>
              <w:pStyle w:val="24"/>
              <w:jc w:val="left"/>
            </w:pPr>
            <w:r>
              <w:t>2017-2023</w:t>
            </w:r>
          </w:p>
        </w:tc>
        <w:tc>
          <w:p>
            <w:pPr>
              <w:pStyle w:val="24"/>
              <w:jc w:val="right"/>
            </w:pPr>
            <w:r>
              <w:t>10</w:t>
            </w:r>
          </w:p>
        </w:tc>
        <w:tc>
          <w:p>
            <w:pPr>
              <w:pStyle w:val="24"/>
              <w:jc w:val="right"/>
            </w:pPr>
            <w:r>
              <w:t>248</w:t>
            </w:r>
          </w:p>
        </w:tc>
        <w:tc>
          <w:p>
            <w:pPr>
              <w:pStyle w:val="24"/>
              <w:jc w:val="left"/>
            </w:pPr>
            <w:r>
              <w:t>包含各区域对外贸易依赖程度</w:t>
            </w:r>
          </w:p>
        </w:tc>
      </w:tr>
    </w:tbl>
    <w:p>
      <w:pPr>
        <w:pStyle w:val="3"/>
      </w:pPr>
      <w:r>
        <w:t>贸易数据的预处理流程包括： 1. 数据清洗：处理缺失值和异常值 2. 时间序列标准化：调整季节性因素 3. 行业代码统一：将不同来源的行业分类统一到标准国际贸易分类(SITC)</w:t>
      </w:r>
    </w:p>
    <w:bookmarkEnd w:id="51"/>
    <w:p>
      <w:pPr>
        <w:pStyle w:val="5"/>
      </w:pPr>
      <w:bookmarkStart w:id="52" w:name="sentiment-data"/>
      <w:r>
        <w:t>A.1.2 消费者信心与社交媒体数据</w:t>
      </w:r>
    </w:p>
    <w:p>
      <w:pPr>
        <w:pStyle w:val="44"/>
      </w:pPr>
      <w:r>
        <w:t>消费者信心与社交媒体数据来源说明</w:t>
      </w:r>
    </w:p>
    <w:tbl>
      <w:tblPr>
        <w:tblStyle w:val="41"/>
        <w:tblW w:w="5000" w:type="pct"/>
        <w:tblCaption w:val="消费者信心与社交媒体数据来源说明"/>
        <w:tblInd w:w="0" w:type="dxa"/>
        <w:tblLayout w:type="fixed"/>
        <w:tblCellMar>
          <w:top w:w="0" w:type="dxa"/>
          <w:left w:w="108" w:type="dxa"/>
          <w:bottom w:w="0" w:type="dxa"/>
          <w:right w:w="108" w:type="dxa"/>
        </w:tblCellMar>
      </w:tblPr>
      <w:tblGrid>
        <w:gridCol w:w="1870"/>
        <w:gridCol w:w="2066"/>
        <w:gridCol w:w="984"/>
        <w:gridCol w:w="1574"/>
        <w:gridCol w:w="2362"/>
      </w:tblGrid>
      <w:tr>
        <w:tblPrEx>
          <w:tblCellMar>
            <w:top w:w="0" w:type="dxa"/>
            <w:left w:w="108" w:type="dxa"/>
            <w:bottom w:w="0" w:type="dxa"/>
            <w:right w:w="108" w:type="dxa"/>
          </w:tblCellMar>
        </w:tblPrEx>
        <w:trPr>
          <w:tblHeader/>
        </w:trPr>
        <w:tc>
          <w:p>
            <w:pPr>
              <w:pStyle w:val="24"/>
              <w:jc w:val="left"/>
            </w:pPr>
            <w:r>
              <w:t>数据集</w:t>
            </w:r>
          </w:p>
        </w:tc>
        <w:tc>
          <w:p>
            <w:pPr>
              <w:pStyle w:val="24"/>
              <w:jc w:val="left"/>
            </w:pPr>
            <w:r>
              <w:t>来源</w:t>
            </w:r>
          </w:p>
        </w:tc>
        <w:tc>
          <w:p>
            <w:pPr>
              <w:pStyle w:val="24"/>
              <w:jc w:val="left"/>
            </w:pPr>
            <w:r>
              <w:t>时间范围</w:t>
            </w:r>
          </w:p>
        </w:tc>
        <w:tc>
          <w:p>
            <w:pPr>
              <w:pStyle w:val="24"/>
              <w:jc w:val="left"/>
            </w:pPr>
            <w:r>
              <w:t>样本量</w:t>
            </w:r>
          </w:p>
        </w:tc>
        <w:tc>
          <w:p>
            <w:pPr>
              <w:pStyle w:val="24"/>
              <w:jc w:val="left"/>
            </w:pPr>
            <w:r>
              <w:t>关键变量</w:t>
            </w:r>
          </w:p>
        </w:tc>
      </w:tr>
      <w:tr>
        <w:tblPrEx>
          <w:tblCellMar>
            <w:top w:w="0" w:type="dxa"/>
            <w:left w:w="108" w:type="dxa"/>
            <w:bottom w:w="0" w:type="dxa"/>
            <w:right w:w="108" w:type="dxa"/>
          </w:tblCellMar>
        </w:tblPrEx>
        <w:tc>
          <w:p>
            <w:pPr>
              <w:pStyle w:val="24"/>
              <w:jc w:val="left"/>
            </w:pPr>
            <w:r>
              <w:t>美国消费者信心指数</w:t>
            </w:r>
          </w:p>
        </w:tc>
        <w:tc>
          <w:p>
            <w:pPr>
              <w:pStyle w:val="24"/>
              <w:jc w:val="left"/>
            </w:pPr>
            <w:r>
              <w:t>密歇根大学消费者调查</w:t>
            </w:r>
          </w:p>
        </w:tc>
        <w:tc>
          <w:p>
            <w:pPr>
              <w:pStyle w:val="24"/>
              <w:jc w:val="left"/>
            </w:pPr>
            <w:r>
              <w:t>2017-2023</w:t>
            </w:r>
          </w:p>
        </w:tc>
        <w:tc>
          <w:p>
            <w:pPr>
              <w:pStyle w:val="24"/>
              <w:jc w:val="left"/>
            </w:pPr>
            <w:r>
              <w:t>月度, n≈500/月</w:t>
            </w:r>
          </w:p>
        </w:tc>
        <w:tc>
          <w:p>
            <w:pPr>
              <w:pStyle w:val="24"/>
              <w:jc w:val="left"/>
            </w:pPr>
            <w:r>
              <w:t>整体指数,分项指标</w:t>
            </w:r>
          </w:p>
        </w:tc>
      </w:tr>
      <w:tr>
        <w:tblPrEx>
          <w:tblCellMar>
            <w:top w:w="0" w:type="dxa"/>
            <w:left w:w="108" w:type="dxa"/>
            <w:bottom w:w="0" w:type="dxa"/>
            <w:right w:w="108" w:type="dxa"/>
          </w:tblCellMar>
        </w:tblPrEx>
        <w:tc>
          <w:p>
            <w:pPr>
              <w:pStyle w:val="24"/>
              <w:jc w:val="left"/>
            </w:pPr>
            <w:r>
              <w:t>中国消费者信心指数</w:t>
            </w:r>
          </w:p>
        </w:tc>
        <w:tc>
          <w:p>
            <w:pPr>
              <w:pStyle w:val="24"/>
              <w:jc w:val="left"/>
            </w:pPr>
            <w:r>
              <w:t>中国国家统计局</w:t>
            </w:r>
          </w:p>
        </w:tc>
        <w:tc>
          <w:p>
            <w:pPr>
              <w:pStyle w:val="24"/>
              <w:jc w:val="left"/>
            </w:pPr>
            <w:r>
              <w:t>2017-2023</w:t>
            </w:r>
          </w:p>
        </w:tc>
        <w:tc>
          <w:p>
            <w:pPr>
              <w:pStyle w:val="24"/>
              <w:jc w:val="left"/>
            </w:pPr>
            <w:r>
              <w:t>月度, n≈2000/月</w:t>
            </w:r>
          </w:p>
        </w:tc>
        <w:tc>
          <w:p>
            <w:pPr>
              <w:pStyle w:val="24"/>
              <w:jc w:val="left"/>
            </w:pPr>
            <w:r>
              <w:t>整体指数,分项指标</w:t>
            </w:r>
          </w:p>
        </w:tc>
      </w:tr>
      <w:tr>
        <w:tblPrEx>
          <w:tblCellMar>
            <w:top w:w="0" w:type="dxa"/>
            <w:left w:w="108" w:type="dxa"/>
            <w:bottom w:w="0" w:type="dxa"/>
            <w:right w:w="108" w:type="dxa"/>
          </w:tblCellMar>
        </w:tblPrEx>
        <w:tc>
          <w:p>
            <w:pPr>
              <w:pStyle w:val="24"/>
              <w:jc w:val="left"/>
            </w:pPr>
            <w:r>
              <w:t>Twitter/X情感数据</w:t>
            </w:r>
          </w:p>
        </w:tc>
        <w:tc>
          <w:p>
            <w:pPr>
              <w:pStyle w:val="24"/>
              <w:jc w:val="left"/>
            </w:pPr>
            <w:r>
              <w:t>Twitter API/数据挖掘</w:t>
            </w:r>
          </w:p>
        </w:tc>
        <w:tc>
          <w:p>
            <w:pPr>
              <w:pStyle w:val="24"/>
              <w:jc w:val="left"/>
            </w:pPr>
            <w:r>
              <w:t>2018-2022</w:t>
            </w:r>
          </w:p>
        </w:tc>
        <w:tc>
          <w:p>
            <w:pPr>
              <w:pStyle w:val="24"/>
              <w:jc w:val="left"/>
            </w:pPr>
            <w:r>
              <w:t>每日约5万条</w:t>
            </w:r>
          </w:p>
        </w:tc>
        <w:tc>
          <w:p>
            <w:pPr>
              <w:pStyle w:val="24"/>
              <w:jc w:val="left"/>
            </w:pPr>
            <w:r>
              <w:t>贸易相关关键词,情感极性</w:t>
            </w:r>
          </w:p>
        </w:tc>
      </w:tr>
      <w:tr>
        <w:tblPrEx>
          <w:tblCellMar>
            <w:top w:w="0" w:type="dxa"/>
            <w:left w:w="108" w:type="dxa"/>
            <w:bottom w:w="0" w:type="dxa"/>
            <w:right w:w="108" w:type="dxa"/>
          </w:tblCellMar>
        </w:tblPrEx>
        <w:tc>
          <w:p>
            <w:pPr>
              <w:pStyle w:val="24"/>
              <w:jc w:val="left"/>
            </w:pPr>
            <w:r>
              <w:t>微博情感数据</w:t>
            </w:r>
          </w:p>
        </w:tc>
        <w:tc>
          <w:p>
            <w:pPr>
              <w:pStyle w:val="24"/>
              <w:jc w:val="left"/>
            </w:pPr>
            <w:r>
              <w:t>微博API/数据挖掘</w:t>
            </w:r>
          </w:p>
        </w:tc>
        <w:tc>
          <w:p>
            <w:pPr>
              <w:pStyle w:val="24"/>
              <w:jc w:val="left"/>
            </w:pPr>
            <w:r>
              <w:t>2018-2022</w:t>
            </w:r>
          </w:p>
        </w:tc>
        <w:tc>
          <w:p>
            <w:pPr>
              <w:pStyle w:val="24"/>
              <w:jc w:val="left"/>
            </w:pPr>
            <w:r>
              <w:t>每日约8万条</w:t>
            </w:r>
          </w:p>
        </w:tc>
        <w:tc>
          <w:p>
            <w:pPr>
              <w:pStyle w:val="24"/>
              <w:jc w:val="left"/>
            </w:pPr>
            <w:r>
              <w:t>贸易相关关键词,情感极性</w:t>
            </w:r>
          </w:p>
        </w:tc>
      </w:tr>
    </w:tbl>
    <w:p>
      <w:pPr>
        <w:pStyle w:val="3"/>
      </w:pPr>
      <w:r>
        <w:t>社交媒体数据处理流程： 1. 关键词筛选：使用”关税”、“贸易战”等50个关键词筛选相关内容 2. 情感分析：基于BERT模型的多语言情感分析，分为积极、中性、消极三类 3. 主题聚类：使用LDA模型对内容进行主题聚类，识别关键议题 4. 时间序列构建：按日聚合情感得分，生成情感指数时间序列</w:t>
      </w:r>
    </w:p>
    <w:bookmarkEnd w:id="52"/>
    <w:p>
      <w:pPr>
        <w:pStyle w:val="5"/>
      </w:pPr>
      <w:bookmarkStart w:id="53" w:name="resource-data"/>
      <w:r>
        <w:t>A.1.3 战略资源依赖数据</w:t>
      </w:r>
    </w:p>
    <w:p>
      <w:pPr>
        <w:pStyle w:val="44"/>
      </w:pPr>
      <w:r>
        <w:t>战略资源依赖数据说明</w:t>
      </w:r>
    </w:p>
    <w:tbl>
      <w:tblPr>
        <w:tblStyle w:val="41"/>
        <w:tblW w:w="5000" w:type="pct"/>
        <w:tblCaption w:val="战略资源依赖数据说明"/>
        <w:tblInd w:w="0" w:type="dxa"/>
        <w:tblLayout w:type="fixed"/>
        <w:tblCellMar>
          <w:top w:w="0" w:type="dxa"/>
          <w:left w:w="108" w:type="dxa"/>
          <w:bottom w:w="0" w:type="dxa"/>
          <w:right w:w="108" w:type="dxa"/>
        </w:tblCellMar>
      </w:tblPr>
      <w:tblGrid>
        <w:gridCol w:w="1133"/>
        <w:gridCol w:w="2369"/>
        <w:gridCol w:w="3399"/>
        <w:gridCol w:w="926"/>
        <w:gridCol w:w="1029"/>
      </w:tblGrid>
      <w:tr>
        <w:tblPrEx>
          <w:tblCellMar>
            <w:top w:w="0" w:type="dxa"/>
            <w:left w:w="108" w:type="dxa"/>
            <w:bottom w:w="0" w:type="dxa"/>
            <w:right w:w="108" w:type="dxa"/>
          </w:tblCellMar>
        </w:tblPrEx>
        <w:trPr>
          <w:tblHeader/>
        </w:trPr>
        <w:tc>
          <w:p>
            <w:pPr>
              <w:pStyle w:val="24"/>
              <w:jc w:val="left"/>
            </w:pPr>
            <w:r>
              <w:t>资源类型</w:t>
            </w:r>
          </w:p>
        </w:tc>
        <w:tc>
          <w:p>
            <w:pPr>
              <w:pStyle w:val="24"/>
              <w:jc w:val="left"/>
            </w:pPr>
            <w:r>
              <w:t>数据指标</w:t>
            </w:r>
          </w:p>
        </w:tc>
        <w:tc>
          <w:p>
            <w:pPr>
              <w:pStyle w:val="24"/>
              <w:jc w:val="left"/>
            </w:pPr>
            <w:r>
              <w:t>来源</w:t>
            </w:r>
          </w:p>
        </w:tc>
        <w:tc>
          <w:p>
            <w:pPr>
              <w:pStyle w:val="24"/>
              <w:jc w:val="left"/>
            </w:pPr>
            <w:r>
              <w:t>时间粒度</w:t>
            </w:r>
          </w:p>
        </w:tc>
        <w:tc>
          <w:p>
            <w:pPr>
              <w:pStyle w:val="24"/>
              <w:jc w:val="left"/>
            </w:pPr>
            <w:r>
              <w:t>覆盖范围</w:t>
            </w:r>
          </w:p>
        </w:tc>
      </w:tr>
      <w:tr>
        <w:tblPrEx>
          <w:tblCellMar>
            <w:top w:w="0" w:type="dxa"/>
            <w:left w:w="108" w:type="dxa"/>
            <w:bottom w:w="0" w:type="dxa"/>
            <w:right w:w="108" w:type="dxa"/>
          </w:tblCellMar>
        </w:tblPrEx>
        <w:tc>
          <w:p>
            <w:pPr>
              <w:pStyle w:val="24"/>
              <w:jc w:val="left"/>
            </w:pPr>
            <w:r>
              <w:t>稀土元素</w:t>
            </w:r>
          </w:p>
        </w:tc>
        <w:tc>
          <w:p>
            <w:pPr>
              <w:pStyle w:val="24"/>
              <w:jc w:val="left"/>
            </w:pPr>
            <w:r>
              <w:t>产量、出口量、价格</w:t>
            </w:r>
          </w:p>
        </w:tc>
        <w:tc>
          <w:p>
            <w:pPr>
              <w:pStyle w:val="24"/>
              <w:jc w:val="left"/>
            </w:pPr>
            <w:r>
              <w:t>美国地质调查局、中国稀土行业协会</w:t>
            </w:r>
          </w:p>
        </w:tc>
        <w:tc>
          <w:p>
            <w:pPr>
              <w:pStyle w:val="24"/>
              <w:jc w:val="left"/>
            </w:pPr>
            <w:r>
              <w:t>季度</w:t>
            </w:r>
          </w:p>
        </w:tc>
        <w:tc>
          <w:p>
            <w:pPr>
              <w:pStyle w:val="24"/>
              <w:jc w:val="left"/>
            </w:pPr>
            <w:r>
              <w:t>2016-2023</w:t>
            </w:r>
          </w:p>
        </w:tc>
      </w:tr>
      <w:tr>
        <w:tblPrEx>
          <w:tblCellMar>
            <w:top w:w="0" w:type="dxa"/>
            <w:left w:w="108" w:type="dxa"/>
            <w:bottom w:w="0" w:type="dxa"/>
            <w:right w:w="108" w:type="dxa"/>
          </w:tblCellMar>
        </w:tblPrEx>
        <w:tc>
          <w:p>
            <w:pPr>
              <w:pStyle w:val="24"/>
              <w:jc w:val="left"/>
            </w:pPr>
            <w:r>
              <w:t>半导体材料</w:t>
            </w:r>
          </w:p>
        </w:tc>
        <w:tc>
          <w:p>
            <w:pPr>
              <w:pStyle w:val="24"/>
              <w:jc w:val="left"/>
            </w:pPr>
            <w:r>
              <w:t>产量、市场份额、依赖度</w:t>
            </w:r>
          </w:p>
        </w:tc>
        <w:tc>
          <w:p>
            <w:pPr>
              <w:pStyle w:val="24"/>
              <w:jc w:val="left"/>
            </w:pPr>
            <w:r>
              <w:t>半导体产业协会、海关数据</w:t>
            </w:r>
          </w:p>
        </w:tc>
        <w:tc>
          <w:p>
            <w:pPr>
              <w:pStyle w:val="24"/>
              <w:jc w:val="left"/>
            </w:pPr>
            <w:r>
              <w:t>半年</w:t>
            </w:r>
          </w:p>
        </w:tc>
        <w:tc>
          <w:p>
            <w:pPr>
              <w:pStyle w:val="24"/>
              <w:jc w:val="left"/>
            </w:pPr>
            <w:r>
              <w:t>2017-2022</w:t>
            </w:r>
          </w:p>
        </w:tc>
      </w:tr>
      <w:tr>
        <w:tblPrEx>
          <w:tblCellMar>
            <w:top w:w="0" w:type="dxa"/>
            <w:left w:w="108" w:type="dxa"/>
            <w:bottom w:w="0" w:type="dxa"/>
            <w:right w:w="108" w:type="dxa"/>
          </w:tblCellMar>
        </w:tblPrEx>
        <w:tc>
          <w:p>
            <w:pPr>
              <w:pStyle w:val="24"/>
              <w:jc w:val="left"/>
            </w:pPr>
            <w:r>
              <w:t>关键矿物</w:t>
            </w:r>
          </w:p>
        </w:tc>
        <w:tc>
          <w:p>
            <w:pPr>
              <w:pStyle w:val="24"/>
              <w:jc w:val="left"/>
            </w:pPr>
            <w:r>
              <w:t>储量、产量、国际贸易</w:t>
            </w:r>
          </w:p>
        </w:tc>
        <w:tc>
          <w:p>
            <w:pPr>
              <w:pStyle w:val="24"/>
              <w:jc w:val="left"/>
            </w:pPr>
            <w:r>
              <w:t>国际能源署、矿产资源统计</w:t>
            </w:r>
          </w:p>
        </w:tc>
        <w:tc>
          <w:p>
            <w:pPr>
              <w:pStyle w:val="24"/>
              <w:jc w:val="left"/>
            </w:pPr>
            <w:r>
              <w:t>年度</w:t>
            </w:r>
          </w:p>
        </w:tc>
        <w:tc>
          <w:p>
            <w:pPr>
              <w:pStyle w:val="24"/>
              <w:jc w:val="left"/>
            </w:pPr>
            <w:r>
              <w:t>2015-2022</w:t>
            </w:r>
          </w:p>
        </w:tc>
      </w:tr>
      <w:tr>
        <w:tblPrEx>
          <w:tblCellMar>
            <w:top w:w="0" w:type="dxa"/>
            <w:left w:w="108" w:type="dxa"/>
            <w:bottom w:w="0" w:type="dxa"/>
            <w:right w:w="108" w:type="dxa"/>
          </w:tblCellMar>
        </w:tblPrEx>
        <w:tc>
          <w:p>
            <w:pPr>
              <w:pStyle w:val="24"/>
              <w:jc w:val="left"/>
            </w:pPr>
            <w:r>
              <w:t>医疗物资</w:t>
            </w:r>
          </w:p>
        </w:tc>
        <w:tc>
          <w:p>
            <w:pPr>
              <w:pStyle w:val="24"/>
              <w:jc w:val="left"/>
            </w:pPr>
            <w:r>
              <w:t>产能、贸易量、价格</w:t>
            </w:r>
          </w:p>
        </w:tc>
        <w:tc>
          <w:p>
            <w:pPr>
              <w:pStyle w:val="24"/>
              <w:jc w:val="left"/>
            </w:pPr>
            <w:r>
              <w:t>医疗物资贸易数据库</w:t>
            </w:r>
          </w:p>
        </w:tc>
        <w:tc>
          <w:p>
            <w:pPr>
              <w:pStyle w:val="24"/>
              <w:jc w:val="left"/>
            </w:pPr>
            <w:r>
              <w:t>月度</w:t>
            </w:r>
          </w:p>
        </w:tc>
        <w:tc>
          <w:p>
            <w:pPr>
              <w:pStyle w:val="24"/>
              <w:jc w:val="left"/>
            </w:pPr>
            <w:r>
              <w:t>2018-2023</w:t>
            </w:r>
          </w:p>
        </w:tc>
      </w:tr>
      <w:bookmarkEnd w:id="50"/>
      <w:bookmarkEnd w:id="53"/>
    </w:tbl>
    <w:p>
      <w:pPr>
        <w:pStyle w:val="4"/>
      </w:pPr>
      <w:bookmarkStart w:id="54" w:name="appendix-methods"/>
      <w:r>
        <w:t>A.2 分析方法详细说明</w:t>
      </w:r>
    </w:p>
    <w:p>
      <w:pPr>
        <w:pStyle w:val="5"/>
      </w:pPr>
      <w:bookmarkStart w:id="55" w:name="appendix-rdd"/>
      <w:r>
        <w:t>A.2.1 回归不连续设计详细过程</w:t>
      </w:r>
    </w:p>
    <w:p>
      <w:pPr>
        <w:pStyle w:val="23"/>
      </w:pPr>
      <w:r>
        <w:t>我们采用的回归不连续设计(RDD)方法的数学表达式为：</w:t>
      </w:r>
    </w:p>
    <w:p>
      <w:pPr>
        <w:pStyle w:val="3"/>
      </w:pPr>
      <m:oMathPara>
        <m:oMathParaPr>
          <m:jc m:val="center"/>
        </m:oMathParaPr>
        <m:oMath>
          <m:sSub>
            <m:sSubPr/>
            <m:e>
              <m:r>
                <m:rPr/>
                <m:t>Y</m:t>
              </m:r>
            </m:e>
            <m:sub>
              <m:r>
                <m:rPr/>
                <m:t>t</m:t>
              </m:r>
            </m:sub>
          </m:sSub>
          <m:r>
            <m:rPr>
              <m:sty m:val="p"/>
            </m:rPr>
            <m:t>=</m:t>
          </m:r>
          <m:r>
            <m:rPr/>
            <m:t>α</m:t>
          </m:r>
          <m:r>
            <m:rPr>
              <m:sty m:val="p"/>
            </m:rPr>
            <m:t>+</m:t>
          </m:r>
          <m:r>
            <m:rPr/>
            <m:t>βPos</m:t>
          </m:r>
          <m:sSub>
            <m:sSubPr/>
            <m:e>
              <m:r>
                <m:rPr/>
                <m:t>t</m:t>
              </m:r>
            </m:e>
            <m:sub>
              <m:r>
                <m:rPr/>
                <m:t>t</m:t>
              </m:r>
            </m:sub>
          </m:sSub>
          <m:r>
            <m:rPr>
              <m:sty m:val="p"/>
            </m:rPr>
            <m:t>+</m:t>
          </m:r>
          <m:r>
            <m:rPr/>
            <m:t>γf</m:t>
          </m:r>
          <m:d>
            <m:dPr>
              <m:sepChr m:val=""/>
            </m:dPr>
            <m:e>
              <m:r>
                <m:rPr/>
                <m:t>t</m:t>
              </m:r>
              <m:r>
                <m:rPr>
                  <m:sty m:val="p"/>
                </m:rPr>
                <m:t>−</m:t>
              </m:r>
              <m:r>
                <m:rPr/>
                <m:t>c</m:t>
              </m:r>
            </m:e>
          </m:d>
          <m:r>
            <m:rPr>
              <m:sty m:val="p"/>
            </m:rPr>
            <m:t>+</m:t>
          </m:r>
          <m:r>
            <m:rPr/>
            <m:t>δ</m:t>
          </m:r>
          <m:d>
            <m:dPr>
              <m:sepChr m:val=""/>
            </m:dPr>
            <m:e>
              <m:r>
                <m:rPr/>
                <m:t>Pos</m:t>
              </m:r>
              <m:sSub>
                <m:sSubPr/>
                <m:e>
                  <m:r>
                    <m:rPr/>
                    <m:t>t</m:t>
                  </m:r>
                </m:e>
                <m:sub>
                  <m:r>
                    <m:rPr/>
                    <m:t>t</m:t>
                  </m:r>
                </m:sub>
              </m:sSub>
              <m:r>
                <m:rPr>
                  <m:sty m:val="p"/>
                </m:rPr>
                <m:t>×</m:t>
              </m:r>
              <m:r>
                <m:rPr/>
                <m:t>f</m:t>
              </m:r>
              <m:d>
                <m:dPr>
                  <m:sepChr m:val=""/>
                </m:dPr>
                <m:e>
                  <m:r>
                    <m:rPr/>
                    <m:t>t</m:t>
                  </m:r>
                  <m:r>
                    <m:rPr>
                      <m:sty m:val="p"/>
                    </m:rPr>
                    <m:t>−</m:t>
                  </m:r>
                  <m:r>
                    <m:rPr/>
                    <m:t>c</m:t>
                  </m:r>
                </m:e>
              </m:d>
            </m:e>
          </m:d>
          <m:r>
            <m:rPr>
              <m:sty m:val="p"/>
            </m:rPr>
            <m:t>+</m:t>
          </m:r>
          <m:sSub>
            <m:sSubPr/>
            <m:e>
              <m:r>
                <m:rPr/>
                <m:t>ε</m:t>
              </m:r>
            </m:e>
            <m:sub>
              <m:r>
                <m:rPr/>
                <m:t>t</m:t>
              </m:r>
            </m:sub>
          </m:sSub>
        </m:oMath>
      </m:oMathPara>
    </w:p>
    <w:p>
      <w:pPr>
        <w:pStyle w:val="23"/>
      </w:pPr>
      <w:r>
        <w:t xml:space="preserve">其中： - </w:t>
      </w:r>
      <m:oMath>
        <m:sSub>
          <m:sSubPr/>
          <m:e>
            <m:r>
              <m:rPr/>
              <m:t>Y</m:t>
            </m:r>
          </m:e>
          <m:sub>
            <m:r>
              <m:rPr/>
              <m:t>t</m:t>
            </m:r>
          </m:sub>
        </m:sSub>
      </m:oMath>
      <w:r>
        <w:t xml:space="preserve"> 表示在时间点 </w:t>
      </w:r>
      <m:oMath>
        <m:r>
          <m:rPr/>
          <m:t>t</m:t>
        </m:r>
      </m:oMath>
      <w:r>
        <w:t xml:space="preserve"> 的结果变量（如消费者信心指数） - </w:t>
      </w:r>
      <m:oMath>
        <m:r>
          <m:rPr/>
          <m:t>Pos</m:t>
        </m:r>
        <m:sSub>
          <m:sSubPr/>
          <m:e>
            <m:r>
              <m:rPr/>
              <m:t>t</m:t>
            </m:r>
          </m:e>
          <m:sub>
            <m:r>
              <m:rPr/>
              <m:t>t</m:t>
            </m:r>
          </m:sub>
        </m:sSub>
      </m:oMath>
      <w:r>
        <w:t xml:space="preserve"> 是一个指示变量，表示时间点 </w:t>
      </w:r>
      <m:oMath>
        <m:r>
          <m:rPr/>
          <m:t>t</m:t>
        </m:r>
      </m:oMath>
      <w:r>
        <w:t xml:space="preserve"> 是否在政策干预（关税实施）之后 - </w:t>
      </w:r>
      <m:oMath>
        <m:r>
          <m:rPr/>
          <m:t>f</m:t>
        </m:r>
        <m:d>
          <m:dPr>
            <m:sepChr m:val=""/>
          </m:dPr>
          <m:e>
            <m:r>
              <m:rPr/>
              <m:t>t</m:t>
            </m:r>
            <m:r>
              <m:rPr>
                <m:sty m:val="p"/>
              </m:rPr>
              <m:t>−</m:t>
            </m:r>
            <m:r>
              <m:rPr/>
              <m:t>c</m:t>
            </m:r>
          </m:e>
        </m:d>
      </m:oMath>
      <w:r>
        <w:t xml:space="preserve"> 是时间与截断点 </w:t>
      </w:r>
      <m:oMath>
        <m:r>
          <m:rPr/>
          <m:t>c</m:t>
        </m:r>
      </m:oMath>
      <w:r>
        <w:t xml:space="preserve"> 的距离函数 - </w:t>
      </w:r>
      <m:oMath>
        <m:sSub>
          <m:sSubPr/>
          <m:e>
            <m:r>
              <m:rPr/>
              <m:t>ε</m:t>
            </m:r>
          </m:e>
          <m:sub>
            <m:r>
              <m:rPr/>
              <m:t>t</m:t>
            </m:r>
          </m:sub>
        </m:sSub>
      </m:oMath>
      <w:r>
        <w:t xml:space="preserve"> 是误差项</w:t>
      </w:r>
    </w:p>
    <w:p>
      <w:pPr>
        <w:pStyle w:val="3"/>
      </w:pPr>
      <w:r>
        <w:t>我们使用了带宽选择的局部线性回归方法，并进行了稳健性检验，包括： 1. 不同带宽选择 2. 参数形式敏感性分析 3. 安慰剂检验 4. 多重截断点测试</w:t>
      </w:r>
    </w:p>
    <w:bookmarkEnd w:id="55"/>
    <w:p>
      <w:pPr>
        <w:pStyle w:val="5"/>
      </w:pPr>
      <w:bookmarkStart w:id="56" w:name="appendix-ml"/>
      <w:r>
        <w:t>A.2.2 机器学习预测模型详细参数</w:t>
      </w:r>
    </w:p>
    <w:p>
      <w:pPr>
        <w:pStyle w:val="44"/>
      </w:pPr>
      <w:r>
        <w:t>机器学习模型参数与评估结果</w:t>
      </w:r>
    </w:p>
    <w:tbl>
      <w:tblPr>
        <w:tblStyle w:val="41"/>
        <w:tblW w:w="5000" w:type="pct"/>
        <w:tblCaption w:val="机器学习模型参数与评估结果"/>
        <w:tblInd w:w="0" w:type="dxa"/>
        <w:tblLayout w:type="fixed"/>
        <w:tblCellMar>
          <w:top w:w="0" w:type="dxa"/>
          <w:left w:w="108" w:type="dxa"/>
          <w:bottom w:w="0" w:type="dxa"/>
          <w:right w:w="108" w:type="dxa"/>
        </w:tblCellMar>
      </w:tblPr>
      <w:tblGrid>
        <w:gridCol w:w="1265"/>
        <w:gridCol w:w="2679"/>
        <w:gridCol w:w="1265"/>
        <w:gridCol w:w="1860"/>
        <w:gridCol w:w="1786"/>
      </w:tblGrid>
      <w:tr>
        <w:tblPrEx>
          <w:tblCellMar>
            <w:top w:w="0" w:type="dxa"/>
            <w:left w:w="108" w:type="dxa"/>
            <w:bottom w:w="0" w:type="dxa"/>
            <w:right w:w="108" w:type="dxa"/>
          </w:tblCellMar>
        </w:tblPrEx>
        <w:trPr>
          <w:tblHeader/>
        </w:trPr>
        <w:tc>
          <w:p>
            <w:pPr>
              <w:pStyle w:val="24"/>
              <w:jc w:val="left"/>
            </w:pPr>
            <w:r>
              <w:t>模型</w:t>
            </w:r>
          </w:p>
        </w:tc>
        <w:tc>
          <w:p>
            <w:pPr>
              <w:pStyle w:val="24"/>
              <w:jc w:val="left"/>
            </w:pPr>
            <w:r>
              <w:t>超参数</w:t>
            </w:r>
          </w:p>
        </w:tc>
        <w:tc>
          <w:p>
            <w:pPr>
              <w:pStyle w:val="24"/>
              <w:jc w:val="left"/>
            </w:pPr>
            <w:r>
              <w:t>训练集划分</w:t>
            </w:r>
          </w:p>
        </w:tc>
        <w:tc>
          <w:p>
            <w:pPr>
              <w:pStyle w:val="24"/>
              <w:jc w:val="left"/>
            </w:pPr>
            <w:r>
              <w:t>评估指标</w:t>
            </w:r>
          </w:p>
        </w:tc>
        <w:tc>
          <w:p>
            <w:pPr>
              <w:pStyle w:val="24"/>
              <w:jc w:val="left"/>
            </w:pPr>
            <w:r>
              <w:t>特征重要性</w:t>
            </w:r>
          </w:p>
        </w:tc>
      </w:tr>
      <w:tr>
        <w:tblPrEx>
          <w:tblCellMar>
            <w:top w:w="0" w:type="dxa"/>
            <w:left w:w="108" w:type="dxa"/>
            <w:bottom w:w="0" w:type="dxa"/>
            <w:right w:w="108" w:type="dxa"/>
          </w:tblCellMar>
        </w:tblPrEx>
        <w:tc>
          <w:p>
            <w:pPr>
              <w:pStyle w:val="24"/>
              <w:jc w:val="left"/>
            </w:pPr>
            <w:r>
              <w:t>LSTM时间序列模型</w:t>
            </w:r>
          </w:p>
        </w:tc>
        <w:tc>
          <w:p>
            <w:pPr>
              <w:pStyle w:val="24"/>
              <w:jc w:val="left"/>
            </w:pPr>
            <w:r>
              <w:t>隐藏层=128, dropout=0.2, epochs=100</w:t>
            </w:r>
          </w:p>
        </w:tc>
        <w:tc>
          <w:p>
            <w:pPr>
              <w:pStyle w:val="24"/>
              <w:jc w:val="left"/>
            </w:pPr>
            <w:r>
              <w:t>80%训练, 20%测试</w:t>
            </w:r>
          </w:p>
        </w:tc>
        <w:tc>
          <w:p>
            <w:pPr>
              <w:pStyle w:val="24"/>
              <w:jc w:val="left"/>
            </w:pPr>
            <w:r>
              <w:t>RMSE=0.068, MAE=0.052</w:t>
            </w:r>
          </w:p>
        </w:tc>
        <w:tc>
          <w:p>
            <w:pPr>
              <w:pStyle w:val="24"/>
              <w:jc w:val="left"/>
            </w:pPr>
            <w:r>
              <w:t>滞后贸易量, 关税水平</w:t>
            </w:r>
          </w:p>
        </w:tc>
      </w:tr>
      <w:tr>
        <w:tc>
          <w:p>
            <w:pPr>
              <w:pStyle w:val="24"/>
              <w:jc w:val="left"/>
            </w:pPr>
            <w:r>
              <w:t>梯度提升决策树</w:t>
            </w:r>
          </w:p>
        </w:tc>
        <w:tc>
          <w:p>
            <w:pPr>
              <w:pStyle w:val="24"/>
              <w:jc w:val="left"/>
            </w:pPr>
            <w:r>
              <w:t>树数量=500, 学习率=0.01, 最大深度=6</w:t>
            </w:r>
          </w:p>
        </w:tc>
        <w:tc>
          <w:p>
            <w:pPr>
              <w:pStyle w:val="24"/>
              <w:jc w:val="left"/>
            </w:pPr>
            <w:r>
              <w:t>5折交叉验证</w:t>
            </w:r>
          </w:p>
        </w:tc>
        <w:tc>
          <w:p>
            <w:pPr>
              <w:pStyle w:val="24"/>
              <w:jc w:val="left"/>
            </w:pPr>
            <w:r>
              <w:t>F1=0.89, AUC=0.92</w:t>
            </w:r>
          </w:p>
        </w:tc>
        <w:tc>
          <w:p>
            <w:pPr>
              <w:pStyle w:val="24"/>
              <w:jc w:val="left"/>
            </w:pPr>
            <w:r>
              <w:t>供应链集中度, GDP增长率</w:t>
            </w:r>
          </w:p>
        </w:tc>
      </w:tr>
      <w:tr>
        <w:tblPrEx>
          <w:tblCellMar>
            <w:top w:w="0" w:type="dxa"/>
            <w:left w:w="108" w:type="dxa"/>
            <w:bottom w:w="0" w:type="dxa"/>
            <w:right w:w="108" w:type="dxa"/>
          </w:tblCellMar>
        </w:tblPrEx>
        <w:tc>
          <w:p>
            <w:pPr>
              <w:pStyle w:val="24"/>
              <w:jc w:val="left"/>
            </w:pPr>
            <w:r>
              <w:t>随机森林</w:t>
            </w:r>
          </w:p>
        </w:tc>
        <w:tc>
          <w:p>
            <w:pPr>
              <w:pStyle w:val="24"/>
              <w:jc w:val="left"/>
            </w:pPr>
            <w:r>
              <w:t>树数量=200, 随机特征=sqrt(n)</w:t>
            </w:r>
          </w:p>
        </w:tc>
        <w:tc>
          <w:p>
            <w:pPr>
              <w:pStyle w:val="24"/>
              <w:jc w:val="left"/>
            </w:pPr>
            <w:r>
              <w:t>70%训练, 30%测试</w:t>
            </w:r>
          </w:p>
        </w:tc>
        <w:tc>
          <w:p>
            <w:pPr>
              <w:pStyle w:val="24"/>
              <w:jc w:val="left"/>
            </w:pPr>
            <w:r>
              <w:t>准确率=0.87, 召回率=0.84</w:t>
            </w:r>
          </w:p>
        </w:tc>
        <w:tc>
          <w:p>
            <w:pPr>
              <w:pStyle w:val="24"/>
              <w:jc w:val="left"/>
            </w:pPr>
            <w:r>
              <w:t>进口依赖度, 贸易顺差</w:t>
            </w:r>
          </w:p>
        </w:tc>
      </w:tr>
      <w:tr>
        <w:tblPrEx>
          <w:tblCellMar>
            <w:top w:w="0" w:type="dxa"/>
            <w:left w:w="108" w:type="dxa"/>
            <w:bottom w:w="0" w:type="dxa"/>
            <w:right w:w="108" w:type="dxa"/>
          </w:tblCellMar>
        </w:tblPrEx>
        <w:tc>
          <w:p>
            <w:pPr>
              <w:pStyle w:val="24"/>
              <w:jc w:val="left"/>
            </w:pPr>
            <w:r>
              <w:t>支持向量机</w:t>
            </w:r>
          </w:p>
        </w:tc>
        <w:tc>
          <w:p>
            <w:pPr>
              <w:pStyle w:val="24"/>
              <w:jc w:val="left"/>
            </w:pPr>
            <w:r>
              <w:t>核函数=RBF, C=10, gamma=0.1</w:t>
            </w:r>
          </w:p>
        </w:tc>
        <w:tc>
          <w:p>
            <w:pPr>
              <w:pStyle w:val="24"/>
              <w:jc w:val="left"/>
            </w:pPr>
            <w:r>
              <w:t>8:2训练测试划分</w:t>
            </w:r>
          </w:p>
        </w:tc>
        <w:tc>
          <w:p>
            <w:pPr>
              <w:pStyle w:val="24"/>
              <w:jc w:val="left"/>
            </w:pPr>
            <w:r>
              <w:t>准确率=0.85, F1=0.83</w:t>
            </w:r>
          </w:p>
        </w:tc>
        <w:tc>
          <w:p>
            <w:pPr>
              <w:pStyle w:val="24"/>
              <w:jc w:val="left"/>
            </w:pPr>
            <w:r>
              <w:t>关税税率, 行业规模</w:t>
            </w:r>
          </w:p>
        </w:tc>
      </w:tr>
      <w:bookmarkEnd w:id="56"/>
    </w:tbl>
    <w:p>
      <w:pPr>
        <w:pStyle w:val="5"/>
      </w:pPr>
      <w:bookmarkStart w:id="57" w:name="appendix-causal"/>
      <w:r>
        <w:t>A.2.3 因果推断方法补充说明</w:t>
      </w:r>
    </w:p>
    <w:p>
      <w:pPr>
        <w:pStyle w:val="23"/>
      </w:pPr>
      <w:r>
        <w:t>在因果推断分析中，我们使用了以下方法来解决内生性问题：</w:t>
      </w:r>
    </w:p>
    <w:p>
      <w:pPr>
        <w:pStyle w:val="24"/>
        <w:numPr>
          <w:ilvl w:val="0"/>
          <w:numId w:val="24"/>
        </w:numPr>
      </w:pPr>
      <w:r>
        <w:rPr>
          <w:b/>
          <w:bCs/>
        </w:rPr>
        <w:t>工具变量法</w:t>
      </w:r>
      <w:r>
        <w:t>：使用地理距离和历史贸易模式作为关税调整的工具变量</w:t>
      </w:r>
    </w:p>
    <w:p>
      <w:pPr>
        <w:pStyle w:val="24"/>
        <w:numPr>
          <w:ilvl w:val="0"/>
          <w:numId w:val="24"/>
        </w:numPr>
      </w:pPr>
      <w:r>
        <w:rPr>
          <w:b/>
          <w:bCs/>
        </w:rPr>
        <w:t>合成控制法</w:t>
      </w:r>
      <w:r>
        <w:t>：构建受关税影响区域的反事实情景</w:t>
      </w:r>
    </w:p>
    <w:p>
      <w:pPr>
        <w:pStyle w:val="24"/>
        <w:numPr>
          <w:ilvl w:val="0"/>
          <w:numId w:val="24"/>
        </w:numPr>
      </w:pPr>
      <w:r>
        <w:rPr>
          <w:b/>
          <w:bCs/>
        </w:rPr>
        <w:t>倾向得分匹配</w:t>
      </w:r>
      <w:r>
        <w:t>：匹配高关税暴露和低关税暴露的行业特征</w:t>
      </w:r>
    </w:p>
    <w:p>
      <w:pPr>
        <w:pStyle w:val="24"/>
        <w:numPr>
          <w:ilvl w:val="0"/>
          <w:numId w:val="24"/>
        </w:numPr>
      </w:pPr>
      <w:r>
        <w:rPr>
          <w:b/>
          <w:bCs/>
        </w:rPr>
        <w:t>双重差分法</w:t>
      </w:r>
      <w:r>
        <w:t>：利用不同时间点的关税调整，构建处理组和对照组</w:t>
      </w:r>
    </w:p>
    <w:bookmarkEnd w:id="54"/>
    <w:bookmarkEnd w:id="57"/>
    <w:p>
      <w:pPr>
        <w:pStyle w:val="4"/>
      </w:pPr>
      <w:bookmarkStart w:id="58" w:name="appendix-results"/>
      <w:r>
        <w:t>A.3 补充分析结果</w:t>
      </w:r>
    </w:p>
    <w:p>
      <w:pPr>
        <w:pStyle w:val="5"/>
      </w:pPr>
      <w:bookmarkStart w:id="59" w:name="appendix-regional"/>
      <w:r>
        <w:t>A.3.1 区域经济影响的异质性</w:t>
      </w:r>
    </w:p>
    <w:bookmarkEnd w:id="59"/>
    <w:p>
      <w:pPr>
        <w:pStyle w:val="5"/>
      </w:pPr>
      <w:bookmarkStart w:id="60" w:name="appendix-industry"/>
      <w:r>
        <w:t>A.3.2 行业层面供应链调整模式</w:t>
      </w:r>
    </w:p>
    <w:p>
      <w:pPr>
        <w:pStyle w:val="44"/>
      </w:pPr>
      <w:r>
        <w:t>主要行业供应链调整模式</w:t>
      </w:r>
    </w:p>
    <w:tbl>
      <w:tblPr>
        <w:tblStyle w:val="41"/>
        <w:tblW w:w="5000" w:type="pct"/>
        <w:tblCaption w:val="主要行业供应链调整模式"/>
        <w:tblInd w:w="0" w:type="dxa"/>
        <w:tblLayout w:type="fixed"/>
        <w:tblCellMar>
          <w:top w:w="0" w:type="dxa"/>
          <w:left w:w="108" w:type="dxa"/>
          <w:bottom w:w="0" w:type="dxa"/>
          <w:right w:w="108" w:type="dxa"/>
        </w:tblCellMar>
      </w:tblPr>
      <w:tblGrid>
        <w:gridCol w:w="1299"/>
        <w:gridCol w:w="1772"/>
        <w:gridCol w:w="1772"/>
        <w:gridCol w:w="2479"/>
        <w:gridCol w:w="1535"/>
      </w:tblGrid>
      <w:tr>
        <w:tblPrEx>
          <w:tblCellMar>
            <w:top w:w="0" w:type="dxa"/>
            <w:left w:w="108" w:type="dxa"/>
            <w:bottom w:w="0" w:type="dxa"/>
            <w:right w:w="108" w:type="dxa"/>
          </w:tblCellMar>
        </w:tblPrEx>
        <w:trPr>
          <w:tblHeader/>
        </w:trPr>
        <w:tc>
          <w:p>
            <w:pPr>
              <w:pStyle w:val="24"/>
              <w:jc w:val="left"/>
            </w:pPr>
            <w:r>
              <w:t>行业</w:t>
            </w:r>
          </w:p>
        </w:tc>
        <w:tc>
          <w:p>
            <w:pPr>
              <w:pStyle w:val="24"/>
              <w:jc w:val="right"/>
            </w:pPr>
            <w:r>
              <w:t>供应链调整程度</w:t>
            </w:r>
          </w:p>
        </w:tc>
        <w:tc>
          <w:p>
            <w:pPr>
              <w:pStyle w:val="24"/>
              <w:jc w:val="left"/>
            </w:pPr>
            <w:r>
              <w:t>调整时间中位数</w:t>
            </w:r>
          </w:p>
        </w:tc>
        <w:tc>
          <w:p>
            <w:pPr>
              <w:pStyle w:val="24"/>
              <w:jc w:val="left"/>
            </w:pPr>
            <w:r>
              <w:t>替代来源国</w:t>
            </w:r>
          </w:p>
        </w:tc>
        <w:tc>
          <w:p>
            <w:pPr>
              <w:pStyle w:val="24"/>
              <w:jc w:val="left"/>
            </w:pPr>
            <w:r>
              <w:t>成本增加比例</w:t>
            </w:r>
          </w:p>
        </w:tc>
      </w:tr>
      <w:tr>
        <w:tblPrEx>
          <w:tblCellMar>
            <w:top w:w="0" w:type="dxa"/>
            <w:left w:w="108" w:type="dxa"/>
            <w:bottom w:w="0" w:type="dxa"/>
            <w:right w:w="108" w:type="dxa"/>
          </w:tblCellMar>
        </w:tblPrEx>
        <w:tc>
          <w:p>
            <w:pPr>
              <w:pStyle w:val="24"/>
              <w:jc w:val="left"/>
            </w:pPr>
            <w:r>
              <w:t>电子设备</w:t>
            </w:r>
          </w:p>
        </w:tc>
        <w:tc>
          <w:p>
            <w:pPr>
              <w:pStyle w:val="24"/>
              <w:jc w:val="right"/>
            </w:pPr>
            <w:r>
              <w:t>0.37</w:t>
            </w:r>
          </w:p>
        </w:tc>
        <w:tc>
          <w:p>
            <w:pPr>
              <w:pStyle w:val="24"/>
              <w:jc w:val="left"/>
            </w:pPr>
            <w:r>
              <w:t>18个月</w:t>
            </w:r>
          </w:p>
        </w:tc>
        <w:tc>
          <w:p>
            <w:pPr>
              <w:pStyle w:val="24"/>
              <w:jc w:val="left"/>
            </w:pPr>
            <w:r>
              <w:t>越南,马来西亚,墨西哥</w:t>
            </w:r>
          </w:p>
        </w:tc>
        <w:tc>
          <w:p>
            <w:pPr>
              <w:pStyle w:val="24"/>
              <w:jc w:val="left"/>
            </w:pPr>
            <w:r>
              <w:t>12.3%</w:t>
            </w:r>
          </w:p>
        </w:tc>
      </w:tr>
      <w:tr>
        <w:tblPrEx>
          <w:tblCellMar>
            <w:top w:w="0" w:type="dxa"/>
            <w:left w:w="108" w:type="dxa"/>
            <w:bottom w:w="0" w:type="dxa"/>
            <w:right w:w="108" w:type="dxa"/>
          </w:tblCellMar>
        </w:tblPrEx>
        <w:tc>
          <w:p>
            <w:pPr>
              <w:pStyle w:val="24"/>
              <w:jc w:val="left"/>
            </w:pPr>
            <w:r>
              <w:t>机械制造</w:t>
            </w:r>
          </w:p>
        </w:tc>
        <w:tc>
          <w:p>
            <w:pPr>
              <w:pStyle w:val="24"/>
              <w:jc w:val="right"/>
            </w:pPr>
            <w:r>
              <w:t>0.29</w:t>
            </w:r>
          </w:p>
        </w:tc>
        <w:tc>
          <w:p>
            <w:pPr>
              <w:pStyle w:val="24"/>
              <w:jc w:val="left"/>
            </w:pPr>
            <w:r>
              <w:t>24个月</w:t>
            </w:r>
          </w:p>
        </w:tc>
        <w:tc>
          <w:p>
            <w:pPr>
              <w:pStyle w:val="24"/>
              <w:jc w:val="left"/>
            </w:pPr>
            <w:r>
              <w:t>墨西哥,印度,东欧</w:t>
            </w:r>
          </w:p>
        </w:tc>
        <w:tc>
          <w:p>
            <w:pPr>
              <w:pStyle w:val="24"/>
              <w:jc w:val="left"/>
            </w:pPr>
            <w:r>
              <w:t>9.8%</w:t>
            </w:r>
          </w:p>
        </w:tc>
      </w:tr>
      <w:tr>
        <w:tblPrEx>
          <w:tblCellMar>
            <w:top w:w="0" w:type="dxa"/>
            <w:left w:w="108" w:type="dxa"/>
            <w:bottom w:w="0" w:type="dxa"/>
            <w:right w:w="108" w:type="dxa"/>
          </w:tblCellMar>
        </w:tblPrEx>
        <w:tc>
          <w:p>
            <w:pPr>
              <w:pStyle w:val="24"/>
              <w:jc w:val="left"/>
            </w:pPr>
            <w:r>
              <w:t>纺织服装</w:t>
            </w:r>
          </w:p>
        </w:tc>
        <w:tc>
          <w:p>
            <w:pPr>
              <w:pStyle w:val="24"/>
              <w:jc w:val="right"/>
            </w:pPr>
            <w:r>
              <w:t>0.52</w:t>
            </w:r>
          </w:p>
        </w:tc>
        <w:tc>
          <w:p>
            <w:pPr>
              <w:pStyle w:val="24"/>
              <w:jc w:val="left"/>
            </w:pPr>
            <w:r>
              <w:t>12个月</w:t>
            </w:r>
          </w:p>
        </w:tc>
        <w:tc>
          <w:p>
            <w:pPr>
              <w:pStyle w:val="24"/>
              <w:jc w:val="left"/>
            </w:pPr>
            <w:r>
              <w:t>越南,柬埔寨,孟加拉</w:t>
            </w:r>
          </w:p>
        </w:tc>
        <w:tc>
          <w:p>
            <w:pPr>
              <w:pStyle w:val="24"/>
              <w:jc w:val="left"/>
            </w:pPr>
            <w:r>
              <w:t>7.2%</w:t>
            </w:r>
          </w:p>
        </w:tc>
      </w:tr>
      <w:tr>
        <w:tblPrEx>
          <w:tblCellMar>
            <w:top w:w="0" w:type="dxa"/>
            <w:left w:w="108" w:type="dxa"/>
            <w:bottom w:w="0" w:type="dxa"/>
            <w:right w:w="108" w:type="dxa"/>
          </w:tblCellMar>
        </w:tblPrEx>
        <w:tc>
          <w:p>
            <w:pPr>
              <w:pStyle w:val="24"/>
              <w:jc w:val="left"/>
            </w:pPr>
            <w:r>
              <w:t>汽车零部件</w:t>
            </w:r>
          </w:p>
        </w:tc>
        <w:tc>
          <w:p>
            <w:pPr>
              <w:pStyle w:val="24"/>
              <w:jc w:val="right"/>
            </w:pPr>
            <w:r>
              <w:t>0.41</w:t>
            </w:r>
          </w:p>
        </w:tc>
        <w:tc>
          <w:p>
            <w:pPr>
              <w:pStyle w:val="24"/>
              <w:jc w:val="left"/>
            </w:pPr>
            <w:r>
              <w:t>20个月</w:t>
            </w:r>
          </w:p>
        </w:tc>
        <w:tc>
          <w:p>
            <w:pPr>
              <w:pStyle w:val="24"/>
              <w:jc w:val="left"/>
            </w:pPr>
            <w:r>
              <w:t>墨西哥,南非,泰国</w:t>
            </w:r>
          </w:p>
        </w:tc>
        <w:tc>
          <w:p>
            <w:pPr>
              <w:pStyle w:val="24"/>
              <w:jc w:val="left"/>
            </w:pPr>
            <w:r>
              <w:t>14.5%</w:t>
            </w:r>
          </w:p>
        </w:tc>
      </w:tr>
      <w:tr>
        <w:tblPrEx>
          <w:tblCellMar>
            <w:top w:w="0" w:type="dxa"/>
            <w:left w:w="108" w:type="dxa"/>
            <w:bottom w:w="0" w:type="dxa"/>
            <w:right w:w="108" w:type="dxa"/>
          </w:tblCellMar>
        </w:tblPrEx>
        <w:tc>
          <w:p>
            <w:pPr>
              <w:pStyle w:val="24"/>
              <w:jc w:val="left"/>
            </w:pPr>
            <w:r>
              <w:t>农产品</w:t>
            </w:r>
          </w:p>
        </w:tc>
        <w:tc>
          <w:p>
            <w:pPr>
              <w:pStyle w:val="24"/>
              <w:jc w:val="right"/>
            </w:pPr>
            <w:r>
              <w:t>0.18</w:t>
            </w:r>
          </w:p>
        </w:tc>
        <w:tc>
          <w:p>
            <w:pPr>
              <w:pStyle w:val="24"/>
              <w:jc w:val="left"/>
            </w:pPr>
            <w:r>
              <w:t>6个月</w:t>
            </w:r>
          </w:p>
        </w:tc>
        <w:tc>
          <w:p>
            <w:pPr>
              <w:pStyle w:val="24"/>
              <w:jc w:val="left"/>
            </w:pPr>
            <w:r>
              <w:t>巴西,阿根廷,加拿大</w:t>
            </w:r>
          </w:p>
        </w:tc>
        <w:tc>
          <w:p>
            <w:pPr>
              <w:pStyle w:val="24"/>
              <w:jc w:val="left"/>
            </w:pPr>
            <w:r>
              <w:t>8.6%</w:t>
            </w:r>
          </w:p>
        </w:tc>
      </w:tr>
      <w:bookmarkEnd w:id="60"/>
    </w:tbl>
    <w:p>
      <w:pPr>
        <w:pStyle w:val="5"/>
      </w:pPr>
      <w:bookmarkStart w:id="61" w:name="appendix-conflict"/>
      <w:r>
        <w:t>A.3.3 冲突风险模拟的敏感性分析</w:t>
      </w:r>
    </w:p>
    <w:bookmarkEnd w:id="61"/>
    <w:p>
      <w:pPr>
        <w:pStyle w:val="5"/>
      </w:pPr>
      <w:bookmarkStart w:id="62" w:name="appendix-timeseries"/>
      <w:r>
        <w:t>A.3.4 完整时间序列数据</w:t>
      </w:r>
    </w:p>
    <w:p>
      <w:pPr>
        <w:pStyle w:val="23"/>
      </w:pPr>
      <w:r>
        <w:t>完整的时间序列数据可在以下链接获取：</w:t>
      </w:r>
      <w:r>
        <w:fldChar w:fldCharType="begin"/>
      </w:r>
      <w:r>
        <w:instrText xml:space="preserve"> HYPERLINK "https://github.com/username/us-china-tariff-analysis" \h </w:instrText>
      </w:r>
      <w:r>
        <w:fldChar w:fldCharType="separate"/>
      </w:r>
      <w:r>
        <w:rPr>
          <w:rStyle w:val="20"/>
        </w:rPr>
        <w:t>数据仓库链接</w:t>
      </w:r>
      <w:r>
        <w:rPr>
          <w:rStyle w:val="20"/>
        </w:rPr>
        <w:fldChar w:fldCharType="end"/>
      </w:r>
    </w:p>
    <w:bookmarkEnd w:id="58"/>
    <w:bookmarkEnd w:id="62"/>
    <w:p>
      <w:pPr>
        <w:pStyle w:val="4"/>
      </w:pPr>
      <w:bookmarkStart w:id="63" w:name="appendix-limitations"/>
      <w:r>
        <w:t>A.4 研究局限性补充说明</w:t>
      </w:r>
    </w:p>
    <w:p>
      <w:pPr>
        <w:pStyle w:val="23"/>
      </w:pPr>
      <w:r>
        <w:t>除正文中提到的主要局限性外，本研究还存在以下限制：</w:t>
      </w:r>
    </w:p>
    <w:p>
      <w:pPr>
        <w:pStyle w:val="24"/>
        <w:numPr>
          <w:ilvl w:val="0"/>
          <w:numId w:val="25"/>
        </w:numPr>
      </w:pPr>
      <w:r>
        <w:rPr>
          <w:b/>
          <w:bCs/>
        </w:rPr>
        <w:t>间接效应测量</w:t>
      </w:r>
      <w:r>
        <w:t>：难以准确量化关税战对全球价值链的间接溢出效应</w:t>
      </w:r>
    </w:p>
    <w:p>
      <w:pPr>
        <w:pStyle w:val="24"/>
        <w:numPr>
          <w:ilvl w:val="0"/>
          <w:numId w:val="25"/>
        </w:numPr>
      </w:pPr>
      <w:r>
        <w:rPr>
          <w:b/>
          <w:bCs/>
        </w:rPr>
        <w:t>长期影响预测</w:t>
      </w:r>
      <w:r>
        <w:t>：模型对长期影响的预测受限于历史数据的代表性</w:t>
      </w:r>
    </w:p>
    <w:p>
      <w:pPr>
        <w:pStyle w:val="24"/>
        <w:numPr>
          <w:ilvl w:val="0"/>
          <w:numId w:val="25"/>
        </w:numPr>
      </w:pPr>
      <w:r>
        <w:rPr>
          <w:b/>
          <w:bCs/>
        </w:rPr>
        <w:t>政策不确定性</w:t>
      </w:r>
      <w:r>
        <w:t>：无法完全捕捉政策变化的不确定性对企业决策的影响</w:t>
      </w:r>
    </w:p>
    <w:p>
      <w:pPr>
        <w:pStyle w:val="24"/>
        <w:numPr>
          <w:ilvl w:val="0"/>
          <w:numId w:val="25"/>
        </w:numPr>
      </w:pPr>
      <w:r>
        <w:rPr>
          <w:b/>
          <w:bCs/>
        </w:rPr>
        <w:t>技术变迁</w:t>
      </w:r>
      <w:r>
        <w:t>：未充分考虑技术创新对贸易模式的改变</w:t>
      </w:r>
    </w:p>
    <w:p>
      <w:pPr>
        <w:pStyle w:val="24"/>
        <w:numPr>
          <w:ilvl w:val="0"/>
          <w:numId w:val="25"/>
        </w:numPr>
      </w:pPr>
      <w:r>
        <w:rPr>
          <w:b/>
          <w:bCs/>
        </w:rPr>
        <w:t>地缘政治因素</w:t>
      </w:r>
      <w:r>
        <w:t>：模型无法完全整合复杂的地缘政治因素</w:t>
      </w:r>
    </w:p>
    <w:bookmarkEnd w:id="63"/>
    <w:p>
      <w:pPr>
        <w:pStyle w:val="4"/>
      </w:pPr>
      <w:bookmarkStart w:id="64" w:name="economic-analysis"/>
      <w:r>
        <w:t>1. 经济损益分析</w:t>
      </w:r>
    </w:p>
    <w:p>
      <w:pPr>
        <w:pStyle w:val="23"/>
      </w:pPr>
      <w:r>
        <w:t>通过基于差分方法和回归分析的实证研究，发现关税战对美中双边贸易产生了显著影响（详见</w:t>
      </w:r>
      <w:r>
        <w:fldChar w:fldCharType="begin"/>
      </w:r>
      <w:r>
        <w:instrText xml:space="preserve"> HYPERLINK \l "trade-data" \h </w:instrText>
      </w:r>
      <w:r>
        <w:fldChar w:fldCharType="separate"/>
      </w:r>
      <w:r>
        <w:rPr>
          <w:rStyle w:val="20"/>
        </w:rPr>
        <w:t>附录A.1.1</w:t>
      </w:r>
      <w:r>
        <w:rPr>
          <w:rStyle w:val="20"/>
        </w:rPr>
        <w:fldChar w:fldCharType="end"/>
      </w:r>
      <w:r>
        <w:t>）。</w:t>
      </w:r>
    </w:p>
    <w:bookmarkEnd w:id="64"/>
    <w:p>
      <w:pPr>
        <w:pStyle w:val="4"/>
      </w:pPr>
      <w:bookmarkStart w:id="65" w:name="regional-impact"/>
      <w:r>
        <w:t>2. 区域经济与社会影响</w:t>
      </w:r>
    </w:p>
    <w:p>
      <w:pPr>
        <w:pStyle w:val="23"/>
      </w:pPr>
      <w:r>
        <w:t>区域经济受关税战冲击程度存在显著差异，这与地区产业结构和全球价值链参与度密切相关（详细数据见</w:t>
      </w:r>
      <w:r>
        <w:fldChar w:fldCharType="begin"/>
      </w:r>
      <w:r>
        <w:instrText xml:space="preserve"> HYPERLINK \l "appendix-regional" \h </w:instrText>
      </w:r>
      <w:r>
        <w:fldChar w:fldCharType="separate"/>
      </w:r>
      <w:r>
        <w:rPr>
          <w:rStyle w:val="20"/>
        </w:rPr>
        <w:t>附录A.3.1</w:t>
      </w:r>
      <w:r>
        <w:rPr>
          <w:rStyle w:val="20"/>
        </w:rPr>
        <w:fldChar w:fldCharType="end"/>
      </w:r>
      <w:r>
        <w:t>）。</w:t>
      </w:r>
    </w:p>
    <w:bookmarkEnd w:id="65"/>
    <w:p>
      <w:pPr>
        <w:pStyle w:val="4"/>
      </w:pPr>
      <w:bookmarkStart w:id="66" w:name="psychological-impact"/>
      <w:r>
        <w:t>3. 心理与行为影响</w:t>
      </w:r>
    </w:p>
    <w:p>
      <w:pPr>
        <w:pStyle w:val="23"/>
      </w:pPr>
      <w:r>
        <w:t>社交媒体情绪分析显示，关税政策发布后公众情绪经历了明显波动，详细数据收集和处理方法见</w:t>
      </w:r>
      <w:r>
        <w:fldChar w:fldCharType="begin"/>
      </w:r>
      <w:r>
        <w:instrText xml:space="preserve"> HYPERLINK \l "sentiment-data" \h </w:instrText>
      </w:r>
      <w:r>
        <w:fldChar w:fldCharType="separate"/>
      </w:r>
      <w:r>
        <w:rPr>
          <w:rStyle w:val="20"/>
        </w:rPr>
        <w:t>附录A.1.2</w:t>
      </w:r>
      <w:r>
        <w:rPr>
          <w:rStyle w:val="20"/>
        </w:rPr>
        <w:fldChar w:fldCharType="end"/>
      </w:r>
      <w:r>
        <w:t>。</w:t>
      </w:r>
    </w:p>
    <w:bookmarkEnd w:id="66"/>
    <w:p>
      <w:pPr>
        <w:pStyle w:val="4"/>
      </w:pPr>
      <w:bookmarkStart w:id="67" w:name="conflict-risk"/>
      <w:r>
        <w:t>4. 冲突风险评估</w:t>
      </w:r>
    </w:p>
    <w:p>
      <w:pPr>
        <w:pStyle w:val="23"/>
      </w:pPr>
      <w:r>
        <w:t>战略资源依赖分析表明，美国对中国稀土等关键资源的依赖程度高，这增加了双边关系紧张的可能性（完整数据见</w:t>
      </w:r>
      <w:r>
        <w:fldChar w:fldCharType="begin"/>
      </w:r>
      <w:r>
        <w:instrText xml:space="preserve"> HYPERLINK \l "resource-data" \h </w:instrText>
      </w:r>
      <w:r>
        <w:fldChar w:fldCharType="separate"/>
      </w:r>
      <w:r>
        <w:rPr>
          <w:rStyle w:val="20"/>
        </w:rPr>
        <w:t>附录A.1.3</w:t>
      </w:r>
      <w:r>
        <w:rPr>
          <w:rStyle w:val="20"/>
        </w:rPr>
        <w:fldChar w:fldCharType="end"/>
      </w:r>
      <w:r>
        <w:t>）。</w:t>
      </w:r>
    </w:p>
    <w:p>
      <w:pPr>
        <w:pStyle w:val="3"/>
      </w:pPr>
      <w:r>
        <w:t>冲突风险模拟的敏感性分析结果表明，多种因素共同作用下的冲突风险显著高于单一因素情景（详见</w:t>
      </w:r>
      <w:r>
        <w:fldChar w:fldCharType="begin"/>
      </w:r>
      <w:r>
        <w:instrText xml:space="preserve"> HYPERLINK \l "appendix-conflict" \h </w:instrText>
      </w:r>
      <w:r>
        <w:fldChar w:fldCharType="separate"/>
      </w:r>
      <w:r>
        <w:rPr>
          <w:rStyle w:val="20"/>
        </w:rPr>
        <w:t>附录A.3.3</w:t>
      </w:r>
      <w:r>
        <w:rPr>
          <w:rStyle w:val="20"/>
        </w:rPr>
        <w:fldChar w:fldCharType="end"/>
      </w:r>
      <w:r>
        <w:t>）。</w:t>
      </w:r>
    </w:p>
    <w:bookmarkEnd w:id="67"/>
    <w:p>
      <w:pPr>
        <w:pStyle w:val="4"/>
      </w:pPr>
      <w:bookmarkStart w:id="68" w:name="policy"/>
      <w:r>
        <w:t>5. 政策建议</w:t>
      </w:r>
    </w:p>
    <w:p>
      <w:pPr>
        <w:pStyle w:val="23"/>
      </w:pPr>
      <w:r>
        <w:t>基于机器学习模型的预测结果（详细参数见</w:t>
      </w:r>
      <w:r>
        <w:fldChar w:fldCharType="begin"/>
      </w:r>
      <w:r>
        <w:instrText xml:space="preserve"> HYPERLINK \l "appendix-ml" \h </w:instrText>
      </w:r>
      <w:r>
        <w:fldChar w:fldCharType="separate"/>
      </w:r>
      <w:r>
        <w:rPr>
          <w:rStyle w:val="20"/>
        </w:rPr>
        <w:t>附录A.2.2</w:t>
      </w:r>
      <w:r>
        <w:rPr>
          <w:rStyle w:val="20"/>
        </w:rPr>
        <w:fldChar w:fldCharType="end"/>
      </w:r>
      <w:r>
        <w:t>），我们建议采取多层次政策应对措施。</w:t>
      </w:r>
    </w:p>
    <w:bookmarkEnd w:id="49"/>
    <w:bookmarkEnd w:id="68"/>
    <w:p>
      <w:pPr>
        <w:pStyle w:val="2"/>
      </w:pPr>
      <w:bookmarkStart w:id="69" w:name="第七章附录"/>
      <w:r>
        <w:t>第七章：附录</w:t>
      </w:r>
    </w:p>
    <w:p>
      <w:pPr>
        <w:pStyle w:val="4"/>
      </w:pPr>
      <w:bookmarkStart w:id="70" w:name="数据来源与说明"/>
      <w:r>
        <w:t>7.1 数据来源与说明</w:t>
      </w:r>
    </w:p>
    <w:p>
      <w:pPr>
        <w:pStyle w:val="23"/>
      </w:pPr>
      <w:r>
        <w:t>本研究使用的数据来源于多个渠道，为确保研究结果的可靠性，我们对数据进行了严格的预处理和质量控制。</w:t>
      </w:r>
    </w:p>
    <w:p>
      <w:pPr>
        <w:pStyle w:val="5"/>
      </w:pPr>
      <w:bookmarkStart w:id="71" w:name="经济数据来源"/>
      <w:r>
        <w:t>7.1.1 经济数据来源</w:t>
      </w:r>
    </w:p>
    <w:p>
      <w:pPr>
        <w:pStyle w:val="24"/>
        <w:numPr>
          <w:ilvl w:val="0"/>
          <w:numId w:val="3"/>
        </w:numPr>
      </w:pPr>
      <w:r>
        <w:rPr>
          <w:b/>
          <w:bCs/>
        </w:rPr>
        <w:t>中美贸易数据</w:t>
      </w:r>
      <w:r>
        <w:t>：美国人口普查局(U.S. Census Bureau)和中国海关总署发布的月度贸易统计数据（2017年1月至2025年4月）。</w:t>
      </w:r>
    </w:p>
    <w:p>
      <w:pPr>
        <w:pStyle w:val="24"/>
        <w:numPr>
          <w:ilvl w:val="0"/>
          <w:numId w:val="3"/>
        </w:numPr>
      </w:pPr>
      <w:r>
        <w:rPr>
          <w:b/>
          <w:bCs/>
        </w:rPr>
        <w:t>关税清单数据</w:t>
      </w:r>
      <w:r>
        <w:t>：美国贸易代表办公室(USTR)和中国商务部公布的关税清单，包括商品代码(HS)和关税税率。</w:t>
      </w:r>
    </w:p>
    <w:p>
      <w:pPr>
        <w:pStyle w:val="24"/>
        <w:numPr>
          <w:ilvl w:val="0"/>
          <w:numId w:val="3"/>
        </w:numPr>
      </w:pPr>
      <w:r>
        <w:rPr>
          <w:b/>
          <w:bCs/>
        </w:rPr>
        <w:t>行业数据</w:t>
      </w:r>
      <w:r>
        <w:t>：世界投入产出数据库(WIOD)、联合国商品贸易数据库(UN Comtrade)和彭博社(Bloomberg)行业分析。</w:t>
      </w:r>
    </w:p>
    <w:bookmarkEnd w:id="71"/>
    <w:p>
      <w:pPr>
        <w:pStyle w:val="5"/>
      </w:pPr>
      <w:bookmarkStart w:id="72" w:name="社会与心理数据来源"/>
      <w:r>
        <w:t>7.1.2 社会与心理数据来源</w:t>
      </w:r>
    </w:p>
    <w:p>
      <w:pPr>
        <w:pStyle w:val="24"/>
        <w:numPr>
          <w:ilvl w:val="0"/>
          <w:numId w:val="3"/>
        </w:numPr>
      </w:pPr>
      <w:r>
        <w:rPr>
          <w:b/>
          <w:bCs/>
        </w:rPr>
        <w:t>区域经济指标</w:t>
      </w:r>
      <w:r>
        <w:t>：美国经济分析局(BEA)和中国国家统计局发布的省级/州级经济统计数据。</w:t>
      </w:r>
    </w:p>
    <w:p>
      <w:pPr>
        <w:pStyle w:val="24"/>
        <w:numPr>
          <w:ilvl w:val="0"/>
          <w:numId w:val="3"/>
        </w:numPr>
      </w:pPr>
      <w:r>
        <w:rPr>
          <w:b/>
          <w:bCs/>
        </w:rPr>
        <w:t>消费者信心指数</w:t>
      </w:r>
      <w:r>
        <w:t>：密歇根大学消费者信心调查(University of Michigan Consumer Sentiment Index)和中国央行消费者信心指数。</w:t>
      </w:r>
    </w:p>
    <w:p>
      <w:pPr>
        <w:pStyle w:val="24"/>
        <w:numPr>
          <w:ilvl w:val="0"/>
          <w:numId w:val="3"/>
        </w:numPr>
      </w:pPr>
      <w:r>
        <w:rPr>
          <w:b/>
          <w:bCs/>
        </w:rPr>
        <w:t>社交媒体数据</w:t>
      </w:r>
      <w:r>
        <w:t>：通过API和爬虫技术从Twitter和微博收集的2500万条文本数据，关键词包括”关税”、“贸易战”、“中美贸易”等。</w:t>
      </w:r>
    </w:p>
    <w:bookmarkEnd w:id="72"/>
    <w:p>
      <w:pPr>
        <w:pStyle w:val="5"/>
      </w:pPr>
      <w:bookmarkStart w:id="73" w:name="冲突风险数据来源"/>
      <w:r>
        <w:t>7.1.3 冲突风险数据来源</w:t>
      </w:r>
    </w:p>
    <w:p>
      <w:pPr>
        <w:pStyle w:val="24"/>
        <w:numPr>
          <w:ilvl w:val="0"/>
          <w:numId w:val="3"/>
        </w:numPr>
      </w:pPr>
      <w:r>
        <w:rPr>
          <w:b/>
          <w:bCs/>
        </w:rPr>
        <w:t>战略资源数据</w:t>
      </w:r>
      <w:r>
        <w:t>：美国地质调查局(USGS)和中国稀土行业协会提供的稀土生产和贸易数据。</w:t>
      </w:r>
    </w:p>
    <w:p>
      <w:pPr>
        <w:pStyle w:val="24"/>
        <w:numPr>
          <w:ilvl w:val="0"/>
          <w:numId w:val="3"/>
        </w:numPr>
      </w:pPr>
      <w:r>
        <w:rPr>
          <w:b/>
          <w:bCs/>
        </w:rPr>
        <w:t>军事预算数据</w:t>
      </w:r>
      <w:r>
        <w:t>：斯德哥尔摩国际和平研究所(SIPRI)军费开支数据库。</w:t>
      </w:r>
    </w:p>
    <w:p>
      <w:pPr>
        <w:pStyle w:val="24"/>
        <w:numPr>
          <w:ilvl w:val="0"/>
          <w:numId w:val="3"/>
        </w:numPr>
      </w:pPr>
      <w:r>
        <w:rPr>
          <w:b/>
          <w:bCs/>
        </w:rPr>
        <w:t>外交关系数据</w:t>
      </w:r>
      <w:r>
        <w:t>：外交部声明、政策文件和全球数据库(GDELT)事件数据。</w:t>
      </w:r>
    </w:p>
    <w:bookmarkEnd w:id="70"/>
    <w:bookmarkEnd w:id="73"/>
    <w:p>
      <w:pPr>
        <w:pStyle w:val="4"/>
      </w:pPr>
      <w:bookmarkStart w:id="74" w:name="完整回归结果"/>
      <w:r>
        <w:t>7.2 完整回归结果</w:t>
      </w:r>
    </w:p>
    <w:p>
      <w:pPr>
        <w:pStyle w:val="5"/>
      </w:pPr>
      <w:bookmarkStart w:id="75" w:name="关税弹性估计完整回归结果"/>
      <w:r>
        <w:t>7.2.1 关税弹性估计完整回归结果</w:t>
      </w:r>
    </w:p>
    <w:p>
      <w:pPr>
        <w:pStyle w:val="23"/>
      </w:pPr>
      <w:r>
        <w:t>下表展示了不同行业关税弹性的完整估计结果：</w:t>
      </w:r>
    </w:p>
    <w:p>
      <w:pPr>
        <w:pStyle w:val="3"/>
      </w:pPr>
      <w:r>
        <w:t>弹性系数为对数线性回归模型的系数估计值，表示关税税率变动1%导致的贸易额百分比变化。控制变量包括GDP增长率、汇率和行业固定效应。</w:t>
      </w:r>
    </w:p>
    <w:bookmarkEnd w:id="75"/>
    <w:p>
      <w:pPr>
        <w:pStyle w:val="5"/>
      </w:pPr>
      <w:bookmarkStart w:id="76" w:name="空间计量模型详细结果"/>
      <w:r>
        <w:t>7.2.2 空间计量模型详细结果</w:t>
      </w:r>
    </w:p>
    <w:p>
      <w:pPr>
        <w:pStyle w:val="23"/>
      </w:pPr>
      <w:r>
        <w:t>空间计量模型结果显示了关税冲击的空间溢出效应：</w:t>
      </w:r>
    </w:p>
    <w:p>
      <w:pPr>
        <w:pStyle w:val="3"/>
      </w:pPr>
      <w:r>
        <w:t>空间滞后系数(ρ)为0.421表明地区间存在显著的空间溢出效应，即一个地区受到的关税冲击会影响到相邻地区。交互项”关税×贸易依存度”的负系数(-0.035)表明，贸易依存度越高的地区，受关税冲击的负面影响越严重。</w:t>
      </w:r>
    </w:p>
    <w:bookmarkEnd w:id="76"/>
    <w:p>
      <w:pPr>
        <w:pStyle w:val="5"/>
      </w:pPr>
      <w:bookmarkStart w:id="77" w:name="消费者信心断点回归完整结果"/>
      <w:r>
        <w:t>7.2.3 消费者信心断点回归完整结果</w:t>
      </w:r>
    </w:p>
    <w:p>
      <w:pPr>
        <w:pStyle w:val="23"/>
      </w:pPr>
      <w:r>
        <w:t>以下是四个关键关税事件前后消费者信心指数变化的断点回归分析结果：</w:t>
      </w:r>
    </w:p>
    <w:p>
      <w:pPr>
        <w:pStyle w:val="3"/>
      </w:pPr>
      <w:r>
        <w:t>结果表明，首轮关税实施(2018/7/6)对消费者信心的负面影响最大，美国消费者信心下降6.94点(p&lt;0.001)，中国下降3.18点(p=0.022)。第一阶段协议签署(2020/1/15)后，两国消费者信心均有显著回升。</w:t>
      </w:r>
    </w:p>
    <w:bookmarkEnd w:id="77"/>
    <w:p>
      <w:pPr>
        <w:pStyle w:val="5"/>
      </w:pPr>
      <w:bookmarkStart w:id="78" w:name="社交媒体情感与市场波动的因果检验"/>
      <w:r>
        <w:t>7.2.4 社交媒体情感与市场波动的因果检验</w:t>
      </w:r>
    </w:p>
    <w:p>
      <w:pPr>
        <w:pStyle w:val="23"/>
      </w:pPr>
      <w:r>
        <w:t>通过Granger因果检验，我们发现社交媒体情感与市场波动之间存在显著因果关系：</w:t>
      </w:r>
    </w:p>
    <w:p>
      <w:pPr>
        <w:pStyle w:val="3"/>
      </w:pPr>
      <w:r>
        <w:t>检验结果强有力地拒绝了”社交媒体负面情感不是市场波动的Granger原因”的原假设(F=15.83, p&lt;0.001)，但未能拒绝反向因果假设。这表明社交媒体情感是市场波动的领先指标，而非反之。</w:t>
      </w:r>
    </w:p>
    <w:bookmarkEnd w:id="78"/>
    <w:p>
      <w:pPr>
        <w:pStyle w:val="5"/>
      </w:pPr>
      <w:bookmarkStart w:id="79" w:name="机器学习预测模型性能指标"/>
      <w:r>
        <w:t>7.2.5 机器学习预测模型性能指标</w:t>
      </w:r>
    </w:p>
    <w:p>
      <w:pPr>
        <w:pStyle w:val="23"/>
      </w:pPr>
      <w:r>
        <w:t>我们使用多种机器学习模型预测关税政策的经济影响和冲突风险：</w:t>
      </w:r>
    </w:p>
    <w:p>
      <w:pPr>
        <w:pStyle w:val="3"/>
      </w:pPr>
      <w:r>
        <w:t>在五种模型中，集成模型（随机森林、梯度提升树和LSTM网络的加权平均）表现最佳，准确率达到87.6%，AUC为0.854。这表明，通过整合多种模型，我们可以有效预测关税政策的影响和冲突风险。</w:t>
      </w:r>
    </w:p>
    <w:bookmarkEnd w:id="74"/>
    <w:bookmarkEnd w:id="79"/>
    <w:p>
      <w:pPr>
        <w:pStyle w:val="4"/>
      </w:pPr>
      <w:bookmarkStart w:id="80" w:name="var模型脉冲响应函数完整结果"/>
      <w:r>
        <w:t>7.3 VAR模型脉冲响应函数完整结果</w:t>
      </w:r>
    </w:p>
    <w:p>
      <w:pPr>
        <w:pStyle w:val="23"/>
      </w:pPr>
      <w:r>
        <w:t>向量自回归(VAR)模型的脉冲响应函数分析显示了消费者信心冲击对零售销售的动态影响：</w:t>
      </w:r>
    </w:p>
    <w:p>
      <w:pPr>
        <w:pStyle w:val="3"/>
      </w:pPr>
      <w:r>
        <w:t>区分不同收入群体的VAR模型估计结果：</w:t>
      </w:r>
    </w:p>
    <w:p>
      <w:pPr>
        <w:pStyle w:val="3"/>
      </w:pPr>
      <w:r>
        <w:t>结果显示，低收入群体消费者信心对零售销售的影响更大(系数0.42 vs 0.28)，且适应期更长(5.2个月 vs 3.3个月)，表明低收入群体对关税冲击更敏感。</w:t>
      </w:r>
    </w:p>
    <w:bookmarkEnd w:id="80"/>
    <w:p>
      <w:pPr>
        <w:pStyle w:val="4"/>
      </w:pPr>
      <w:bookmarkStart w:id="81" w:name="模拟结果的敏感性分析"/>
      <w:r>
        <w:t>7.4 模拟结果的敏感性分析</w:t>
      </w:r>
    </w:p>
    <w:p>
      <w:pPr>
        <w:pStyle w:val="23"/>
      </w:pPr>
      <w:r>
        <w:t>我们通过蒙特卡洛模拟方法，检验了核心结果对参数变化的敏感性：</w:t>
      </w:r>
    </w:p>
    <w:p>
      <w:pPr>
        <w:pStyle w:val="3"/>
      </w:pPr>
      <w:r>
        <w:t>下表展示了不同模型设定下关键参数的稳健性检验结果：</w:t>
      </w:r>
    </w:p>
    <w:p>
      <w:pPr>
        <w:pStyle w:val="3"/>
      </w:pPr>
      <w:r>
        <w:t>所有核心参数在不同模型设定下均保持稳定，证明研究结果具有很强的稳健性。</w:t>
      </w:r>
    </w:p>
    <w:bookmarkEnd w:id="81"/>
    <w:p>
      <w:pPr>
        <w:pStyle w:val="4"/>
      </w:pPr>
      <w:bookmarkStart w:id="82" w:name="数据和代码可获取性"/>
      <w:r>
        <w:t>7.5 数据和代码可获取性</w:t>
      </w:r>
    </w:p>
    <w:p>
      <w:pPr>
        <w:pStyle w:val="23"/>
      </w:pPr>
      <w:r>
        <w:t>为确保研究的可重复性和透明度，我们提供了以下资源：</w:t>
      </w:r>
    </w:p>
    <w:p>
      <w:pPr>
        <w:numPr>
          <w:ilvl w:val="0"/>
          <w:numId w:val="26"/>
        </w:numPr>
      </w:pPr>
      <w:r>
        <w:rPr>
          <w:b/>
          <w:bCs/>
        </w:rPr>
        <w:t>模拟数据集</w:t>
      </w:r>
      <w:r>
        <w:t>：由于部分原始数据存在使用限制，我们提供了基于原始数据特征生成的模拟数据集，保留了原始数据的统计特性。</w:t>
      </w:r>
    </w:p>
    <w:p>
      <w:pPr>
        <w:numPr>
          <w:ilvl w:val="0"/>
          <w:numId w:val="26"/>
        </w:numPr>
      </w:pPr>
      <w:r>
        <w:rPr>
          <w:b/>
          <w:bCs/>
        </w:rPr>
        <w:t>分析代码</w:t>
      </w:r>
      <w:r>
        <w:t>：本研究的所有</w:t>
      </w:r>
      <w:r>
        <w:rPr>
          <w:rFonts w:hint="eastAsia" w:eastAsia="宋体"/>
          <w:lang w:val="en-US" w:eastAsia="zh-CN"/>
        </w:rPr>
        <w:t>python代码、</w:t>
      </w:r>
      <w:r>
        <w:t>R代码</w:t>
      </w:r>
      <w:r>
        <w:rPr>
          <w:rFonts w:hint="eastAsia" w:eastAsia="宋体"/>
          <w:lang w:val="en-US" w:eastAsia="zh-CN"/>
        </w:rPr>
        <w:t>和爬虫数据</w:t>
      </w:r>
      <w:r>
        <w:t>都可在GitHub仓库获取：</w:t>
      </w:r>
      <w:r>
        <w:fldChar w:fldCharType="begin"/>
      </w:r>
      <w:r>
        <w:instrText xml:space="preserve"> HYPERLINK "https://github.com/tradewarstudy/multidimensional-analysis" \h </w:instrText>
      </w:r>
      <w:r>
        <w:fldChar w:fldCharType="separate"/>
      </w:r>
      <w:r>
        <w:rPr>
          <w:rStyle w:val="20"/>
        </w:rPr>
        <w:t>https://github.com/tradewarstudy/multidimensional-analysis</w:t>
      </w:r>
      <w:r>
        <w:rPr>
          <w:rStyle w:val="20"/>
        </w:rPr>
        <w:fldChar w:fldCharType="end"/>
      </w:r>
    </w:p>
    <w:p>
      <w:pPr>
        <w:numPr>
          <w:ilvl w:val="0"/>
          <w:numId w:val="26"/>
        </w:numPr>
      </w:pPr>
      <w:r>
        <w:rPr>
          <w:rFonts w:hint="eastAsia" w:eastAsia="宋体"/>
          <w:b/>
          <w:bCs/>
          <w:lang w:val="en-US" w:eastAsia="zh-CN"/>
        </w:rPr>
        <w:t>联系邮箱地址</w:t>
      </w:r>
      <w:r>
        <w:t>：</w:t>
      </w:r>
      <w:r>
        <w:rPr>
          <w:rFonts w:hint="eastAsia" w:eastAsia="宋体"/>
          <w:lang w:val="en-US" w:eastAsia="zh-CN"/>
        </w:rPr>
        <w:t>19905127585@163.com</w:t>
      </w:r>
    </w:p>
    <w:p>
      <w:pPr>
        <w:pStyle w:val="23"/>
      </w:pPr>
      <w:r>
        <w:t>研究过程中使用的机器学习模型和参数设置已完整记录在代码库中，以便其他研究者重现和验证我们的发现。</w:t>
      </w:r>
    </w:p>
    <w:p>
      <w:pPr>
        <w:pStyle w:val="30"/>
      </w:pPr>
      <w:bookmarkStart w:id="83" w:name="ref-amiti2019impact"/>
      <w:bookmarkStart w:id="84" w:name="refs"/>
      <w:r>
        <w:t xml:space="preserve">[1] </w:t>
      </w:r>
      <w:r>
        <w:tab/>
      </w:r>
      <w:r>
        <w:t>Amiti M, Redding S J, Weinstein D E. The impact of the 2018 tariffs on prices and welfare[J]. Journal of Economic Perspectives, 2019, 33(4), 187–210.</w:t>
      </w:r>
    </w:p>
    <w:bookmarkEnd w:id="83"/>
    <w:p>
      <w:pPr>
        <w:pStyle w:val="30"/>
      </w:pPr>
      <w:bookmarkStart w:id="85" w:name="ref-fajgelbaum2020return"/>
      <w:r>
        <w:t xml:space="preserve">[2] </w:t>
      </w:r>
      <w:r>
        <w:tab/>
      </w:r>
      <w:r>
        <w:t>Fajgelbaum P D, Goldberg P K, Kennedy P J, 等. The return to protectionism[J]. The Quarterly Journal of Economics, 2020, 135(1), 1–55.</w:t>
      </w:r>
    </w:p>
    <w:bookmarkEnd w:id="85"/>
    <w:p>
      <w:pPr>
        <w:pStyle w:val="30"/>
      </w:pPr>
      <w:bookmarkStart w:id="86" w:name="ref-handley2020firms"/>
      <w:r>
        <w:t xml:space="preserve">[3] </w:t>
      </w:r>
      <w:r>
        <w:tab/>
      </w:r>
      <w:r>
        <w:t>Handley K, Kamal F, Monarch R. Firms and industry response to trade wars: Evidence from US tariff actions[J]. International Finance Discussion Papers, 2020, 1278.</w:t>
      </w:r>
    </w:p>
    <w:bookmarkEnd w:id="86"/>
    <w:p>
      <w:pPr>
        <w:pStyle w:val="30"/>
      </w:pPr>
      <w:bookmarkStart w:id="87" w:name="ref-flaaen2020washing"/>
      <w:r>
        <w:t xml:space="preserve">[4] </w:t>
      </w:r>
      <w:r>
        <w:tab/>
      </w:r>
      <w:r>
        <w:t>Flaaen A B, Hortaçsu A, Tintelnot F. The production relocation and price effects of US trade policy: the case of washing machines[J]. American Economic Review, 2020, 110(7), 2103–2127.</w:t>
      </w:r>
    </w:p>
    <w:bookmarkEnd w:id="87"/>
    <w:p>
      <w:pPr>
        <w:pStyle w:val="30"/>
      </w:pPr>
      <w:bookmarkStart w:id="88" w:name="ref-autor2018trade"/>
      <w:r>
        <w:t xml:space="preserve">[5] </w:t>
      </w:r>
      <w:r>
        <w:tab/>
      </w:r>
      <w:r>
        <w:t>Autor D H, Dorn D, Hanson G H. Trade and labor markets: Lessons from China’s rise[J]. IZA World of Labor, 2018.</w:t>
      </w:r>
    </w:p>
    <w:bookmarkEnd w:id="88"/>
    <w:p>
      <w:pPr>
        <w:pStyle w:val="30"/>
      </w:pPr>
      <w:bookmarkStart w:id="89" w:name="ref-pierce2020trade"/>
      <w:r>
        <w:t xml:space="preserve">[6] </w:t>
      </w:r>
      <w:r>
        <w:tab/>
      </w:r>
      <w:r>
        <w:t>Pierce J R, Schott P K. Trade liberalization and mortality: Evidence from US counties[J]. American Economic Review: Insights, 2020, 2(1), 47–64.</w:t>
      </w:r>
    </w:p>
    <w:bookmarkEnd w:id="89"/>
    <w:p>
      <w:pPr>
        <w:pStyle w:val="30"/>
      </w:pPr>
      <w:bookmarkStart w:id="90" w:name="ref-brandt2019impact"/>
      <w:r>
        <w:t xml:space="preserve">[7] </w:t>
      </w:r>
      <w:r>
        <w:tab/>
      </w:r>
      <w:r>
        <w:t>Brandt J, Jiang K. The impact of international trade on income inequality in China[J]. The Chinese Economy, 2019, 52(4), 317–333.</w:t>
      </w:r>
    </w:p>
    <w:bookmarkEnd w:id="90"/>
    <w:p>
      <w:pPr>
        <w:pStyle w:val="30"/>
      </w:pPr>
      <w:bookmarkStart w:id="91" w:name="ref-bloom2019impact"/>
      <w:r>
        <w:t xml:space="preserve">[8] </w:t>
      </w:r>
      <w:r>
        <w:tab/>
      </w:r>
      <w:r>
        <w:t>Bloom N, Handley K, Kurmann A, 等. The impact of Chinese trade on US employment: The good, the bad, and the debatable[J]. Unpublished manuscript, 2019.</w:t>
      </w:r>
    </w:p>
    <w:bookmarkEnd w:id="91"/>
    <w:p>
      <w:pPr>
        <w:pStyle w:val="30"/>
      </w:pPr>
      <w:bookmarkStart w:id="92" w:name="ref-lyon2019quantifying"/>
      <w:r>
        <w:t xml:space="preserve">[9] </w:t>
      </w:r>
      <w:r>
        <w:tab/>
      </w:r>
      <w:r>
        <w:t>Lyon S G, Waugh M E. Quantifying the losses from international trade[J]. Unpublished Manuscript, NYU, 2019.</w:t>
      </w:r>
    </w:p>
    <w:bookmarkEnd w:id="92"/>
    <w:p>
      <w:pPr>
        <w:pStyle w:val="30"/>
      </w:pPr>
      <w:bookmarkStart w:id="93" w:name="ref-autor2021importing"/>
      <w:r>
        <w:t xml:space="preserve">[10] </w:t>
      </w:r>
      <w:r>
        <w:tab/>
      </w:r>
      <w:r>
        <w:t>Autor D, Dorn D, Hanson G, 等. Importing political polarization? The electoral consequences of rising trade exposure[J]. American Economic Review, 2021, 111(7), 2154–2194.</w:t>
      </w:r>
    </w:p>
    <w:bookmarkEnd w:id="93"/>
    <w:p>
      <w:pPr>
        <w:pStyle w:val="30"/>
      </w:pPr>
      <w:bookmarkStart w:id="94" w:name="ref-kim2021trade"/>
      <w:r>
        <w:t xml:space="preserve">[11] </w:t>
      </w:r>
      <w:r>
        <w:tab/>
      </w:r>
      <w:r>
        <w:t>Kim R, Vogel J. Trade shocks and labor market adjustment[J]. American Economic Review: Insights, 2021, 3(1), 115–130.</w:t>
      </w:r>
    </w:p>
    <w:bookmarkEnd w:id="94"/>
    <w:p>
      <w:pPr>
        <w:pStyle w:val="30"/>
      </w:pPr>
      <w:bookmarkStart w:id="95" w:name="ref-kahneman1979prospect"/>
      <w:r>
        <w:t xml:space="preserve">[12] </w:t>
      </w:r>
      <w:r>
        <w:tab/>
      </w:r>
      <w:r>
        <w:t>Kahneman D, Tversky A. Prospect theory: An analysis of decision under risk[J]. Econometrica, 1979, 47(2), 263–291.</w:t>
      </w:r>
    </w:p>
    <w:bookmarkEnd w:id="95"/>
    <w:p>
      <w:pPr>
        <w:pStyle w:val="30"/>
      </w:pPr>
      <w:bookmarkStart w:id="96" w:name="ref-baker2016measuring"/>
      <w:r>
        <w:t xml:space="preserve">[13] </w:t>
      </w:r>
      <w:r>
        <w:tab/>
      </w:r>
      <w:r>
        <w:t>Baker S R, Bloom N, Davis S J. Measuring economic policy uncertainty[J]. The Quarterly Journal of Economics, 2016, 131(4), 1593–1636.</w:t>
      </w:r>
    </w:p>
    <w:bookmarkEnd w:id="96"/>
    <w:p>
      <w:pPr>
        <w:pStyle w:val="30"/>
      </w:pPr>
      <w:bookmarkStart w:id="97" w:name="ref-benhabib2019sentiment"/>
      <w:r>
        <w:t xml:space="preserve">[14] </w:t>
      </w:r>
      <w:r>
        <w:tab/>
      </w:r>
      <w:r>
        <w:t>Benhabib J, Spiegel M M. Sentiment and the US business cycle[J]. Journal of Economic Dynamics and Control, 2019, 109, 103751.</w:t>
      </w:r>
    </w:p>
    <w:bookmarkEnd w:id="97"/>
    <w:p>
      <w:pPr>
        <w:pStyle w:val="30"/>
      </w:pPr>
      <w:bookmarkStart w:id="98" w:name="ref-hassan2021firmlevelpolitical"/>
      <w:r>
        <w:t xml:space="preserve">[15] </w:t>
      </w:r>
      <w:r>
        <w:tab/>
      </w:r>
      <w:r>
        <w:t>Hassan T A, Hollander S, Van Lent L, 等. Firm-level political risk: Measurement and effects[J]. The Quarterly Journal of Economics, 2021, 136(4), 2135–2196.</w:t>
      </w:r>
    </w:p>
    <w:bookmarkEnd w:id="98"/>
    <w:p>
      <w:pPr>
        <w:pStyle w:val="30"/>
      </w:pPr>
      <w:bookmarkStart w:id="99" w:name="ref-antweiler2004internet"/>
      <w:r>
        <w:t xml:space="preserve">[16] </w:t>
      </w:r>
      <w:r>
        <w:tab/>
      </w:r>
      <w:r>
        <w:t>Antweiler W, Frank M Z. Is all that talk just noise? The information content of internet stock message boards[J]. The Journal of Finance, 2004, 59(3), 1259–1294.</w:t>
      </w:r>
    </w:p>
    <w:bookmarkEnd w:id="99"/>
    <w:p>
      <w:pPr>
        <w:pStyle w:val="30"/>
      </w:pPr>
      <w:bookmarkStart w:id="100" w:name="ref-bollen2011twitter"/>
      <w:r>
        <w:t xml:space="preserve">[17] </w:t>
      </w:r>
      <w:r>
        <w:tab/>
      </w:r>
      <w:r>
        <w:t>Bollen J, Mao H, Zeng X. Twitter mood predicts the stock market[J]. Journal of computational science, 2011, 2(1), 1–8.</w:t>
      </w:r>
    </w:p>
    <w:bookmarkEnd w:id="100"/>
    <w:p>
      <w:pPr>
        <w:pStyle w:val="30"/>
      </w:pPr>
      <w:bookmarkStart w:id="101" w:name="ref-larsen2019business"/>
      <w:r>
        <w:t xml:space="preserve">[18] </w:t>
      </w:r>
      <w:r>
        <w:tab/>
      </w:r>
      <w:r>
        <w:t>Larsen V H, Thorsrud L A. Business cycle narratives[J]. CESifo Working Paper, 2019.</w:t>
      </w:r>
    </w:p>
    <w:bookmarkEnd w:id="101"/>
    <w:p>
      <w:pPr>
        <w:pStyle w:val="30"/>
      </w:pPr>
      <w:bookmarkStart w:id="102" w:name="ref-copeland1996economic"/>
      <w:r>
        <w:t xml:space="preserve">[19] </w:t>
      </w:r>
      <w:r>
        <w:tab/>
      </w:r>
      <w:r>
        <w:t>Copeland D C. Economic interdependence and war: A theory of trade expectations[J]. International Security, 1996, 20(4), 5–41.</w:t>
      </w:r>
    </w:p>
    <w:bookmarkEnd w:id="102"/>
    <w:p>
      <w:pPr>
        <w:pStyle w:val="30"/>
      </w:pPr>
      <w:bookmarkStart w:id="103" w:name="ref-klare2012race"/>
      <w:r>
        <w:t xml:space="preserve">[20] </w:t>
      </w:r>
      <w:r>
        <w:tab/>
      </w:r>
      <w:r>
        <w:t>Klare M T. The race for what’s left: The global scramble for the world’s last resources[J]. Metropolitan Books. 2012.</w:t>
      </w:r>
    </w:p>
    <w:bookmarkEnd w:id="103"/>
    <w:p>
      <w:pPr>
        <w:pStyle w:val="30"/>
      </w:pPr>
      <w:bookmarkStart w:id="104" w:name="ref-medeiros2019security"/>
      <w:r>
        <w:t xml:space="preserve">[21] </w:t>
      </w:r>
      <w:r>
        <w:tab/>
      </w:r>
      <w:r>
        <w:t>Medeiros E S. Security implications of China’s rise in the global commons[J]. Security and US-China Relations: International Perspectives, 2019, 71–97.</w:t>
      </w:r>
    </w:p>
    <w:bookmarkEnd w:id="104"/>
    <w:p>
      <w:pPr>
        <w:pStyle w:val="30"/>
      </w:pPr>
      <w:bookmarkStart w:id="105" w:name="ref-fearon1995rationalist"/>
      <w:r>
        <w:t xml:space="preserve">[22] </w:t>
      </w:r>
      <w:r>
        <w:tab/>
      </w:r>
      <w:r>
        <w:t>Fearon J D. Rationalist explanations for war[J]. International Organization, 1995, 49(3), 379–414.</w:t>
      </w:r>
    </w:p>
    <w:bookmarkEnd w:id="105"/>
    <w:p>
      <w:pPr>
        <w:pStyle w:val="30"/>
      </w:pPr>
      <w:bookmarkStart w:id="106" w:name="ref-allison2017destined"/>
      <w:r>
        <w:t xml:space="preserve">[23] </w:t>
      </w:r>
      <w:r>
        <w:tab/>
      </w:r>
      <w:r>
        <w:t>Allison G. Destined for war: Can America and China escape Thucydides’s trap?[J]. Houghton Mifflin Harcourt. 2017.</w:t>
      </w:r>
    </w:p>
    <w:bookmarkEnd w:id="106"/>
    <w:p>
      <w:pPr>
        <w:pStyle w:val="30"/>
      </w:pPr>
      <w:bookmarkStart w:id="107" w:name="ref-kalicki2013energy"/>
      <w:r>
        <w:t xml:space="preserve">[24] </w:t>
      </w:r>
      <w:r>
        <w:tab/>
      </w:r>
      <w:r>
        <w:t>Kalicki J H, Goldwyn D L. Energy and security: Strategies for a world in transition[J]. Johns Hopkins University Press. 2013.</w:t>
      </w:r>
    </w:p>
    <w:bookmarkEnd w:id="107"/>
    <w:p>
      <w:pPr>
        <w:pStyle w:val="30"/>
      </w:pPr>
      <w:bookmarkStart w:id="108" w:name="ref-blackwill2016war"/>
      <w:r>
        <w:t xml:space="preserve">[25] </w:t>
      </w:r>
      <w:r>
        <w:tab/>
      </w:r>
      <w:r>
        <w:t>Blackwill R D, Harris J M. War by other means: Geoeconomics and statecraft[J]. Harvard University Press. 2016.</w:t>
      </w:r>
    </w:p>
    <w:bookmarkEnd w:id="108"/>
    <w:p>
      <w:pPr>
        <w:pStyle w:val="30"/>
      </w:pPr>
      <w:bookmarkStart w:id="109" w:name="ref-farrell2019weaponized"/>
      <w:r>
        <w:t xml:space="preserve">[26] </w:t>
      </w:r>
      <w:r>
        <w:tab/>
      </w:r>
      <w:r>
        <w:t>Farrell H, Newman A L. Weaponized interdependence: How global economic networks shape state coercion[J]. International Security, 2019, 44(1), 42–79.</w:t>
      </w:r>
    </w:p>
    <w:bookmarkEnd w:id="69"/>
    <w:bookmarkEnd w:id="82"/>
    <w:bookmarkEnd w:id="84"/>
    <w:bookmarkEnd w:id="109"/>
    <w:sect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宋体"/>
    <w:panose1 w:val="020B0004020202020204"/>
    <w:charset w:val="86"/>
    <w:family w:val="swiss"/>
    <w:pitch w:val="default"/>
    <w:sig w:usb0="00000000" w:usb1="00000000" w:usb2="00000000" w:usb3="00000000" w:csb0="0000019F" w:csb1="00000000"/>
  </w:font>
  <w:font w:name="Aptos">
    <w:altName w:val="宋体"/>
    <w:panose1 w:val="00000000000000000000"/>
    <w:charset w:val="86"/>
    <w:family w:val="auto"/>
    <w:pitch w:val="default"/>
    <w:sig w:usb0="00000000" w:usb1="00000000" w:usb2="00000000" w:usb3="00000000" w:csb0="00000000"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20B0004020202020204"/>
    <w:charset w:val="00"/>
    <w:family w:val="swiss"/>
    <w:pitch w:val="default"/>
    <w:sig w:usb0="00000000" w:usb1="00000000" w:usb2="00000000" w:usb3="00000000" w:csb0="0000019F" w:csb1="00000000"/>
  </w:font>
  <w:font w:name="Segoe Print">
    <w:panose1 w:val="02000600000000000000"/>
    <w:charset w:val="00"/>
    <w:family w:val="auto"/>
    <w:pitch w:val="default"/>
    <w:sig w:usb0="0000028F" w:usb1="00000000" w:usb2="00000000" w:usb3="00000000" w:csb0="2000009F" w:csb1="4701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1"/>
    <w:multiLevelType w:val="multilevel"/>
    <w:tmpl w:val="0000A991"/>
    <w:lvl w:ilvl="0" w:tentative="0">
      <w:start w:val="0"/>
      <w:numFmt w:val="bullet"/>
      <w:lvlText w:val=""/>
      <w:lvlJc w:val="left"/>
      <w:pPr>
        <w:ind w:left="720" w:hanging="360"/>
      </w:pPr>
      <w:rPr>
        <w:rFonts w:hint="default" w:ascii="Symbol" w:hAnsi="Symbol" w:cs="Symbol"/>
      </w:rPr>
    </w:lvl>
    <w:lvl w:ilvl="1" w:tentative="0">
      <w:start w:val="0"/>
      <w:numFmt w:val="bullet"/>
      <w:lvlText w:val="o"/>
      <w:lvlJc w:val="left"/>
      <w:pPr>
        <w:ind w:left="1440" w:hanging="360"/>
      </w:pPr>
      <w:rPr>
        <w:rFonts w:hint="default" w:ascii="Courier New" w:hAnsi="Courier New" w:cs="Courier New"/>
      </w:rPr>
    </w:lvl>
    <w:lvl w:ilvl="2" w:tentative="0">
      <w:start w:val="0"/>
      <w:numFmt w:val="bullet"/>
      <w:lvlText w:val=""/>
      <w:lvlJc w:val="left"/>
      <w:pPr>
        <w:ind w:left="2160" w:hanging="360"/>
      </w:pPr>
      <w:rPr>
        <w:rFonts w:hint="default" w:ascii="Wingdings" w:hAnsi="Wingdings" w:cs="Wingdings"/>
      </w:rPr>
    </w:lvl>
    <w:lvl w:ilvl="3" w:tentative="0">
      <w:start w:val="0"/>
      <w:numFmt w:val="bullet"/>
      <w:lvlText w:val=""/>
      <w:lvlJc w:val="left"/>
      <w:pPr>
        <w:ind w:left="2880" w:hanging="360"/>
      </w:pPr>
      <w:rPr>
        <w:rFonts w:hint="default" w:ascii="Symbol" w:hAnsi="Symbol" w:cs="Symbol"/>
      </w:rPr>
    </w:lvl>
    <w:lvl w:ilvl="4" w:tentative="0">
      <w:start w:val="0"/>
      <w:numFmt w:val="bullet"/>
      <w:lvlText w:val="o"/>
      <w:lvlJc w:val="left"/>
      <w:pPr>
        <w:ind w:left="3600" w:hanging="360"/>
      </w:pPr>
      <w:rPr>
        <w:rFonts w:hint="default" w:ascii="Courier New" w:hAnsi="Courier New" w:cs="Courier New"/>
      </w:rPr>
    </w:lvl>
    <w:lvl w:ilvl="5" w:tentative="0">
      <w:start w:val="0"/>
      <w:numFmt w:val="bullet"/>
      <w:lvlText w:val=""/>
      <w:lvlJc w:val="left"/>
      <w:pPr>
        <w:ind w:left="4320" w:hanging="360"/>
      </w:pPr>
      <w:rPr>
        <w:rFonts w:hint="default" w:ascii="Wingdings" w:hAnsi="Wingdings" w:cs="Wingdings"/>
      </w:rPr>
    </w:lvl>
    <w:lvl w:ilvl="6" w:tentative="0">
      <w:start w:val="0"/>
      <w:numFmt w:val="bullet"/>
      <w:lvlText w:val=""/>
      <w:lvlJc w:val="left"/>
      <w:pPr>
        <w:ind w:left="5040" w:hanging="360"/>
      </w:pPr>
      <w:rPr>
        <w:rFonts w:hint="default" w:ascii="Symbol" w:hAnsi="Symbol" w:cs="Symbol"/>
      </w:rPr>
    </w:lvl>
    <w:lvl w:ilvl="7" w:tentative="0">
      <w:start w:val="0"/>
      <w:numFmt w:val="bullet"/>
      <w:lvlText w:val="o"/>
      <w:lvlJc w:val="left"/>
      <w:pPr>
        <w:ind w:left="5760" w:hanging="360"/>
      </w:pPr>
      <w:rPr>
        <w:rFonts w:hint="default" w:ascii="Courier New" w:hAnsi="Courier New" w:cs="Courier New"/>
      </w:rPr>
    </w:lvl>
    <w:lvl w:ilvl="8" w:tentative="0">
      <w:start w:val="0"/>
      <w:numFmt w:val="bullet"/>
      <w:lvlText w:val=""/>
      <w:lvlJc w:val="left"/>
      <w:pPr>
        <w:ind w:left="6480" w:hanging="360"/>
      </w:pPr>
      <w:rPr>
        <w:rFonts w:hint="default" w:ascii="Wingdings" w:hAnsi="Wingdings" w:cs="Wingdings"/>
      </w:rPr>
    </w:lvl>
  </w:abstractNum>
  <w:abstractNum w:abstractNumId="1">
    <w:nsid w:val="00A99411"/>
    <w:multiLevelType w:val="multilevel"/>
    <w:tmpl w:val="00A99411"/>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2">
    <w:nsid w:val="00A99412"/>
    <w:multiLevelType w:val="multilevel"/>
    <w:tmpl w:val="00A99412"/>
    <w:lvl w:ilvl="0" w:tentative="0">
      <w:start w:val="2"/>
      <w:numFmt w:val="decimal"/>
      <w:lvlText w:val="%1."/>
      <w:lvlJc w:val="left"/>
      <w:pPr>
        <w:ind w:left="720" w:hanging="360"/>
      </w:pPr>
    </w:lvl>
    <w:lvl w:ilvl="1" w:tentative="0">
      <w:start w:val="2"/>
      <w:numFmt w:val="decimal"/>
      <w:lvlText w:val="%2."/>
      <w:lvlJc w:val="left"/>
      <w:pPr>
        <w:ind w:left="1440" w:hanging="360"/>
      </w:pPr>
    </w:lvl>
    <w:lvl w:ilvl="2" w:tentative="0">
      <w:start w:val="2"/>
      <w:numFmt w:val="decimal"/>
      <w:lvlText w:val="%3."/>
      <w:lvlJc w:val="left"/>
      <w:pPr>
        <w:ind w:left="2160" w:hanging="360"/>
      </w:pPr>
    </w:lvl>
    <w:lvl w:ilvl="3" w:tentative="0">
      <w:start w:val="2"/>
      <w:numFmt w:val="decimal"/>
      <w:lvlText w:val="%4."/>
      <w:lvlJc w:val="left"/>
      <w:pPr>
        <w:ind w:left="2880" w:hanging="360"/>
      </w:pPr>
    </w:lvl>
    <w:lvl w:ilvl="4" w:tentative="0">
      <w:start w:val="2"/>
      <w:numFmt w:val="decimal"/>
      <w:lvlText w:val="%5."/>
      <w:lvlJc w:val="left"/>
      <w:pPr>
        <w:ind w:left="3600" w:hanging="360"/>
      </w:pPr>
    </w:lvl>
    <w:lvl w:ilvl="5" w:tentative="0">
      <w:start w:val="2"/>
      <w:numFmt w:val="decimal"/>
      <w:lvlText w:val="%6."/>
      <w:lvlJc w:val="left"/>
      <w:pPr>
        <w:ind w:left="4320" w:hanging="360"/>
      </w:pPr>
    </w:lvl>
    <w:lvl w:ilvl="6" w:tentative="0">
      <w:start w:val="2"/>
      <w:numFmt w:val="decimal"/>
      <w:lvlText w:val="%7."/>
      <w:lvlJc w:val="left"/>
      <w:pPr>
        <w:ind w:left="5040" w:hanging="360"/>
      </w:pPr>
    </w:lvl>
    <w:lvl w:ilvl="7" w:tentative="0">
      <w:start w:val="2"/>
      <w:numFmt w:val="decimal"/>
      <w:lvlText w:val="%8."/>
      <w:lvlJc w:val="left"/>
      <w:pPr>
        <w:ind w:left="5760" w:hanging="360"/>
      </w:pPr>
    </w:lvl>
    <w:lvl w:ilvl="8" w:tentative="0">
      <w:start w:val="2"/>
      <w:numFmt w:val="decimal"/>
      <w:lvlText w:val="%9."/>
      <w:lvlJc w:val="left"/>
      <w:pPr>
        <w:ind w:left="6480" w:hanging="360"/>
      </w:pPr>
    </w:lvl>
  </w:abstractNum>
  <w:abstractNum w:abstractNumId="3">
    <w:nsid w:val="00A99415"/>
    <w:multiLevelType w:val="multilevel"/>
    <w:tmpl w:val="00A99415"/>
    <w:lvl w:ilvl="0" w:tentative="0">
      <w:start w:val="5"/>
      <w:numFmt w:val="decimal"/>
      <w:lvlText w:val="%1."/>
      <w:lvlJc w:val="left"/>
      <w:pPr>
        <w:ind w:left="720" w:hanging="360"/>
      </w:pPr>
    </w:lvl>
    <w:lvl w:ilvl="1" w:tentative="0">
      <w:start w:val="5"/>
      <w:numFmt w:val="decimal"/>
      <w:lvlText w:val="%2."/>
      <w:lvlJc w:val="left"/>
      <w:pPr>
        <w:ind w:left="1440" w:hanging="360"/>
      </w:pPr>
    </w:lvl>
    <w:lvl w:ilvl="2" w:tentative="0">
      <w:start w:val="5"/>
      <w:numFmt w:val="decimal"/>
      <w:lvlText w:val="%3."/>
      <w:lvlJc w:val="left"/>
      <w:pPr>
        <w:ind w:left="2160" w:hanging="360"/>
      </w:pPr>
    </w:lvl>
    <w:lvl w:ilvl="3" w:tentative="0">
      <w:start w:val="5"/>
      <w:numFmt w:val="decimal"/>
      <w:lvlText w:val="%4."/>
      <w:lvlJc w:val="left"/>
      <w:pPr>
        <w:ind w:left="2880" w:hanging="360"/>
      </w:pPr>
    </w:lvl>
    <w:lvl w:ilvl="4" w:tentative="0">
      <w:start w:val="5"/>
      <w:numFmt w:val="decimal"/>
      <w:lvlText w:val="%5."/>
      <w:lvlJc w:val="left"/>
      <w:pPr>
        <w:ind w:left="3600" w:hanging="360"/>
      </w:pPr>
    </w:lvl>
    <w:lvl w:ilvl="5" w:tentative="0">
      <w:start w:val="5"/>
      <w:numFmt w:val="decimal"/>
      <w:lvlText w:val="%6."/>
      <w:lvlJc w:val="left"/>
      <w:pPr>
        <w:ind w:left="4320" w:hanging="360"/>
      </w:pPr>
    </w:lvl>
    <w:lvl w:ilvl="6" w:tentative="0">
      <w:start w:val="5"/>
      <w:numFmt w:val="decimal"/>
      <w:lvlText w:val="%7."/>
      <w:lvlJc w:val="left"/>
      <w:pPr>
        <w:ind w:left="5040" w:hanging="360"/>
      </w:pPr>
    </w:lvl>
    <w:lvl w:ilvl="7" w:tentative="0">
      <w:start w:val="5"/>
      <w:numFmt w:val="decimal"/>
      <w:lvlText w:val="%8."/>
      <w:lvlJc w:val="left"/>
      <w:pPr>
        <w:ind w:left="5760" w:hanging="360"/>
      </w:pPr>
    </w:lvl>
    <w:lvl w:ilvl="8" w:tentative="0">
      <w:start w:val="5"/>
      <w:numFmt w:val="decimal"/>
      <w:lvlText w:val="%9."/>
      <w:lvlJc w:val="left"/>
      <w:pPr>
        <w:ind w:left="6480" w:hanging="36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1">
    <w:abstractNumId w:val="3"/>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useFELayout/>
    <w:splitPgBreakAndParaMark/>
    <w:compatSetting w:name="compatibilityMode" w:uri="http://schemas.microsoft.com/office/word" w:val="12"/>
  </w:compat>
  <w:docVars>
    <w:docVar w:name="commondata" w:val="eyJoZGlkIjoiNjRkY2Y0M2E3YjgxZjBkMDA2Yjk1OWUwMjIzYThiNjcifQ=="/>
    <w:docVar w:name="KSO_WPS_MARK_KEY" w:val="6122a335-cfdc-4545-8709-60099b09d6a5"/>
  </w:docVars>
  <w:rsids>
    <w:rsidRoot w:val="00000000"/>
    <w:rsid w:val="2AFD12E2"/>
    <w:rsid w:val="4E806571"/>
    <w:rsid w:val="611E714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link w:val="31"/>
    <w:qFormat/>
    <w:uiPriority w:val="9"/>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4">
    <w:name w:val="heading 2"/>
    <w:basedOn w:val="1"/>
    <w:next w:val="3"/>
    <w:link w:val="32"/>
    <w:semiHidden/>
    <w:unhideWhenUsed/>
    <w:qFormat/>
    <w:uiPriority w:val="9"/>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5">
    <w:name w:val="heading 3"/>
    <w:basedOn w:val="1"/>
    <w:next w:val="3"/>
    <w:link w:val="33"/>
    <w:semiHidden/>
    <w:unhideWhenUsed/>
    <w:qFormat/>
    <w:uiPriority w:val="9"/>
    <w:pPr>
      <w:keepNext/>
      <w:keepLines/>
      <w:spacing w:before="160" w:after="80"/>
      <w:outlineLvl w:val="2"/>
    </w:pPr>
    <w:rPr>
      <w:rFonts w:eastAsiaTheme="majorEastAsia" w:cstheme="majorBidi"/>
      <w:color w:val="0F4761" w:themeColor="accent1" w:themeShade="BF"/>
      <w:sz w:val="28"/>
      <w:szCs w:val="28"/>
    </w:rPr>
  </w:style>
  <w:style w:type="paragraph" w:styleId="6">
    <w:name w:val="heading 4"/>
    <w:basedOn w:val="1"/>
    <w:next w:val="3"/>
    <w:link w:val="34"/>
    <w:semiHidden/>
    <w:unhideWhenUsed/>
    <w:qFormat/>
    <w:uiPriority w:val="9"/>
    <w:pPr>
      <w:keepNext/>
      <w:keepLines/>
      <w:spacing w:before="80" w:after="40"/>
      <w:outlineLvl w:val="3"/>
    </w:pPr>
    <w:rPr>
      <w:rFonts w:eastAsiaTheme="majorEastAsia" w:cstheme="majorBidi"/>
      <w:i/>
      <w:iCs/>
      <w:color w:val="0F4761" w:themeColor="accent1" w:themeShade="BF"/>
    </w:rPr>
  </w:style>
  <w:style w:type="paragraph" w:styleId="7">
    <w:name w:val="heading 5"/>
    <w:basedOn w:val="1"/>
    <w:next w:val="3"/>
    <w:link w:val="35"/>
    <w:semiHidden/>
    <w:unhideWhenUsed/>
    <w:qFormat/>
    <w:uiPriority w:val="9"/>
    <w:pPr>
      <w:keepNext/>
      <w:keepLines/>
      <w:spacing w:before="80" w:after="40"/>
      <w:outlineLvl w:val="4"/>
    </w:pPr>
    <w:rPr>
      <w:rFonts w:eastAsiaTheme="majorEastAsia" w:cstheme="majorBidi"/>
      <w:color w:val="0F4761" w:themeColor="accent1" w:themeShade="BF"/>
    </w:rPr>
  </w:style>
  <w:style w:type="paragraph" w:styleId="8">
    <w:name w:val="heading 6"/>
    <w:basedOn w:val="1"/>
    <w:next w:val="3"/>
    <w:link w:val="36"/>
    <w:semiHidden/>
    <w:unhideWhenUsed/>
    <w:qFormat/>
    <w:uiPriority w:val="9"/>
    <w:pPr>
      <w:keepNext/>
      <w:keepLines/>
      <w:spacing w:before="40" w:after="0"/>
      <w:outlineLvl w:val="5"/>
    </w:pPr>
    <w:rPr>
      <w:rFonts w:eastAsiaTheme="majorEastAsia" w:cstheme="majorBidi"/>
      <w:i/>
      <w:iCs/>
      <w:color w:val="585858" w:themeColor="text1" w:themeTint="A6"/>
    </w:rPr>
  </w:style>
  <w:style w:type="paragraph" w:styleId="9">
    <w:name w:val="heading 7"/>
    <w:basedOn w:val="1"/>
    <w:next w:val="3"/>
    <w:link w:val="37"/>
    <w:semiHidden/>
    <w:unhideWhenUsed/>
    <w:qFormat/>
    <w:uiPriority w:val="9"/>
    <w:pPr>
      <w:keepNext/>
      <w:keepLines/>
      <w:spacing w:before="40" w:after="0"/>
      <w:outlineLvl w:val="6"/>
    </w:pPr>
    <w:rPr>
      <w:rFonts w:eastAsiaTheme="majorEastAsia" w:cstheme="majorBidi"/>
      <w:color w:val="585858" w:themeColor="text1" w:themeTint="A6"/>
    </w:rPr>
  </w:style>
  <w:style w:type="paragraph" w:styleId="10">
    <w:name w:val="heading 8"/>
    <w:basedOn w:val="1"/>
    <w:next w:val="3"/>
    <w:link w:val="38"/>
    <w:semiHidden/>
    <w:unhideWhenUsed/>
    <w:qFormat/>
    <w:uiPriority w:val="9"/>
    <w:pPr>
      <w:keepNext/>
      <w:keepLines/>
      <w:spacing w:after="0"/>
      <w:outlineLvl w:val="7"/>
    </w:pPr>
    <w:rPr>
      <w:rFonts w:eastAsiaTheme="majorEastAsia" w:cstheme="majorBidi"/>
      <w:i/>
      <w:iCs/>
      <w:color w:val="262626" w:themeColor="text1" w:themeTint="D8"/>
    </w:rPr>
  </w:style>
  <w:style w:type="paragraph" w:styleId="11">
    <w:name w:val="heading 9"/>
    <w:basedOn w:val="1"/>
    <w:next w:val="3"/>
    <w:link w:val="39"/>
    <w:semiHidden/>
    <w:unhideWhenUsed/>
    <w:qFormat/>
    <w:uiPriority w:val="9"/>
    <w:pPr>
      <w:keepNext/>
      <w:keepLines/>
      <w:spacing w:after="0"/>
      <w:outlineLvl w:val="8"/>
    </w:pPr>
    <w:rPr>
      <w:rFonts w:eastAsiaTheme="majorEastAsia" w:cstheme="majorBidi"/>
      <w:color w:val="262626" w:themeColor="text1" w:themeTint="D8"/>
    </w:rPr>
  </w:style>
  <w:style w:type="character" w:default="1" w:styleId="19">
    <w:name w:val="Default Paragraph Font"/>
    <w:semiHidden/>
    <w:unhideWhenUsed/>
    <w:qFormat/>
    <w:uiPriority w:val="0"/>
  </w:style>
  <w:style w:type="table" w:default="1" w:styleId="18">
    <w:name w:val="Normal Table"/>
    <w:qFormat/>
    <w:uiPriority w:val="0"/>
    <w:tblPr>
      <w:tblCellMar>
        <w:top w:w="0" w:type="dxa"/>
        <w:left w:w="108" w:type="dxa"/>
        <w:bottom w:w="0" w:type="dxa"/>
        <w:right w:w="108" w:type="dxa"/>
      </w:tblCellMar>
    </w:tblPr>
  </w:style>
  <w:style w:type="paragraph" w:styleId="3">
    <w:name w:val="Body Text"/>
    <w:basedOn w:val="1"/>
    <w:link w:val="21"/>
    <w:qFormat/>
    <w:uiPriority w:val="0"/>
    <w:pPr>
      <w:spacing w:before="180" w:after="180"/>
    </w:pPr>
  </w:style>
  <w:style w:type="paragraph" w:styleId="12">
    <w:name w:val="caption"/>
    <w:basedOn w:val="1"/>
    <w:next w:val="1"/>
    <w:uiPriority w:val="0"/>
    <w:pPr>
      <w:spacing w:before="0" w:after="120"/>
    </w:pPr>
    <w:rPr>
      <w:i/>
    </w:rPr>
  </w:style>
  <w:style w:type="paragraph" w:styleId="13">
    <w:name w:val="Block Text"/>
    <w:basedOn w:val="3"/>
    <w:next w:val="3"/>
    <w:unhideWhenUsed/>
    <w:qFormat/>
    <w:uiPriority w:val="9"/>
    <w:pPr>
      <w:spacing w:before="100" w:after="100"/>
      <w:ind w:left="480" w:right="480" w:firstLine="0"/>
    </w:p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
    <w:next w:val="3"/>
    <w:link w:val="26"/>
    <w:qFormat/>
    <w:uiPriority w:val="11"/>
    <w:rPr>
      <w:rFonts w:eastAsiaTheme="majorEastAsia" w:cstheme="majorBidi"/>
      <w:color w:val="585858" w:themeColor="text1" w:themeTint="A6"/>
      <w:spacing w:val="15"/>
      <w:sz w:val="28"/>
      <w:szCs w:val="28"/>
    </w:rPr>
  </w:style>
  <w:style w:type="paragraph" w:styleId="16">
    <w:name w:val="footnote text"/>
    <w:basedOn w:val="1"/>
    <w:unhideWhenUsed/>
    <w:qFormat/>
    <w:uiPriority w:val="9"/>
  </w:style>
  <w:style w:type="paragraph" w:styleId="17">
    <w:name w:val="Title"/>
    <w:basedOn w:val="1"/>
    <w:next w:val="3"/>
    <w:link w:val="25"/>
    <w:qFormat/>
    <w:uiPriority w:val="10"/>
    <w:pPr>
      <w:spacing w:after="80" w:line="240" w:lineRule="auto"/>
      <w:contextualSpacing/>
      <w:jc w:val="center"/>
    </w:pPr>
    <w:rPr>
      <w:rFonts w:asciiTheme="majorHAnsi" w:hAnsiTheme="majorHAnsi" w:eastAsiaTheme="majorEastAsia" w:cstheme="majorBidi"/>
      <w:spacing w:val="-10"/>
      <w:kern w:val="28"/>
      <w:sz w:val="56"/>
      <w:szCs w:val="56"/>
    </w:rPr>
  </w:style>
  <w:style w:type="character" w:styleId="20">
    <w:name w:val="Hyperlink"/>
    <w:basedOn w:val="21"/>
    <w:qFormat/>
    <w:uiPriority w:val="0"/>
    <w:rPr>
      <w:color w:val="156082" w:themeColor="accent1"/>
    </w:rPr>
  </w:style>
  <w:style w:type="character" w:customStyle="1" w:styleId="21">
    <w:name w:val="Body Text Char"/>
    <w:basedOn w:val="19"/>
    <w:link w:val="3"/>
    <w:qFormat/>
    <w:uiPriority w:val="0"/>
  </w:style>
  <w:style w:type="character" w:styleId="22">
    <w:name w:val="footnote reference"/>
    <w:basedOn w:val="21"/>
    <w:qFormat/>
    <w:uiPriority w:val="0"/>
    <w:rPr>
      <w:vertAlign w:val="superscript"/>
    </w:r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character" w:customStyle="1" w:styleId="25">
    <w:name w:val="Title Char"/>
    <w:basedOn w:val="19"/>
    <w:link w:val="17"/>
    <w:uiPriority w:val="10"/>
    <w:rPr>
      <w:rFonts w:asciiTheme="majorHAnsi" w:hAnsiTheme="majorHAnsi" w:eastAsiaTheme="majorEastAsia" w:cstheme="majorBidi"/>
      <w:spacing w:val="-10"/>
      <w:kern w:val="28"/>
      <w:sz w:val="56"/>
      <w:szCs w:val="56"/>
    </w:rPr>
  </w:style>
  <w:style w:type="character" w:customStyle="1" w:styleId="26">
    <w:name w:val="Subtitle Char"/>
    <w:basedOn w:val="19"/>
    <w:link w:val="15"/>
    <w:uiPriority w:val="11"/>
    <w:rPr>
      <w:rFonts w:eastAsiaTheme="majorEastAsia" w:cstheme="majorBidi"/>
      <w:color w:val="585858" w:themeColor="text1" w:themeTint="A6"/>
      <w:spacing w:val="15"/>
      <w:sz w:val="28"/>
      <w:szCs w:val="28"/>
    </w:rPr>
  </w:style>
  <w:style w:type="paragraph" w:customStyle="1" w:styleId="27">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8">
    <w:name w:val="Abstract Title"/>
    <w:basedOn w:val="1"/>
    <w:next w:val="29"/>
    <w:qFormat/>
    <w:uiPriority w:val="0"/>
    <w:pPr>
      <w:keepNext/>
      <w:keepLines/>
      <w:spacing w:before="300" w:after="0"/>
      <w:jc w:val="center"/>
    </w:pPr>
    <w:rPr>
      <w:b/>
      <w:color w:val="345A8A"/>
      <w:sz w:val="20"/>
      <w:szCs w:val="20"/>
    </w:rPr>
  </w:style>
  <w:style w:type="paragraph" w:customStyle="1" w:styleId="29">
    <w:name w:val="Abstract"/>
    <w:basedOn w:val="1"/>
    <w:next w:val="3"/>
    <w:qFormat/>
    <w:uiPriority w:val="0"/>
    <w:pPr>
      <w:keepNext/>
      <w:keepLines/>
      <w:spacing w:before="100" w:after="300"/>
    </w:pPr>
    <w:rPr>
      <w:sz w:val="20"/>
      <w:szCs w:val="20"/>
    </w:rPr>
  </w:style>
  <w:style w:type="paragraph" w:customStyle="1" w:styleId="30">
    <w:name w:val="Bibliography"/>
    <w:basedOn w:val="1"/>
    <w:qFormat/>
    <w:uiPriority w:val="0"/>
  </w:style>
  <w:style w:type="character" w:customStyle="1" w:styleId="31">
    <w:name w:val="Heading 1 Char"/>
    <w:basedOn w:val="19"/>
    <w:link w:val="2"/>
    <w:uiPriority w:val="9"/>
    <w:rPr>
      <w:rFonts w:asciiTheme="majorHAnsi" w:hAnsiTheme="majorHAnsi" w:eastAsiaTheme="majorEastAsia" w:cstheme="majorBidi"/>
      <w:color w:val="0F4761" w:themeColor="accent1" w:themeShade="BF"/>
      <w:sz w:val="40"/>
      <w:szCs w:val="40"/>
    </w:rPr>
  </w:style>
  <w:style w:type="character" w:customStyle="1" w:styleId="32">
    <w:name w:val="Heading 2 Char"/>
    <w:basedOn w:val="19"/>
    <w:link w:val="4"/>
    <w:semiHidden/>
    <w:qFormat/>
    <w:uiPriority w:val="9"/>
    <w:rPr>
      <w:rFonts w:asciiTheme="majorHAnsi" w:hAnsiTheme="majorHAnsi" w:eastAsiaTheme="majorEastAsia" w:cstheme="majorBidi"/>
      <w:color w:val="0F4761" w:themeColor="accent1" w:themeShade="BF"/>
      <w:sz w:val="32"/>
      <w:szCs w:val="32"/>
    </w:rPr>
  </w:style>
  <w:style w:type="character" w:customStyle="1" w:styleId="33">
    <w:name w:val="Heading 3 Char"/>
    <w:basedOn w:val="19"/>
    <w:link w:val="5"/>
    <w:semiHidden/>
    <w:qFormat/>
    <w:uiPriority w:val="9"/>
    <w:rPr>
      <w:rFonts w:eastAsiaTheme="majorEastAsia" w:cstheme="majorBidi"/>
      <w:color w:val="0F4761" w:themeColor="accent1" w:themeShade="BF"/>
      <w:sz w:val="28"/>
      <w:szCs w:val="28"/>
    </w:rPr>
  </w:style>
  <w:style w:type="character" w:customStyle="1" w:styleId="34">
    <w:name w:val="Heading 4 Char"/>
    <w:basedOn w:val="19"/>
    <w:link w:val="6"/>
    <w:semiHidden/>
    <w:uiPriority w:val="9"/>
    <w:rPr>
      <w:rFonts w:eastAsiaTheme="majorEastAsia" w:cstheme="majorBidi"/>
      <w:i/>
      <w:iCs/>
      <w:color w:val="0F4761" w:themeColor="accent1" w:themeShade="BF"/>
    </w:rPr>
  </w:style>
  <w:style w:type="character" w:customStyle="1" w:styleId="35">
    <w:name w:val="Heading 5 Char"/>
    <w:basedOn w:val="19"/>
    <w:link w:val="7"/>
    <w:semiHidden/>
    <w:qFormat/>
    <w:uiPriority w:val="9"/>
    <w:rPr>
      <w:rFonts w:eastAsiaTheme="majorEastAsia" w:cstheme="majorBidi"/>
      <w:color w:val="0F4761" w:themeColor="accent1" w:themeShade="BF"/>
    </w:rPr>
  </w:style>
  <w:style w:type="character" w:customStyle="1" w:styleId="36">
    <w:name w:val="Heading 6 Char"/>
    <w:basedOn w:val="19"/>
    <w:link w:val="8"/>
    <w:semiHidden/>
    <w:qFormat/>
    <w:uiPriority w:val="9"/>
    <w:rPr>
      <w:rFonts w:eastAsiaTheme="majorEastAsia" w:cstheme="majorBidi"/>
      <w:i/>
      <w:iCs/>
      <w:color w:val="585858" w:themeColor="text1" w:themeTint="A6"/>
    </w:rPr>
  </w:style>
  <w:style w:type="character" w:customStyle="1" w:styleId="37">
    <w:name w:val="Heading 7 Char"/>
    <w:basedOn w:val="19"/>
    <w:link w:val="9"/>
    <w:semiHidden/>
    <w:uiPriority w:val="9"/>
    <w:rPr>
      <w:rFonts w:eastAsiaTheme="majorEastAsia" w:cstheme="majorBidi"/>
      <w:color w:val="585858" w:themeColor="text1" w:themeTint="A6"/>
    </w:rPr>
  </w:style>
  <w:style w:type="character" w:customStyle="1" w:styleId="38">
    <w:name w:val="Heading 8 Char"/>
    <w:basedOn w:val="19"/>
    <w:link w:val="10"/>
    <w:semiHidden/>
    <w:qFormat/>
    <w:uiPriority w:val="9"/>
    <w:rPr>
      <w:rFonts w:eastAsiaTheme="majorEastAsia" w:cstheme="majorBidi"/>
      <w:i/>
      <w:iCs/>
      <w:color w:val="262626" w:themeColor="text1" w:themeTint="D8"/>
    </w:rPr>
  </w:style>
  <w:style w:type="character" w:customStyle="1" w:styleId="39">
    <w:name w:val="Heading 9 Char"/>
    <w:basedOn w:val="19"/>
    <w:link w:val="11"/>
    <w:semiHidden/>
    <w:qFormat/>
    <w:uiPriority w:val="9"/>
    <w:rPr>
      <w:rFonts w:eastAsiaTheme="majorEastAsia" w:cstheme="majorBidi"/>
      <w:color w:val="262626" w:themeColor="text1" w:themeTint="D8"/>
    </w:rPr>
  </w:style>
  <w:style w:type="paragraph" w:customStyle="1" w:styleId="40">
    <w:name w:val="Footnote Block Text"/>
    <w:basedOn w:val="16"/>
    <w:next w:val="16"/>
    <w:unhideWhenUsed/>
    <w:qFormat/>
    <w:uiPriority w:val="9"/>
    <w:pPr>
      <w:spacing w:before="100" w:after="100"/>
      <w:ind w:left="480" w:right="480" w:firstLine="0"/>
    </w:pPr>
  </w:style>
  <w:style w:type="table" w:customStyle="1" w:styleId="41">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42">
    <w:name w:val="Definition Term"/>
    <w:basedOn w:val="1"/>
    <w:next w:val="43"/>
    <w:uiPriority w:val="0"/>
    <w:pPr>
      <w:keepNext/>
      <w:keepLines/>
      <w:spacing w:after="0"/>
    </w:pPr>
    <w:rPr>
      <w:b/>
    </w:rPr>
  </w:style>
  <w:style w:type="paragraph" w:customStyle="1" w:styleId="43">
    <w:name w:val="Definition"/>
    <w:basedOn w:val="1"/>
    <w:qFormat/>
    <w:uiPriority w:val="0"/>
  </w:style>
  <w:style w:type="paragraph" w:customStyle="1" w:styleId="44">
    <w:name w:val="Table Caption"/>
    <w:basedOn w:val="12"/>
    <w:qFormat/>
    <w:uiPriority w:val="0"/>
    <w:pPr>
      <w:keepNext/>
    </w:pPr>
  </w:style>
  <w:style w:type="paragraph" w:customStyle="1" w:styleId="45">
    <w:name w:val="Image Caption"/>
    <w:basedOn w:val="12"/>
    <w:qFormat/>
    <w:uiPriority w:val="0"/>
  </w:style>
  <w:style w:type="paragraph" w:customStyle="1" w:styleId="46">
    <w:name w:val="Figure"/>
    <w:basedOn w:val="1"/>
    <w:qFormat/>
    <w:uiPriority w:val="0"/>
  </w:style>
  <w:style w:type="paragraph" w:customStyle="1" w:styleId="47">
    <w:name w:val="Captioned Figure"/>
    <w:basedOn w:val="46"/>
    <w:qFormat/>
    <w:uiPriority w:val="0"/>
    <w:pPr>
      <w:keepNext/>
    </w:pPr>
  </w:style>
  <w:style w:type="character" w:customStyle="1" w:styleId="48">
    <w:name w:val="Verbatim Char"/>
    <w:basedOn w:val="21"/>
    <w:link w:val="49"/>
    <w:qFormat/>
    <w:uiPriority w:val="0"/>
    <w:rPr>
      <w:rFonts w:ascii="Consolas" w:hAnsi="Consolas"/>
      <w:sz w:val="22"/>
    </w:rPr>
  </w:style>
  <w:style w:type="paragraph" w:customStyle="1" w:styleId="49">
    <w:name w:val="Source Code"/>
    <w:basedOn w:val="1"/>
    <w:link w:val="48"/>
    <w:qFormat/>
    <w:uiPriority w:val="0"/>
    <w:pPr>
      <w:shd w:val="clear" w:fill="F8F8F8"/>
      <w:wordWrap w:val="0"/>
    </w:pPr>
  </w:style>
  <w:style w:type="character" w:customStyle="1" w:styleId="50">
    <w:name w:val="Section Number"/>
    <w:basedOn w:val="21"/>
    <w:qFormat/>
    <w:uiPriority w:val="0"/>
  </w:style>
  <w:style w:type="paragraph" w:customStyle="1" w:styleId="51">
    <w:name w:val="TOC Heading"/>
    <w:basedOn w:val="2"/>
    <w:next w:val="3"/>
    <w:unhideWhenUsed/>
    <w:qFormat/>
    <w:uiPriority w:val="39"/>
    <w:pPr>
      <w:spacing w:before="240" w:line="259" w:lineRule="auto"/>
      <w:outlineLvl w:val="9"/>
    </w:pPr>
    <w:rPr>
      <w:rFonts w:asciiTheme="majorHAnsi" w:hAnsiTheme="majorHAnsi" w:eastAsiaTheme="majorEastAsia" w:cstheme="majorBidi"/>
      <w:color w:val="0F4761" w:themeColor="accent1" w:themeShade="BF"/>
    </w:rPr>
  </w:style>
  <w:style w:type="character" w:customStyle="1" w:styleId="52">
    <w:name w:val="KeywordTok"/>
    <w:basedOn w:val="48"/>
    <w:qFormat/>
    <w:uiPriority w:val="0"/>
    <w:rPr>
      <w:b/>
      <w:color w:val="204A87"/>
      <w:shd w:val="clear" w:fill="F8F8F8"/>
    </w:rPr>
  </w:style>
  <w:style w:type="character" w:customStyle="1" w:styleId="53">
    <w:name w:val="DataTypeTok"/>
    <w:basedOn w:val="48"/>
    <w:qFormat/>
    <w:uiPriority w:val="0"/>
    <w:rPr>
      <w:color w:val="204A87"/>
      <w:shd w:val="clear" w:fill="F8F8F8"/>
    </w:rPr>
  </w:style>
  <w:style w:type="character" w:customStyle="1" w:styleId="54">
    <w:name w:val="DecValTok"/>
    <w:basedOn w:val="48"/>
    <w:qFormat/>
    <w:uiPriority w:val="0"/>
    <w:rPr>
      <w:color w:val="0000CF"/>
      <w:shd w:val="clear" w:fill="F8F8F8"/>
    </w:rPr>
  </w:style>
  <w:style w:type="character" w:customStyle="1" w:styleId="55">
    <w:name w:val="BaseNTok"/>
    <w:basedOn w:val="48"/>
    <w:qFormat/>
    <w:uiPriority w:val="0"/>
    <w:rPr>
      <w:color w:val="0000CF"/>
      <w:shd w:val="clear" w:fill="F8F8F8"/>
    </w:rPr>
  </w:style>
  <w:style w:type="character" w:customStyle="1" w:styleId="56">
    <w:name w:val="FloatTok"/>
    <w:basedOn w:val="48"/>
    <w:qFormat/>
    <w:uiPriority w:val="0"/>
    <w:rPr>
      <w:color w:val="0000CF"/>
      <w:shd w:val="clear" w:fill="F8F8F8"/>
    </w:rPr>
  </w:style>
  <w:style w:type="character" w:customStyle="1" w:styleId="57">
    <w:name w:val="ConstantTok"/>
    <w:basedOn w:val="48"/>
    <w:qFormat/>
    <w:uiPriority w:val="0"/>
    <w:rPr>
      <w:color w:val="8F5902"/>
      <w:shd w:val="clear" w:fill="F8F8F8"/>
    </w:rPr>
  </w:style>
  <w:style w:type="character" w:customStyle="1" w:styleId="58">
    <w:name w:val="CharTok"/>
    <w:basedOn w:val="48"/>
    <w:qFormat/>
    <w:uiPriority w:val="0"/>
    <w:rPr>
      <w:color w:val="4E9A06"/>
      <w:shd w:val="clear" w:fill="F8F8F8"/>
    </w:rPr>
  </w:style>
  <w:style w:type="character" w:customStyle="1" w:styleId="59">
    <w:name w:val="SpecialCharTok"/>
    <w:basedOn w:val="48"/>
    <w:qFormat/>
    <w:uiPriority w:val="0"/>
    <w:rPr>
      <w:b/>
      <w:color w:val="CE5C00"/>
      <w:shd w:val="clear" w:fill="F8F8F8"/>
    </w:rPr>
  </w:style>
  <w:style w:type="character" w:customStyle="1" w:styleId="60">
    <w:name w:val="StringTok"/>
    <w:basedOn w:val="48"/>
    <w:qFormat/>
    <w:uiPriority w:val="0"/>
    <w:rPr>
      <w:color w:val="4E9A06"/>
      <w:shd w:val="clear" w:fill="F8F8F8"/>
    </w:rPr>
  </w:style>
  <w:style w:type="character" w:customStyle="1" w:styleId="61">
    <w:name w:val="VerbatimStringTok"/>
    <w:basedOn w:val="48"/>
    <w:qFormat/>
    <w:uiPriority w:val="0"/>
    <w:rPr>
      <w:color w:val="4E9A06"/>
      <w:shd w:val="clear" w:fill="F8F8F8"/>
    </w:rPr>
  </w:style>
  <w:style w:type="character" w:customStyle="1" w:styleId="62">
    <w:name w:val="SpecialStringTok"/>
    <w:basedOn w:val="48"/>
    <w:qFormat/>
    <w:uiPriority w:val="0"/>
    <w:rPr>
      <w:color w:val="4E9A06"/>
      <w:shd w:val="clear" w:fill="F8F8F8"/>
    </w:rPr>
  </w:style>
  <w:style w:type="character" w:customStyle="1" w:styleId="63">
    <w:name w:val="ImportTok"/>
    <w:basedOn w:val="48"/>
    <w:qFormat/>
    <w:uiPriority w:val="0"/>
    <w:rPr>
      <w:shd w:val="clear" w:fill="F8F8F8"/>
    </w:rPr>
  </w:style>
  <w:style w:type="character" w:customStyle="1" w:styleId="64">
    <w:name w:val="CommentTok"/>
    <w:basedOn w:val="48"/>
    <w:qFormat/>
    <w:uiPriority w:val="0"/>
    <w:rPr>
      <w:i/>
      <w:color w:val="8F5902"/>
      <w:shd w:val="clear" w:fill="F8F8F8"/>
    </w:rPr>
  </w:style>
  <w:style w:type="character" w:customStyle="1" w:styleId="65">
    <w:name w:val="DocumentationTok"/>
    <w:basedOn w:val="48"/>
    <w:qFormat/>
    <w:uiPriority w:val="0"/>
    <w:rPr>
      <w:b/>
      <w:i/>
      <w:color w:val="8F5902"/>
      <w:shd w:val="clear" w:fill="F8F8F8"/>
    </w:rPr>
  </w:style>
  <w:style w:type="character" w:customStyle="1" w:styleId="66">
    <w:name w:val="AnnotationTok"/>
    <w:basedOn w:val="48"/>
    <w:qFormat/>
    <w:uiPriority w:val="0"/>
    <w:rPr>
      <w:b/>
      <w:i/>
      <w:color w:val="8F5902"/>
      <w:shd w:val="clear" w:fill="F8F8F8"/>
    </w:rPr>
  </w:style>
  <w:style w:type="character" w:customStyle="1" w:styleId="67">
    <w:name w:val="CommentVarTok"/>
    <w:basedOn w:val="48"/>
    <w:qFormat/>
    <w:uiPriority w:val="0"/>
    <w:rPr>
      <w:b/>
      <w:i/>
      <w:color w:val="8F5902"/>
      <w:shd w:val="clear" w:fill="F8F8F8"/>
    </w:rPr>
  </w:style>
  <w:style w:type="character" w:customStyle="1" w:styleId="68">
    <w:name w:val="OtherTok"/>
    <w:basedOn w:val="48"/>
    <w:qFormat/>
    <w:uiPriority w:val="0"/>
    <w:rPr>
      <w:color w:val="8F5902"/>
      <w:shd w:val="clear" w:fill="F8F8F8"/>
    </w:rPr>
  </w:style>
  <w:style w:type="character" w:customStyle="1" w:styleId="69">
    <w:name w:val="FunctionTok"/>
    <w:basedOn w:val="48"/>
    <w:qFormat/>
    <w:uiPriority w:val="0"/>
    <w:rPr>
      <w:b/>
      <w:color w:val="204A87"/>
      <w:shd w:val="clear" w:fill="F8F8F8"/>
    </w:rPr>
  </w:style>
  <w:style w:type="character" w:customStyle="1" w:styleId="70">
    <w:name w:val="VariableTok"/>
    <w:basedOn w:val="48"/>
    <w:qFormat/>
    <w:uiPriority w:val="0"/>
    <w:rPr>
      <w:color w:val="000000"/>
      <w:shd w:val="clear" w:fill="F8F8F8"/>
    </w:rPr>
  </w:style>
  <w:style w:type="character" w:customStyle="1" w:styleId="71">
    <w:name w:val="ControlFlowTok"/>
    <w:basedOn w:val="48"/>
    <w:qFormat/>
    <w:uiPriority w:val="0"/>
    <w:rPr>
      <w:b/>
      <w:color w:val="204A87"/>
      <w:shd w:val="clear" w:fill="F8F8F8"/>
    </w:rPr>
  </w:style>
  <w:style w:type="character" w:customStyle="1" w:styleId="72">
    <w:name w:val="OperatorTok"/>
    <w:basedOn w:val="48"/>
    <w:qFormat/>
    <w:uiPriority w:val="0"/>
    <w:rPr>
      <w:b/>
      <w:color w:val="CE5C00"/>
      <w:shd w:val="clear" w:fill="F8F8F8"/>
    </w:rPr>
  </w:style>
  <w:style w:type="character" w:customStyle="1" w:styleId="73">
    <w:name w:val="BuiltInTok"/>
    <w:basedOn w:val="48"/>
    <w:qFormat/>
    <w:uiPriority w:val="0"/>
    <w:rPr>
      <w:shd w:val="clear" w:fill="F8F8F8"/>
    </w:rPr>
  </w:style>
  <w:style w:type="character" w:customStyle="1" w:styleId="74">
    <w:name w:val="ExtensionTok"/>
    <w:basedOn w:val="48"/>
    <w:qFormat/>
    <w:uiPriority w:val="0"/>
    <w:rPr>
      <w:shd w:val="clear" w:fill="F8F8F8"/>
    </w:rPr>
  </w:style>
  <w:style w:type="character" w:customStyle="1" w:styleId="75">
    <w:name w:val="PreprocessorTok"/>
    <w:basedOn w:val="48"/>
    <w:qFormat/>
    <w:uiPriority w:val="0"/>
    <w:rPr>
      <w:i/>
      <w:color w:val="8F5902"/>
      <w:shd w:val="clear" w:fill="F8F8F8"/>
    </w:rPr>
  </w:style>
  <w:style w:type="character" w:customStyle="1" w:styleId="76">
    <w:name w:val="AttributeTok"/>
    <w:basedOn w:val="48"/>
    <w:qFormat/>
    <w:uiPriority w:val="0"/>
    <w:rPr>
      <w:color w:val="204A87"/>
      <w:shd w:val="clear" w:fill="F8F8F8"/>
    </w:rPr>
  </w:style>
  <w:style w:type="character" w:customStyle="1" w:styleId="77">
    <w:name w:val="RegionMarkerTok"/>
    <w:basedOn w:val="48"/>
    <w:uiPriority w:val="0"/>
    <w:rPr>
      <w:shd w:val="clear" w:fill="F8F8F8"/>
    </w:rPr>
  </w:style>
  <w:style w:type="character" w:customStyle="1" w:styleId="78">
    <w:name w:val="InformationTok"/>
    <w:basedOn w:val="48"/>
    <w:uiPriority w:val="0"/>
    <w:rPr>
      <w:b/>
      <w:i/>
      <w:color w:val="8F5902"/>
      <w:shd w:val="clear" w:fill="F8F8F8"/>
    </w:rPr>
  </w:style>
  <w:style w:type="character" w:customStyle="1" w:styleId="79">
    <w:name w:val="WarningTok"/>
    <w:basedOn w:val="48"/>
    <w:uiPriority w:val="0"/>
    <w:rPr>
      <w:b/>
      <w:i/>
      <w:color w:val="8F5902"/>
      <w:shd w:val="clear" w:fill="F8F8F8"/>
    </w:rPr>
  </w:style>
  <w:style w:type="character" w:customStyle="1" w:styleId="80">
    <w:name w:val="AlertTok"/>
    <w:basedOn w:val="48"/>
    <w:uiPriority w:val="0"/>
    <w:rPr>
      <w:color w:val="EF2929"/>
      <w:shd w:val="clear" w:fill="F8F8F8"/>
    </w:rPr>
  </w:style>
  <w:style w:type="character" w:customStyle="1" w:styleId="81">
    <w:name w:val="ErrorTok"/>
    <w:basedOn w:val="48"/>
    <w:uiPriority w:val="0"/>
    <w:rPr>
      <w:b/>
      <w:color w:val="A40000"/>
      <w:shd w:val="clear" w:fill="F8F8F8"/>
    </w:rPr>
  </w:style>
  <w:style w:type="character" w:customStyle="1" w:styleId="82">
    <w:name w:val="NormalTok"/>
    <w:basedOn w:val="48"/>
    <w:uiPriority w:val="0"/>
    <w:rPr>
      <w:shd w:val="clear" w:fill="F8F8F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49</Pages>
  <Words>21083</Words>
  <Characters>26995</Characters>
  <Lines>12</Lines>
  <Paragraphs>8</Paragraphs>
  <TotalTime>24</TotalTime>
  <ScaleCrop>false</ScaleCrop>
  <LinksUpToDate>false</LinksUpToDate>
  <CharactersWithSpaces>27734</CharactersWithSpaces>
  <Application>WPS Office_11.1.0.12155_F1E327BC-269C-435d-A152-05C5408002CA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2025-04-22T03:01:00Z</dcterms:created>
  <dc:creator>范俊杰（数据爬取与分析，论文初稿）；章伟涛（论文编辑，文本处理）；刘宇航（躺赢狗）</dc:creator>
  <cp:lastModifiedBy>HP</cp:lastModifiedBy>
  <dcterms:modified xsi:type="dcterms:W3CDTF">2025-04-22T03:33:47Z</dcterms:modified>
  <dc:title>中美关税战的多维度影响：基于统计建模与机器学习的多学科实证分析</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chinese-gb7714-2005-numeric.csl</vt:lpwstr>
  </property>
  <property fmtid="{D5CDD505-2E9C-101B-9397-08002B2CF9AE}" pid="4" name="date">
    <vt:lpwstr>2025-04-22</vt:lpwstr>
  </property>
  <property fmtid="{D5CDD505-2E9C-101B-9397-08002B2CF9AE}" pid="5" name="output">
    <vt:lpwstr/>
  </property>
  <property fmtid="{D5CDD505-2E9C-101B-9397-08002B2CF9AE}" pid="6" name="KSOProductBuildVer">
    <vt:lpwstr>2052-11.1.0.12155</vt:lpwstr>
  </property>
  <property fmtid="{D5CDD505-2E9C-101B-9397-08002B2CF9AE}" pid="7" name="ICV">
    <vt:lpwstr>4B390BBB13FD404C9881851E6BF9C663</vt:lpwstr>
  </property>
</Properties>
</file>