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796DEA3">
      <w:pPr>
        <w:pStyle w:val="style0"/>
        <w:spacing w:lineRule="auto" w:line="360"/>
        <w:jc w:val="center"/>
        <w:rPr>
          <w:rFonts w:ascii="黑体" w:cs="Times New Roman" w:eastAsia="黑体" w:hAnsi="黑体"/>
          <w:sz w:val="32"/>
          <w:szCs w:val="32"/>
        </w:rPr>
      </w:pPr>
      <w:r>
        <w:rPr>
          <w:rFonts w:ascii="黑体" w:cs="Times New Roman" w:eastAsia="黑体" w:hAnsi="黑体" w:hint="eastAsia"/>
          <w:b/>
          <w:bCs/>
          <w:sz w:val="32"/>
          <w:szCs w:val="32"/>
        </w:rPr>
        <w:t>走访大华与海康，</w:t>
      </w:r>
      <w:r>
        <w:rPr>
          <w:rFonts w:ascii="黑体" w:cs="Times New Roman" w:eastAsia="黑体" w:hAnsi="黑体" w:hint="default"/>
          <w:b/>
          <w:bCs/>
          <w:sz w:val="32"/>
          <w:szCs w:val="32"/>
          <w:lang w:val="en-US"/>
        </w:rPr>
        <w:t>探寻监控新技术</w:t>
      </w:r>
    </w:p>
    <w:p w14:paraId="47D91CAA">
      <w:pPr>
        <w:pStyle w:val="style0"/>
        <w:spacing w:lineRule="auto" w:line="360"/>
        <w:jc w:val="right"/>
        <w:rPr>
          <w:rFonts w:ascii="楷体" w:cs="Times New Roman" w:eastAsia="楷体" w:hAnsi="楷体"/>
          <w:sz w:val="28"/>
          <w:szCs w:val="28"/>
        </w:rPr>
      </w:pPr>
      <w:r>
        <w:rPr>
          <w:rFonts w:ascii="楷体" w:cs="Times New Roman" w:eastAsia="楷体" w:hAnsi="楷体" w:hint="eastAsia"/>
          <w:sz w:val="28"/>
          <w:szCs w:val="28"/>
        </w:rPr>
        <w:t>——</w:t>
      </w:r>
      <w:r>
        <w:rPr>
          <w:rFonts w:ascii="楷体" w:cs="Times New Roman" w:eastAsia="楷体" w:hAnsi="楷体" w:hint="default"/>
          <w:sz w:val="28"/>
          <w:szCs w:val="28"/>
          <w:lang w:val="en-US"/>
        </w:rPr>
        <w:t>企业参访</w:t>
      </w:r>
      <w:r>
        <w:rPr>
          <w:rFonts w:ascii="楷体" w:cs="Times New Roman" w:eastAsia="楷体" w:hAnsi="楷体" w:hint="eastAsia"/>
          <w:sz w:val="28"/>
          <w:szCs w:val="28"/>
        </w:rPr>
        <w:t>调研心得</w:t>
      </w:r>
    </w:p>
    <w:p w14:paraId="BDC82098">
      <w:pPr>
        <w:pStyle w:val="style0"/>
        <w:spacing w:lineRule="auto" w:line="360"/>
        <w:jc w:val="left"/>
        <w:rPr>
          <w:rFonts w:ascii="Times New Roman" w:cs="Times New Roman" w:eastAsia="仿宋" w:hAnsi="Times New Roman" w:hint="eastAsia"/>
          <w:sz w:val="24"/>
          <w:szCs w:val="24"/>
        </w:rPr>
      </w:pPr>
    </w:p>
    <w:p w14:paraId="6EEE4ABA">
      <w:pPr>
        <w:pStyle w:val="style0"/>
        <w:spacing w:lineRule="auto" w:line="360"/>
        <w:jc w:val="left"/>
        <w:rPr>
          <w:rFonts w:ascii="Times New Roman" w:cs="Times New Roman" w:eastAsia="仿宋" w:hAnsi="Times New Roman"/>
          <w:sz w:val="24"/>
          <w:szCs w:val="24"/>
        </w:rPr>
      </w:pPr>
      <w:r>
        <w:rPr>
          <w:rFonts w:ascii="Times New Roman" w:cs="Times New Roman" w:eastAsia="仿宋" w:hAnsi="Times New Roman" w:hint="eastAsia"/>
          <w:sz w:val="24"/>
          <w:szCs w:val="24"/>
        </w:rPr>
        <w:t>姓名：</w:t>
      </w:r>
      <w:r>
        <w:rPr>
          <w:rFonts w:ascii="Times New Roman" w:cs="Times New Roman" w:eastAsia="仿宋" w:hAnsi="Times New Roman" w:hint="eastAsia"/>
          <w:sz w:val="24"/>
          <w:szCs w:val="24"/>
          <w:lang w:val="en-US" w:eastAsia="zh-CN"/>
        </w:rPr>
        <w:t>盛靓颖</w:t>
      </w:r>
    </w:p>
    <w:p w14:paraId="4792E100">
      <w:pPr>
        <w:pStyle w:val="style0"/>
        <w:spacing w:lineRule="auto" w:line="360"/>
        <w:jc w:val="left"/>
        <w:rPr>
          <w:rFonts w:ascii="Times New Roman" w:cs="Times New Roman" w:eastAsia="仿宋" w:hAnsi="Times New Roman" w:hint="default"/>
          <w:sz w:val="24"/>
          <w:szCs w:val="24"/>
          <w:lang w:val="en-US" w:eastAsia="zh-CN"/>
        </w:rPr>
      </w:pPr>
      <w:r>
        <w:rPr>
          <w:rFonts w:ascii="Times New Roman" w:cs="Times New Roman" w:eastAsia="仿宋" w:hAnsi="Times New Roman" w:hint="eastAsia"/>
          <w:sz w:val="24"/>
          <w:szCs w:val="24"/>
        </w:rPr>
        <w:t>学号：</w:t>
      </w:r>
      <w:r>
        <w:rPr>
          <w:rFonts w:ascii="Times New Roman" w:cs="Times New Roman" w:eastAsia="仿宋" w:hAnsi="Times New Roman" w:hint="eastAsia"/>
          <w:sz w:val="24"/>
          <w:szCs w:val="24"/>
          <w:lang w:val="en-US" w:eastAsia="zh-CN"/>
        </w:rPr>
        <w:t>3240102404</w:t>
      </w:r>
    </w:p>
    <w:p w14:paraId="69B050D9">
      <w:pPr>
        <w:pStyle w:val="style0"/>
        <w:spacing w:lineRule="auto" w:line="360"/>
        <w:jc w:val="left"/>
        <w:rPr>
          <w:rFonts w:ascii="Times New Roman" w:cs="Times New Roman" w:eastAsia="仿宋" w:hAnsi="Times New Roman" w:hint="default"/>
          <w:sz w:val="24"/>
          <w:szCs w:val="24"/>
          <w:lang w:val="en-US" w:eastAsia="zh-CN"/>
        </w:rPr>
      </w:pPr>
      <w:r>
        <w:rPr>
          <w:rFonts w:ascii="Times New Roman" w:cs="Times New Roman" w:eastAsia="仿宋" w:hAnsi="Times New Roman" w:hint="eastAsia"/>
          <w:sz w:val="24"/>
          <w:szCs w:val="24"/>
        </w:rPr>
        <w:t>专业班级：</w:t>
      </w:r>
      <w:r>
        <w:rPr>
          <w:rFonts w:ascii="Times New Roman" w:cs="Times New Roman" w:eastAsia="仿宋" w:hAnsi="Times New Roman" w:hint="eastAsia"/>
          <w:sz w:val="24"/>
          <w:szCs w:val="24"/>
          <w:lang w:val="en-US" w:eastAsia="zh-CN"/>
        </w:rPr>
        <w:t>信工2402</w:t>
      </w:r>
    </w:p>
    <w:p w14:paraId="005B976A">
      <w:pPr>
        <w:pStyle w:val="style0"/>
        <w:spacing w:lineRule="auto" w:line="360"/>
        <w:rPr>
          <w:rFonts w:ascii="Times New Roman" w:cs="Times New Roman" w:eastAsia="仿宋" w:hAnsi="Times New Roman" w:hint="eastAsia"/>
          <w:sz w:val="24"/>
          <w:szCs w:val="24"/>
        </w:rPr>
      </w:pPr>
    </w:p>
    <w:p w14:paraId="B179E820">
      <w:pPr>
        <w:pStyle w:val="style0"/>
        <w:spacing w:after="0" w:lineRule="auto" w:line="360"/>
        <w:ind w:left="0" w:leftChars="0" w:firstLineChars="200"/>
        <w:jc w:val="left"/>
        <w:rPr>
          <w:rFonts w:ascii="Times New Roman" w:cs="Times New Roman" w:eastAsia="仿宋" w:hAnsi="Times New Roman" w:hint="eastAsia"/>
          <w:color w:val="000000"/>
          <w:sz w:val="24"/>
          <w:szCs w:val="24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本次企业参访让我从课堂理论向企业实践迈出了探索性的一步，也对这两家行业知名企业有了诸多直观且深刻的认识。</w:t>
      </w:r>
    </w:p>
    <w:p w14:paraId="839642F9">
      <w:pPr>
        <w:pStyle w:val="style0"/>
        <w:numPr>
          <w:ilvl w:val="0"/>
          <w:numId w:val="0"/>
        </w:numPr>
        <w:spacing w:after="0" w:lineRule="auto" w:line="360"/>
        <w:ind w:left="0" w:leftChars="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一、初入企业：科技氛围的沉浸式体验</w:t>
      </w:r>
    </w:p>
    <w:p w14:paraId="F72F5147">
      <w:pPr>
        <w:pStyle w:val="style0"/>
        <w:numPr>
          <w:ilvl w:val="0"/>
          <w:numId w:val="0"/>
        </w:numPr>
        <w:spacing w:after="0" w:lineRule="auto" w:line="360"/>
        <w:ind w:left="0" w:leftChars="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（一）走进大华：触摸智能物联脉络</w:t>
      </w:r>
    </w:p>
    <w:p w14:paraId="4BB9B923">
      <w:pPr>
        <w:pStyle w:val="style0"/>
        <w:spacing w:after="0" w:lineRule="auto" w:line="360"/>
        <w:ind w:left="0" w:leftChars="0"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走进大华集团的展览空间，各类安防、智慧物联相关产品有序陈列，从智能楼宇里的自动门禁、智能照明，到智慧交通中的车辆识别、交通疏导，一个个应用场景展示着信息工程如何让生活更便捷，科技感扑面而来。尤其是智能楼宇，能通过传感器和网络，能自动调节室内温度、亮度，人来灯亮、人走灯灭，既节能又智能。在安防展示区，大华的智能摄像头和监控系统让我大开眼界。那些高清摄像头，能清晰捕捉画面，还能智能识别异常情况，比如有人闯入禁区、物品被盗，系统会快速报警。工作人员专业且热情，为我们讲解产品功能与背后技术逻辑。</w:t>
      </w:r>
    </w:p>
    <w:p w14:paraId="6A88E548">
      <w:pPr>
        <w:pStyle w:val="style0"/>
        <w:spacing w:after="0" w:lineRule="auto" w:line="360"/>
        <w:jc w:val="center"/>
        <w:rPr/>
      </w:pPr>
      <w:r>
        <w:rPr/>
        <w:drawing>
          <wp:inline distL="0" distT="0" distB="0" distR="0">
            <wp:extent cx="2628900" cy="128158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2815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90CB29">
      <w:pPr>
        <w:pStyle w:val="style0"/>
        <w:spacing w:after="0" w:lineRule="auto" w:line="360"/>
        <w:jc w:val="center"/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</w:pPr>
      <w:r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  <w:t>照片1 大华集团数字化运营平台</w:t>
      </w:r>
    </w:p>
    <w:p w14:paraId="2469CD63">
      <w:pPr>
        <w:pStyle w:val="style0"/>
        <w:spacing w:after="0" w:lineRule="auto" w:line="360"/>
        <w:ind w:left="0" w:leftChars="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（二）探访海康威视：领略视觉科技魅力</w:t>
      </w:r>
    </w:p>
    <w:p w14:paraId="06C3D723">
      <w:pPr>
        <w:pStyle w:val="style0"/>
        <w:spacing w:after="0" w:lineRule="auto" w:line="360"/>
        <w:ind w:left="0" w:leftChars="0"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海康威视的展览则是另一番宏大且精细的呈现，智慧园区、智能交通等解决方案以模拟场景展示。超高清摄像头能捕捉到极其细微的画面，哪怕是很远地方的一个小细节，都能看得清清楚楚。还有智能分析功能，能从海量视频里快速筛选出关键信息。在行业应用展示区，海康把视频技术用到了工业生产、教育、医疗等地方。比如在工业生产线上，通过视频监控和分析，能实时检测产品质量，发现瑕疵马上预警；在教育领域，能进行课堂行为分析，辅助老师教学。</w:t>
      </w:r>
    </w:p>
    <w:p w14:paraId="0B5DFF48">
      <w:pPr>
        <w:pStyle w:val="style0"/>
        <w:spacing w:after="0" w:lineRule="auto" w:line="360"/>
        <w:ind w:left="0" w:leftChars="0" w:firstLineChars="200"/>
        <w:jc w:val="center"/>
        <w:rPr/>
      </w:pPr>
      <w:r>
        <w:rPr/>
        <w:drawing>
          <wp:inline distL="0" distT="0" distB="0" distR="0">
            <wp:extent cx="2628900" cy="196646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664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640876">
      <w:pPr>
        <w:pStyle w:val="style0"/>
        <w:spacing w:after="0" w:lineRule="auto" w:line="360"/>
        <w:ind w:left="0" w:leftChars="0" w:firstLineChars="200"/>
        <w:jc w:val="center"/>
        <w:rPr>
          <w:rFonts w:ascii="Times New Roman" w:cs="Times New Roman" w:eastAsia="宋体" w:hAnsi="Times New Roman" w:hint="eastAsia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</w:pPr>
      <w:r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  <w:t>照片2 海康威视大模型一体化平台</w:t>
      </w:r>
    </w:p>
    <w:p w14:paraId="9947B367">
      <w:pPr>
        <w:pStyle w:val="style0"/>
        <w:spacing w:after="0" w:lineRule="auto" w:line="360"/>
        <w:ind w:left="0" w:leftChars="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二、夜视摄像头：技术与应用的剖析</w:t>
      </w:r>
    </w:p>
    <w:p w14:paraId="72A996B6">
      <w:pPr>
        <w:pStyle w:val="style0"/>
        <w:spacing w:lineRule="auto" w:line="36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（一）共同点：守护黑夜的 “眼睛” 使命</w:t>
      </w:r>
    </w:p>
    <w:p w14:paraId="25308B1F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两家企业在夜视摄像头领域，都聚焦于解决 “看清黑夜” 这一核心需求。大华的夜视摄像头，无论是民用安防款，还是面向特殊行业的专业设备，都强调在低照度环境下的成像质量，通过优化传感器感光性能、算法降噪等技术，让黑夜中的画面尽可能清晰、真实。海康威视的夜视产品同样如此，从普通家用监控到用于边境安防、野生动物监测等特殊场景的设备，都致力于突破光线限制，成为守护安全、助力观测的 “夜视之眼”。</w:t>
      </w:r>
    </w:p>
    <w:p w14:paraId="A7B7881C">
      <w:pPr>
        <w:pStyle w:val="style0"/>
        <w:spacing w:lineRule="auto" w:line="360"/>
        <w:ind w:firstLineChars="200"/>
        <w:jc w:val="center"/>
        <w:rPr/>
      </w:pPr>
      <w:r>
        <w:rPr/>
        <w:drawing>
          <wp:inline distL="0" distT="0" distB="0" distR="0">
            <wp:extent cx="2628900" cy="196962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69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52B9F4">
      <w:pPr>
        <w:pStyle w:val="style0"/>
        <w:spacing w:lineRule="auto" w:line="360"/>
        <w:ind w:firstLineChars="200"/>
        <w:jc w:val="center"/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</w:pPr>
      <w:r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  <w:t>照片3 大华集团摄像头产品展示</w:t>
      </w:r>
    </w:p>
    <w:p w14:paraId="8F0920C7">
      <w:pPr>
        <w:pStyle w:val="style0"/>
        <w:spacing w:lineRule="auto" w:line="36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（二）差异点：细分领域的特色深耕</w:t>
      </w:r>
    </w:p>
    <w:p w14:paraId="9CCCF368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从应用场景侧重来看，大华的夜视摄像头在智慧社区、商业综合体等民用及商业场景中，展现出对场景适配性的精细打磨。比如针对小区夜间监控，除了清晰成像，还融入了人形识别、异常行为预警等功能，将夜视技术与智能分析深度结合，更贴合社区安防管理的实际需求。而海康威视在一些特殊行业场景，如电力巡检、矿井作业等，其夜视摄像头针对复杂环境做了专项优化。像矿井下的夜视设备，要应对粉尘、潮湿、低光照且空间复杂的环境，在防护设计、特殊光谱成像等方面有独特技术，满足行业特殊作业的监控需求。</w:t>
      </w:r>
    </w:p>
    <w:p w14:paraId="977595BD">
      <w:pPr>
        <w:pStyle w:val="style0"/>
        <w:spacing w:lineRule="auto" w:line="360"/>
        <w:ind w:firstLineChars="200"/>
        <w:jc w:val="center"/>
        <w:rPr/>
      </w:pPr>
      <w:r>
        <w:rPr/>
        <w:drawing>
          <wp:inline distL="0" distT="0" distB="0" distR="0">
            <wp:extent cx="2628900" cy="1969601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696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FD2F17F">
      <w:pPr>
        <w:pStyle w:val="style0"/>
        <w:spacing w:lineRule="auto" w:line="360"/>
        <w:ind w:firstLineChars="200"/>
        <w:jc w:val="center"/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</w:pPr>
      <w:r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  <w:t>照片4 海康威视耐低温系列摄像机</w:t>
      </w:r>
    </w:p>
    <w:p w14:paraId="64DD3D05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在技术路线呈现上，大华似乎更注重产品的“场景化整合”。在展览中能看到，其夜视摄像头常与其他智能设备联动展示，构建起一个小型的智慧安防生态，强调通过系统集成，让夜视功能更好地服务于整体解决方案。海康威视则在“技术深度”上有更多展现，工作人员会讲解其在夜视算法研发中，如何针对不同光源环境（如月光、星光、红外补光等）进行自适应优化，以及在芯片级别的技术创新，让夜视技术的底层支撑更具竞争力，体现出对核心技术的深度钻研。</w:t>
      </w:r>
    </w:p>
    <w:p w14:paraId="4B6065CB">
      <w:pPr>
        <w:pStyle w:val="style0"/>
        <w:numPr>
          <w:ilvl w:val="0"/>
          <w:numId w:val="0"/>
        </w:numPr>
        <w:spacing w:lineRule="auto" w:line="36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三、对比与思考：企业差异与专业共性</w:t>
      </w:r>
    </w:p>
    <w:p w14:paraId="E2A41E00">
      <w:pPr>
        <w:pStyle w:val="style0"/>
        <w:numPr>
          <w:ilvl w:val="0"/>
          <w:numId w:val="0"/>
        </w:numPr>
        <w:spacing w:lineRule="auto" w:line="36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（一）共同之处</w:t>
      </w:r>
    </w:p>
    <w:p w14:paraId="8BE63B19">
      <w:pPr>
        <w:pStyle w:val="style0"/>
        <w:numPr>
          <w:ilvl w:val="0"/>
          <w:numId w:val="0"/>
        </w:numPr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参访完两家企业，我发现信息工程的核心知识是相通的。不管是大华的智慧物联，还是海康的视频科技，都离不开计算机网络、数据处理、算法设计这些知识。课堂上学的编程语言、电路原理，都是搭建这些应用的基础。</w:t>
      </w:r>
    </w:p>
    <w:p w14:paraId="9396CECF">
      <w:pPr>
        <w:pStyle w:val="style0"/>
        <w:numPr>
          <w:ilvl w:val="0"/>
          <w:numId w:val="0"/>
        </w:numPr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另外，大华集团和海康威视，都以科技研发作为企业发展的核心驱动力。在展览中能感受到，两家企业不断推出新产品、新解决方案，背后是持续的研发投入。同时，两家企业都肩负着一定的社会责任，通过安防技术守护社会安全，无论是城市的平安建设，还是企业、居民的安全保障，都在以信息工程技术为依托，为社会稳定运行贡献力量。</w:t>
      </w:r>
    </w:p>
    <w:p w14:paraId="335B9DF9">
      <w:pPr>
        <w:pStyle w:val="style0"/>
        <w:numPr>
          <w:ilvl w:val="0"/>
          <w:numId w:val="0"/>
        </w:numPr>
        <w:spacing w:lineRule="auto" w:line="360"/>
        <w:ind w:firstLineChars="200"/>
        <w:jc w:val="center"/>
        <w:rPr/>
      </w:pPr>
      <w:r>
        <w:rPr/>
        <w:drawing>
          <wp:inline distL="0" distT="0" distB="0" distR="0">
            <wp:extent cx="2628900" cy="17526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D5C8C1">
      <w:pPr>
        <w:pStyle w:val="style0"/>
        <w:numPr>
          <w:ilvl w:val="0"/>
          <w:numId w:val="0"/>
        </w:numPr>
        <w:spacing w:lineRule="auto" w:line="360"/>
        <w:ind w:firstLineChars="200"/>
        <w:jc w:val="center"/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</w:pPr>
      <w:r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  <w:t>照片5 海康威视宣传片展示</w:t>
      </w:r>
    </w:p>
    <w:p w14:paraId="39EB39CB">
      <w:pPr>
        <w:pStyle w:val="style0"/>
        <w:spacing w:lineRule="auto" w:line="36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（二）差异所在</w:t>
      </w:r>
    </w:p>
    <w:p w14:paraId="5B22F9E1">
      <w:pPr>
        <w:pStyle w:val="style0"/>
        <w:spacing w:lineRule="auto" w:line="36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 xml:space="preserve">    大华和海康虽然都在智能物联、视觉科技领域深耕，但也有各自特色。大华集团的业务生态，在展览中体现出“智慧物联+行业深耕”的特点。除了传统安防，在智慧家居、智慧零售等领域也有布局，试图通过信息工程技术，搭建起跨行业的物联生态，让不同场景的智能需求都能在其生态体系内找到解决方案。而海康威视的业务生态更偏向“大安防+智慧基建”，在城市轨道交通、智慧能源等大型基础设施的智慧化改造中，展现出强大的技术整合能力，其产品与解决方案，更聚焦于构建城市级、行业级的智慧安防与管理体系。</w:t>
      </w:r>
    </w:p>
    <w:p w14:paraId="2A9B7582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从市场侧重来看，大华在民用消费级市场，通过丰富的产品线，努力贴近普通消费者需求，像家用智能摄像头，在功能设计、价格定位上，试图覆盖更广泛的民用市场。海康威视虽也有民用产品，但在展览中给我留下更深印象的是其在行业级、国家级项目中的应用，如大型场馆安防、国家边境监控等，市场侧重更偏向于高端、大型项目的整体解决方案提供。</w:t>
      </w:r>
    </w:p>
    <w:p w14:paraId="CBC8F57D">
      <w:pPr>
        <w:pStyle w:val="style0"/>
        <w:spacing w:lineRule="auto" w:line="360"/>
        <w:jc w:val="left"/>
        <w:rPr>
          <w:rFonts w:ascii="Times New Roman" w:cs="Times New Roman" w:eastAsia="仿宋" w:hAnsi="Times New Roman" w:hint="eastAsia"/>
          <w:color w:val="000000"/>
          <w:sz w:val="24"/>
          <w:szCs w:val="24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四、反思与感悟：当下短板与提升方向</w:t>
      </w:r>
    </w:p>
    <w:p w14:paraId="4A265358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eastAsia"/>
          <w:color w:val="000000"/>
          <w:sz w:val="24"/>
          <w:szCs w:val="24"/>
        </w:rPr>
      </w:pP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走访了两家企业，</w:t>
      </w: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我认为自己</w:t>
      </w: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对整个信息工程行业的了解还是很有限</w:t>
      </w: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，尤其是</w:t>
      </w: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行业</w:t>
      </w: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的</w:t>
      </w: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前沿技术、新兴领域。以后</w:t>
      </w: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我</w:t>
      </w: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要多关注行业新闻、学术报告，拓宽自己的视野，让自己不局限在课本里，能紧跟行业发展潮流。</w:t>
      </w:r>
    </w:p>
    <w:p w14:paraId="2432C570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eastAsia"/>
          <w:color w:val="000000"/>
          <w:sz w:val="24"/>
          <w:szCs w:val="24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另外，</w:t>
      </w: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两家企业不断推陈出新的产品，让我看到创新是企业发展的生命线，而这也依赖于信息工程领域持续的技术创新。同时，企业内部不同部门、不同技术环节的协同合作，比如硬件研发与算法团队的配合，才能打造出优秀的夜视摄像头产品。这启示我，在专业学习中，要培养创新思维，敢于突破常规，也要注重团队协作能力，因为复杂的产品研发，离不开多方力量的共同努力。</w:t>
      </w:r>
    </w:p>
    <w:p w14:paraId="C2D4D023">
      <w:pPr>
        <w:pStyle w:val="style0"/>
        <w:spacing w:lineRule="auto" w:line="360"/>
        <w:ind w:firstLineChars="200"/>
        <w:jc w:val="left"/>
        <w:rPr>
          <w:rFonts w:ascii="Times New Roman" w:cs="Times New Roman" w:eastAsia="仿宋" w:hAnsi="Times New Roman" w:hint="eastAsia"/>
          <w:color w:val="000000"/>
          <w:sz w:val="24"/>
          <w:szCs w:val="24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大华和海康威视的差异，也让我看到信息工程专业职业方向的多元性。如果想进入民用科技生态领域，参与贴近大众生活的智能产品研发，大华的业务模式能带来启发；若对大型行业项目、高端技术研发感兴趣，海康威视的发展路径值得关注。这让我意识到，在专业学习过程中，要尽早探索自己的兴趣点，是偏向消费级产品的创新应用，还是专注于行业级解决方案的技术突破，找到方向后，才能更有针对性地提升自己的技能，为未来职业发展做好准备。</w:t>
      </w:r>
    </w:p>
    <w:p w14:paraId="6462A87E">
      <w:pPr>
        <w:pStyle w:val="style0"/>
        <w:numPr>
          <w:ilvl w:val="0"/>
          <w:numId w:val="0"/>
        </w:numPr>
        <w:spacing w:lineRule="auto" w:line="360"/>
        <w:jc w:val="left"/>
        <w:rPr>
          <w:rFonts w:ascii="Times New Roman" w:cs="Times New Roman" w:eastAsia="仿宋" w:hAnsi="Times New Roman" w:hint="eastAsia"/>
          <w:color w:val="000000"/>
          <w:sz w:val="24"/>
          <w:szCs w:val="24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五、</w:t>
      </w:r>
      <w:r>
        <w:rPr>
          <w:rFonts w:ascii="Times New Roman" w:cs="Times New Roman" w:eastAsia="仿宋" w:hAnsi="Times New Roman" w:hint="eastAsia"/>
          <w:color w:val="000000"/>
          <w:sz w:val="24"/>
          <w:szCs w:val="24"/>
        </w:rPr>
        <w:t>结语：探索不止，前行不息</w:t>
      </w:r>
    </w:p>
    <w:p w14:paraId="C5225B2D">
      <w:pPr>
        <w:pStyle w:val="style0"/>
        <w:numPr>
          <w:ilvl w:val="0"/>
          <w:numId w:val="0"/>
        </w:numPr>
        <w:spacing w:lineRule="auto" w:line="360"/>
        <w:ind w:firstLineChars="200"/>
        <w:jc w:val="left"/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</w:pPr>
      <w:r>
        <w:rPr>
          <w:rFonts w:ascii="Times New Roman" w:cs="Times New Roman" w:eastAsia="仿宋" w:hAnsi="Times New Roman" w:hint="default"/>
          <w:color w:val="000000"/>
          <w:sz w:val="24"/>
          <w:szCs w:val="24"/>
          <w:lang w:val="en-US"/>
        </w:rPr>
        <w:t>此次走访大华集团和海康威视，虽只是短暂的企业调研，却给我留下了深刻的印象。未来，我要把这次走访的收获化作学习的动力，夯实基础、提升实践、拓宽视野，努力早日成为能为行业发展、社会进步贡献力量的专业人才，也期待在后续的学习中，能有更多机会走进企业、接触实际项目，在这个精彩的领域里，走出属于自己的精彩轨迹。</w:t>
      </w:r>
    </w:p>
    <w:p w14:paraId="863B5076">
      <w:pPr>
        <w:pStyle w:val="style0"/>
        <w:numPr>
          <w:ilvl w:val="0"/>
          <w:numId w:val="0"/>
        </w:numPr>
        <w:spacing w:lineRule="auto" w:line="360"/>
        <w:ind w:firstLineChars="200"/>
        <w:jc w:val="center"/>
        <w:rPr/>
      </w:pPr>
      <w:r>
        <w:rPr/>
        <w:drawing>
          <wp:inline distL="0" distT="0" distB="0" distR="0">
            <wp:extent cx="2628900" cy="175260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8FB0263">
      <w:pPr>
        <w:pStyle w:val="style0"/>
        <w:numPr>
          <w:ilvl w:val="0"/>
          <w:numId w:val="0"/>
        </w:numPr>
        <w:spacing w:lineRule="auto" w:line="360"/>
        <w:ind w:firstLineChars="200"/>
        <w:jc w:val="center"/>
        <w:rPr>
          <w:rFonts w:ascii="Times New Roman" w:cs="Times New Roman" w:eastAsia="仿宋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kern w:val="2"/>
          <w:sz w:val="21"/>
          <w:szCs w:val="21"/>
          <w:lang w:val="en-US" w:bidi="ar-SA" w:eastAsia="zh-CN"/>
          <w14:ligatures xmlns:w14="http://schemas.microsoft.com/office/word/2010/wordml" w14:val="standardContextual"/>
        </w:rPr>
        <w:t>照片6 大华集团参访合照</w:t>
      </w:r>
      <w:bookmarkStart w:id="0" w:name="_GoBack"/>
      <w:bookmarkEnd w:id="0"/>
    </w:p>
    <w:sectPr>
      <w:headerReference w:type="default" r:id="rId8"/>
      <w:footerReference w:type="default" r:id="rId9"/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AMGDT"/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等线">
    <w:altName w:val="等线"/>
    <w:panose1 w:val="02010600030000010101"/>
    <w:charset w:val="86"/>
    <w:family w:val="auto"/>
    <w:pitch w:val="default"/>
    <w:sig w:usb0="A00002BF" w:usb1="38CF7CFA" w:usb2="00000016" w:usb3="00000000" w:csb0="0004000F" w:csb1="00000000"/>
  </w:font>
  <w:font w:name="楷体">
    <w:altName w:val="楷体"/>
    <w:panose1 w:val="02010609060000010101"/>
    <w:charset w:val="86"/>
    <w:family w:val="modern"/>
    <w:pitch w:val="default"/>
    <w:sig w:usb0="800002BF" w:usb1="38CF7CFA" w:usb2="00000016" w:usb3="00000000" w:csb0="00040001" w:csb1="00000000"/>
  </w:font>
  <w:font w:name="仿宋">
    <w:altName w:val="仿宋"/>
    <w:panose1 w:val="02010609060000010101"/>
    <w:charset w:val="86"/>
    <w:family w:val="modern"/>
    <w:pitch w:val="default"/>
    <w:sig w:usb0="800002BF" w:usb1="38CF7CFA" w:usb2="00000016" w:usb3="00000000" w:csb0="00040001" w:csb1="00000000"/>
  </w:font>
  <w:font w:name="方正仿宋简体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EEA0AF4"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EE43EF9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C522D8D"/>
    <w:lvl w:ilvl="0" w:tplc="0409000F">
      <w:start w:val="5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6975F269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C15107B7"/>
    <w:lvl w:ilvl="0" w:tplc="0409000F">
      <w:start w:val="2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等线" w:cs="宋体" w:eastAsia="等线" w:hAnsi="等线"/>
      <w:kern w:val="2"/>
      <w:sz w:val="21"/>
      <w:szCs w:val="22"/>
      <w:lang w:val="en-US" w:bidi="ar-SA" w:eastAsia="zh-CN"/>
      <w14:ligatures xmlns:w14="http://schemas.microsoft.com/office/word/2010/wordml" w14:val="standardContextual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footer" Target="footer2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2674</Words>
  <Pages>8</Pages>
  <Characters>2686</Characters>
  <Application>WPS Office</Application>
  <DocSecurity>0</DocSecurity>
  <Paragraphs>48</Paragraphs>
  <ScaleCrop>false</ScaleCrop>
  <LinksUpToDate>false</LinksUpToDate>
  <CharactersWithSpaces>2701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2023-07-04T11:11:00Z</dcterms:created>
  <dc:creator>黄 少麒</dc:creator>
  <lastModifiedBy>TGR-W00</lastModifiedBy>
  <dcterms:modified xsi:type="dcterms:W3CDTF">2025-07-11T09:24:34Z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eyJoZGlkIjoiN2RjN2RhMjg5NDdhMjNkZDljOGVlZjdlZmJjOTljNjAiLCJ1c2VySWQiOiIxNjQ4NTM3MDczIn0=</vt:lpwstr>
  </property>
  <property fmtid="{D5CDD505-2E9C-101B-9397-08002B2CF9AE}" pid="3" name="KSOProductBuildVer">
    <vt:lpwstr>2052-12.1.0.20784</vt:lpwstr>
  </property>
  <property fmtid="{D5CDD505-2E9C-101B-9397-08002B2CF9AE}" pid="4" name="ICV">
    <vt:lpwstr>6F1EDE54221743D7BA2BCF298124CF0F_13</vt:lpwstr>
  </property>
</Properties>
</file>