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E0454">
      <w:pPr>
        <w:pStyle w:val="2"/>
        <w:keepNext w:val="0"/>
        <w:keepLines w:val="0"/>
        <w:widowControl/>
        <w:suppressLineNumbers w:val="0"/>
        <w:snapToGrid/>
        <w:spacing w:line="360" w:lineRule="auto"/>
        <w:ind w:firstLine="643" w:firstLineChars="200"/>
        <w:jc w:val="center"/>
        <w:rPr>
          <w:rFonts w:hint="eastAsia" w:ascii="黑体" w:hAnsi="黑体" w:eastAsia="黑体" w:cs="黑体"/>
          <w:sz w:val="32"/>
          <w:szCs w:val="32"/>
        </w:rPr>
      </w:pPr>
      <w:r>
        <w:rPr>
          <w:rFonts w:hint="eastAsia" w:ascii="黑体" w:hAnsi="黑体" w:eastAsia="黑体" w:cs="黑体"/>
          <w:sz w:val="32"/>
          <w:szCs w:val="32"/>
        </w:rPr>
        <w:t>关于大华集团与海康威视的企业参访调研报告</w:t>
      </w:r>
    </w:p>
    <w:p w14:paraId="187E9AD6">
      <w:pPr>
        <w:rPr>
          <w:rFonts w:hint="eastAsia"/>
        </w:rPr>
      </w:pPr>
    </w:p>
    <w:p w14:paraId="6EEE4ABA">
      <w:pPr>
        <w:snapToGrid/>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谢昊远</w:t>
      </w:r>
    </w:p>
    <w:p w14:paraId="4792E100">
      <w:pPr>
        <w:snapToGrid/>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学号：</w:t>
      </w:r>
      <w:r>
        <w:rPr>
          <w:rFonts w:hint="eastAsia" w:ascii="Times New Roman" w:hAnsi="Times New Roman" w:eastAsia="仿宋" w:cs="Times New Roman"/>
          <w:sz w:val="24"/>
          <w:szCs w:val="24"/>
          <w:lang w:val="en-US" w:eastAsia="zh-CN"/>
        </w:rPr>
        <w:t>324010377</w:t>
      </w:r>
      <w:r>
        <w:rPr>
          <w:rFonts w:ascii="Times New Roman" w:hAnsi="Times New Roman" w:eastAsia="仿宋" w:cs="Times New Roman"/>
          <w:sz w:val="24"/>
          <w:szCs w:val="24"/>
        </w:rPr>
        <w:t>0</w:t>
      </w:r>
    </w:p>
    <w:p w14:paraId="69B050D9">
      <w:pPr>
        <w:snapToGrid/>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val="en-US" w:eastAsia="zh-CN"/>
        </w:rPr>
        <w:t>信工2402</w:t>
      </w:r>
    </w:p>
    <w:p w14:paraId="6A82477E">
      <w:pPr>
        <w:snapToGrid/>
        <w:spacing w:line="360" w:lineRule="auto"/>
        <w:ind w:firstLine="480" w:firstLineChars="200"/>
        <w:rPr>
          <w:rFonts w:hint="default" w:ascii="Times New Roman" w:hAnsi="Times New Roman" w:eastAsia="仿宋" w:cs="Times New Roman"/>
          <w:sz w:val="24"/>
          <w:szCs w:val="24"/>
          <w:lang w:val="en-US" w:eastAsia="zh-CN"/>
        </w:rPr>
      </w:pPr>
    </w:p>
    <w:p w14:paraId="52E7C001">
      <w:pPr>
        <w:pStyle w:val="3"/>
        <w:keepNext w:val="0"/>
        <w:keepLines w:val="0"/>
        <w:widowControl/>
        <w:numPr>
          <w:ilvl w:val="0"/>
          <w:numId w:val="1"/>
        </w:numPr>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引言</w:t>
      </w:r>
    </w:p>
    <w:p w14:paraId="3C78C8A8">
      <w:pPr>
        <w:pStyle w:val="3"/>
        <w:keepNext w:val="0"/>
        <w:keepLines w:val="0"/>
        <w:widowControl/>
        <w:numPr>
          <w:ilvl w:val="0"/>
          <w:numId w:val="0"/>
        </w:numPr>
        <w:suppressLineNumbers w:val="0"/>
        <w:snapToGrid/>
        <w:spacing w:before="0" w:beforeAutospacing="0" w:after="0" w:afterAutospacing="0" w:line="360" w:lineRule="auto"/>
        <w:ind w:firstLine="480" w:firstLineChars="200"/>
        <w:outlineLvl w:val="1"/>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在数字化与智能化浪潮席卷全球的当下，科技企业成为推动产业升级与社会进步的核心力量。为探寻行业前沿技术与创新发展模式，笔者实地走访大华集团与海康威视，聚焦其智能技术研发、战略规划及业务拓展实践，力求提炼可借鉴的发展经验。</w:t>
      </w:r>
    </w:p>
    <w:p w14:paraId="54B5C7E3">
      <w:pPr>
        <w:pStyle w:val="3"/>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二、大华集团参访洞察</w:t>
      </w:r>
    </w:p>
    <w:p w14:paraId="7C2F4329">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（一）</w:t>
      </w:r>
      <w:r>
        <w:rPr>
          <w:rFonts w:hint="default" w:ascii="Times New Roman" w:hAnsi="Times New Roman" w:cs="Times New Roman" w:eastAsiaTheme="minorEastAsia"/>
          <w:b w:val="0"/>
          <w:bCs w:val="0"/>
          <w:sz w:val="24"/>
          <w:szCs w:val="24"/>
        </w:rPr>
        <w:t>Dahua Think#</w:t>
      </w:r>
      <w:r>
        <w:rPr>
          <w:rFonts w:hint="eastAsia" w:asciiTheme="minorEastAsia" w:hAnsiTheme="minorEastAsia" w:eastAsiaTheme="minorEastAsia" w:cstheme="minorEastAsia"/>
          <w:b w:val="0"/>
          <w:bCs w:val="0"/>
          <w:sz w:val="24"/>
          <w:szCs w:val="24"/>
        </w:rPr>
        <w:t>战略规划解析</w:t>
      </w:r>
    </w:p>
    <w:p w14:paraId="4DCDBF1E">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2021</w:t>
      </w:r>
      <w:r>
        <w:rPr>
          <w:rFonts w:hint="eastAsia" w:asciiTheme="minorEastAsia" w:hAnsiTheme="minorEastAsia" w:eastAsiaTheme="minorEastAsia" w:cstheme="minorEastAsia"/>
          <w:b w:val="0"/>
          <w:bCs w:val="0"/>
          <w:kern w:val="0"/>
          <w:sz w:val="24"/>
          <w:szCs w:val="24"/>
          <w:lang w:val="en-US" w:eastAsia="zh-CN" w:bidi="ar"/>
        </w:rPr>
        <w:t>年，大华推出</w:t>
      </w:r>
      <w:r>
        <w:rPr>
          <w:rFonts w:hint="default" w:ascii="Times New Roman" w:hAnsi="Times New Roman" w:cs="Times New Roman" w:eastAsiaTheme="minorEastAsia"/>
          <w:b w:val="0"/>
          <w:bCs w:val="0"/>
          <w:kern w:val="0"/>
          <w:sz w:val="24"/>
          <w:szCs w:val="24"/>
          <w:lang w:val="en-US" w:eastAsia="zh-CN" w:bidi="ar"/>
        </w:rPr>
        <w:t>Dahua Think#</w:t>
      </w:r>
      <w:r>
        <w:rPr>
          <w:rFonts w:hint="eastAsia" w:asciiTheme="minorEastAsia" w:hAnsiTheme="minorEastAsia" w:eastAsiaTheme="minorEastAsia" w:cstheme="minorEastAsia"/>
          <w:b w:val="0"/>
          <w:bCs w:val="0"/>
          <w:kern w:val="0"/>
          <w:sz w:val="24"/>
          <w:szCs w:val="24"/>
          <w:lang w:val="en-US" w:eastAsia="zh-CN" w:bidi="ar"/>
        </w:rPr>
        <w:t>“云联万物，数智未来” 战略，聚焦城市与企业数智化转型。两年间，在城市服务领域积累</w:t>
      </w:r>
      <w:r>
        <w:rPr>
          <w:rFonts w:hint="default" w:ascii="Times New Roman" w:hAnsi="Times New Roman" w:cs="Times New Roman" w:eastAsiaTheme="minorEastAsia"/>
          <w:b w:val="0"/>
          <w:bCs w:val="0"/>
          <w:kern w:val="0"/>
          <w:sz w:val="24"/>
          <w:szCs w:val="24"/>
          <w:lang w:val="en-US" w:eastAsia="zh-CN" w:bidi="ar"/>
        </w:rPr>
        <w:t>5000+</w:t>
      </w:r>
      <w:r>
        <w:rPr>
          <w:rFonts w:hint="eastAsia" w:asciiTheme="minorEastAsia" w:hAnsiTheme="minorEastAsia" w:eastAsiaTheme="minorEastAsia" w:cstheme="minorEastAsia"/>
          <w:b w:val="0"/>
          <w:bCs w:val="0"/>
          <w:kern w:val="0"/>
          <w:sz w:val="24"/>
          <w:szCs w:val="24"/>
          <w:lang w:val="en-US" w:eastAsia="zh-CN" w:bidi="ar"/>
        </w:rPr>
        <w:t>细分场景案例，参与制定</w:t>
      </w:r>
      <w:r>
        <w:rPr>
          <w:rFonts w:hint="default" w:ascii="Times New Roman" w:hAnsi="Times New Roman" w:cs="Times New Roman" w:eastAsiaTheme="minorEastAsia"/>
          <w:b w:val="0"/>
          <w:bCs w:val="0"/>
          <w:kern w:val="0"/>
          <w:sz w:val="24"/>
          <w:szCs w:val="24"/>
          <w:lang w:val="en-US" w:eastAsia="zh-CN" w:bidi="ar"/>
        </w:rPr>
        <w:t>60</w:t>
      </w:r>
      <w:r>
        <w:rPr>
          <w:rFonts w:hint="eastAsia" w:asciiTheme="minorEastAsia" w:hAnsiTheme="minorEastAsia" w:eastAsiaTheme="minorEastAsia" w:cstheme="minorEastAsia"/>
          <w:b w:val="0"/>
          <w:bCs w:val="0"/>
          <w:kern w:val="0"/>
          <w:sz w:val="24"/>
          <w:szCs w:val="24"/>
          <w:lang w:val="en-US" w:eastAsia="zh-CN" w:bidi="ar"/>
        </w:rPr>
        <w:t>余项行业标准；企业业务覆盖</w:t>
      </w:r>
      <w:r>
        <w:rPr>
          <w:rFonts w:hint="default" w:ascii="Times New Roman" w:hAnsi="Times New Roman" w:cs="Times New Roman" w:eastAsiaTheme="minorEastAsia"/>
          <w:b w:val="0"/>
          <w:bCs w:val="0"/>
          <w:kern w:val="0"/>
          <w:sz w:val="24"/>
          <w:szCs w:val="24"/>
          <w:lang w:val="en-US" w:eastAsia="zh-CN" w:bidi="ar"/>
        </w:rPr>
        <w:t>3000+</w:t>
      </w:r>
      <w:r>
        <w:rPr>
          <w:rFonts w:hint="eastAsia" w:asciiTheme="minorEastAsia" w:hAnsiTheme="minorEastAsia" w:eastAsiaTheme="minorEastAsia" w:cstheme="minorEastAsia"/>
          <w:b w:val="0"/>
          <w:bCs w:val="0"/>
          <w:kern w:val="0"/>
          <w:sz w:val="24"/>
          <w:szCs w:val="24"/>
          <w:lang w:val="en-US" w:eastAsia="zh-CN" w:bidi="ar"/>
        </w:rPr>
        <w:t>场景，形成</w:t>
      </w:r>
      <w:r>
        <w:rPr>
          <w:rFonts w:hint="default" w:ascii="Times New Roman" w:hAnsi="Times New Roman" w:cs="Times New Roman" w:eastAsiaTheme="minorEastAsia"/>
          <w:b w:val="0"/>
          <w:bCs w:val="0"/>
          <w:kern w:val="0"/>
          <w:sz w:val="24"/>
          <w:szCs w:val="24"/>
          <w:lang w:val="en-US" w:eastAsia="zh-CN" w:bidi="ar"/>
        </w:rPr>
        <w:t>300+</w:t>
      </w:r>
      <w:r>
        <w:rPr>
          <w:rFonts w:hint="eastAsia" w:asciiTheme="minorEastAsia" w:hAnsiTheme="minorEastAsia" w:eastAsiaTheme="minorEastAsia" w:cstheme="minorEastAsia"/>
          <w:b w:val="0"/>
          <w:bCs w:val="0"/>
          <w:kern w:val="0"/>
          <w:sz w:val="24"/>
          <w:szCs w:val="24"/>
          <w:lang w:val="en-US" w:eastAsia="zh-CN" w:bidi="ar"/>
        </w:rPr>
        <w:t>解决方案，服务超</w:t>
      </w:r>
      <w:r>
        <w:rPr>
          <w:rFonts w:hint="default" w:ascii="Times New Roman" w:hAnsi="Times New Roman" w:cs="Times New Roman" w:eastAsiaTheme="minorEastAsia"/>
          <w:b w:val="0"/>
          <w:bCs w:val="0"/>
          <w:kern w:val="0"/>
          <w:sz w:val="24"/>
          <w:szCs w:val="24"/>
          <w:lang w:val="en-US" w:eastAsia="zh-CN" w:bidi="ar"/>
        </w:rPr>
        <w:t>5</w:t>
      </w:r>
      <w:r>
        <w:rPr>
          <w:rFonts w:hint="eastAsia" w:asciiTheme="minorEastAsia" w:hAnsiTheme="minorEastAsia" w:eastAsiaTheme="minorEastAsia" w:cstheme="minorEastAsia"/>
          <w:b w:val="0"/>
          <w:bCs w:val="0"/>
          <w:kern w:val="0"/>
          <w:sz w:val="24"/>
          <w:szCs w:val="24"/>
          <w:lang w:val="en-US" w:eastAsia="zh-CN" w:bidi="ar"/>
        </w:rPr>
        <w:t>万家企业。随着场景需求碎片化及大模型技术发展，大华进入</w:t>
      </w:r>
      <w:r>
        <w:rPr>
          <w:rFonts w:hint="default" w:ascii="Times New Roman" w:hAnsi="Times New Roman" w:cs="Times New Roman" w:eastAsiaTheme="minorEastAsia"/>
          <w:b w:val="0"/>
          <w:bCs w:val="0"/>
          <w:kern w:val="0"/>
          <w:sz w:val="24"/>
          <w:szCs w:val="24"/>
          <w:lang w:val="en-US" w:eastAsia="zh-CN" w:bidi="ar"/>
        </w:rPr>
        <w:t>Think#2.0</w:t>
      </w:r>
      <w:r>
        <w:rPr>
          <w:rFonts w:hint="eastAsia" w:asciiTheme="minorEastAsia" w:hAnsiTheme="minorEastAsia" w:eastAsiaTheme="minorEastAsia" w:cstheme="minorEastAsia"/>
          <w:b w:val="0"/>
          <w:bCs w:val="0"/>
          <w:kern w:val="0"/>
          <w:sz w:val="24"/>
          <w:szCs w:val="24"/>
          <w:lang w:val="en-US" w:eastAsia="zh-CN" w:bidi="ar"/>
        </w:rPr>
        <w:t>阶段，依托多模态融合、行业大模型等技术，构建</w:t>
      </w:r>
      <w:r>
        <w:rPr>
          <w:rFonts w:hint="default" w:ascii="Times New Roman" w:hAnsi="Times New Roman" w:cs="Times New Roman" w:eastAsiaTheme="minorEastAsia"/>
          <w:b w:val="0"/>
          <w:bCs w:val="0"/>
          <w:kern w:val="0"/>
          <w:sz w:val="24"/>
          <w:szCs w:val="24"/>
          <w:lang w:val="en-US" w:eastAsia="zh-CN" w:bidi="ar"/>
        </w:rPr>
        <w:t>AIoT</w:t>
      </w:r>
      <w:r>
        <w:rPr>
          <w:rFonts w:hint="eastAsia" w:asciiTheme="minorEastAsia" w:hAnsiTheme="minorEastAsia" w:eastAsiaTheme="minorEastAsia" w:cstheme="minorEastAsia"/>
          <w:b w:val="0"/>
          <w:bCs w:val="0"/>
          <w:kern w:val="0"/>
          <w:sz w:val="24"/>
          <w:szCs w:val="24"/>
          <w:lang w:val="en-US" w:eastAsia="zh-CN" w:bidi="ar"/>
        </w:rPr>
        <w:t>融合智能体系，激活视频数据价值，赋能全场景数智化转型。</w:t>
      </w:r>
    </w:p>
    <w:p w14:paraId="79B85EA4">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（二）前沿技术展示</w:t>
      </w:r>
    </w:p>
    <w:p w14:paraId="79C23856">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大华构建全域</w:t>
      </w:r>
      <w:r>
        <w:rPr>
          <w:rFonts w:hint="default" w:ascii="Times New Roman" w:hAnsi="Times New Roman" w:cs="Times New Roman" w:eastAsiaTheme="minorEastAsia"/>
          <w:b w:val="0"/>
          <w:bCs w:val="0"/>
          <w:kern w:val="0"/>
          <w:sz w:val="24"/>
          <w:szCs w:val="24"/>
          <w:lang w:val="en-US" w:eastAsia="zh-CN" w:bidi="ar"/>
        </w:rPr>
        <w:t>6D</w:t>
      </w:r>
      <w:r>
        <w:rPr>
          <w:rFonts w:hint="eastAsia" w:asciiTheme="minorEastAsia" w:hAnsiTheme="minorEastAsia" w:eastAsiaTheme="minorEastAsia" w:cstheme="minorEastAsia"/>
          <w:b w:val="0"/>
          <w:bCs w:val="0"/>
          <w:kern w:val="0"/>
          <w:sz w:val="24"/>
          <w:szCs w:val="24"/>
          <w:lang w:val="en-US" w:eastAsia="zh-CN" w:bidi="ar"/>
        </w:rPr>
        <w:t>感知技术架构，融合视觉、红外、微波等多源技术，实现空间、时间、色彩等维度数据融合，显著提升复杂环境下的目标识别能力。在</w:t>
      </w:r>
      <w:r>
        <w:rPr>
          <w:rFonts w:hint="default" w:ascii="Times New Roman" w:hAnsi="Times New Roman" w:cs="Times New Roman" w:eastAsiaTheme="minorEastAsia"/>
          <w:b w:val="0"/>
          <w:bCs w:val="0"/>
          <w:kern w:val="0"/>
          <w:sz w:val="24"/>
          <w:szCs w:val="24"/>
          <w:lang w:val="en-US" w:eastAsia="zh-CN" w:bidi="ar"/>
        </w:rPr>
        <w:t>8K</w:t>
      </w:r>
      <w:r>
        <w:rPr>
          <w:rFonts w:hint="eastAsia" w:asciiTheme="minorEastAsia" w:hAnsiTheme="minorEastAsia" w:eastAsiaTheme="minorEastAsia" w:cstheme="minorEastAsia"/>
          <w:b w:val="0"/>
          <w:bCs w:val="0"/>
          <w:kern w:val="0"/>
          <w:sz w:val="24"/>
          <w:szCs w:val="24"/>
          <w:lang w:val="en-US" w:eastAsia="zh-CN" w:bidi="ar"/>
        </w:rPr>
        <w:t>全域技术上</w:t>
      </w:r>
      <w:r>
        <w:rPr>
          <w:rFonts w:hint="eastAsia" w:asciiTheme="minorEastAsia" w:hAnsiTheme="minorEastAsia" w:cstheme="minorEastAsia"/>
          <w:b w:val="0"/>
          <w:bCs w:val="0"/>
          <w:kern w:val="0"/>
          <w:sz w:val="24"/>
          <w:szCs w:val="24"/>
          <w:lang w:val="en-US" w:eastAsia="zh-CN" w:bidi="ar"/>
        </w:rPr>
        <w:t>，</w:t>
      </w:r>
      <w:r>
        <w:rPr>
          <w:rFonts w:hint="default" w:ascii="Times New Roman" w:hAnsi="Times New Roman" w:cs="Times New Roman" w:eastAsiaTheme="minorEastAsia"/>
          <w:b w:val="0"/>
          <w:bCs w:val="0"/>
          <w:kern w:val="0"/>
          <w:sz w:val="24"/>
          <w:szCs w:val="24"/>
          <w:lang w:val="en-US" w:eastAsia="zh-CN" w:bidi="ar"/>
        </w:rPr>
        <w:t>NVR6</w:t>
      </w:r>
      <w:r>
        <w:rPr>
          <w:rFonts w:hint="eastAsia" w:asciiTheme="minorEastAsia" w:hAnsiTheme="minorEastAsia" w:eastAsiaTheme="minorEastAsia" w:cstheme="minorEastAsia"/>
          <w:b w:val="0"/>
          <w:bCs w:val="0"/>
          <w:kern w:val="0"/>
          <w:sz w:val="24"/>
          <w:szCs w:val="24"/>
          <w:lang w:val="en-US" w:eastAsia="zh-CN" w:bidi="ar"/>
        </w:rPr>
        <w:t>系列智能一体机搭配全景相机，通过</w:t>
      </w:r>
      <w:r>
        <w:rPr>
          <w:rFonts w:hint="default" w:ascii="Times New Roman" w:hAnsi="Times New Roman" w:cs="Times New Roman" w:eastAsiaTheme="minorEastAsia"/>
          <w:b w:val="0"/>
          <w:bCs w:val="0"/>
          <w:kern w:val="0"/>
          <w:sz w:val="24"/>
          <w:szCs w:val="24"/>
          <w:lang w:val="en-US" w:eastAsia="zh-CN" w:bidi="ar"/>
        </w:rPr>
        <w:t>4</w:t>
      </w:r>
      <w:r>
        <w:rPr>
          <w:rFonts w:hint="eastAsia" w:asciiTheme="minorEastAsia" w:hAnsiTheme="minorEastAsia" w:eastAsiaTheme="minorEastAsia" w:cstheme="minorEastAsia"/>
          <w:b w:val="0"/>
          <w:bCs w:val="0"/>
          <w:kern w:val="0"/>
          <w:sz w:val="24"/>
          <w:szCs w:val="24"/>
          <w:lang w:val="en-US" w:eastAsia="zh-CN" w:bidi="ar"/>
        </w:rPr>
        <w:t>个</w:t>
      </w:r>
      <w:r>
        <w:rPr>
          <w:rFonts w:hint="default" w:ascii="Times New Roman" w:hAnsi="Times New Roman" w:cs="Times New Roman" w:eastAsiaTheme="minorEastAsia"/>
          <w:b w:val="0"/>
          <w:bCs w:val="0"/>
          <w:kern w:val="0"/>
          <w:sz w:val="24"/>
          <w:szCs w:val="24"/>
          <w:lang w:val="en-US" w:eastAsia="zh-CN" w:bidi="ar"/>
        </w:rPr>
        <w:t>HDMI</w:t>
      </w:r>
      <w:r>
        <w:rPr>
          <w:rFonts w:hint="eastAsia" w:asciiTheme="minorEastAsia" w:hAnsiTheme="minorEastAsia" w:eastAsiaTheme="minorEastAsia" w:cstheme="minorEastAsia"/>
          <w:b w:val="0"/>
          <w:bCs w:val="0"/>
          <w:kern w:val="0"/>
          <w:sz w:val="24"/>
          <w:szCs w:val="24"/>
          <w:lang w:val="en-US" w:eastAsia="zh-CN" w:bidi="ar"/>
        </w:rPr>
        <w:t>异源输出实现分屏显示，可减少监控盲区，满足机场、商场等大型场所高清监控需求。此外，空域管制技术可实时监测无人机入侵；时域感知技术用于交通流量分析；色域感知技术则应用于文物保护等对色彩敏感场景。</w:t>
      </w:r>
    </w:p>
    <w:p w14:paraId="0B349C20">
      <w:pPr>
        <w:keepNext w:val="0"/>
        <w:keepLines w:val="0"/>
        <w:widowControl/>
        <w:suppressLineNumbers w:val="0"/>
        <w:snapToGrid/>
        <w:spacing w:beforeAutospacing="0" w:afterAutospacing="0" w:line="360" w:lineRule="auto"/>
        <w:ind w:firstLine="480" w:firstLineChars="200"/>
        <w:jc w:val="center"/>
        <w:rPr>
          <w:rFonts w:hint="eastAsia" w:asciiTheme="minorEastAsia" w:hAnsiTheme="minorEastAsia" w:eastAsiaTheme="minorEastAsia" w:cstheme="minorEastAsia"/>
          <w:b w:val="0"/>
          <w:bCs w:val="0"/>
          <w:kern w:val="0"/>
          <w:sz w:val="21"/>
          <w:szCs w:val="21"/>
          <w:lang w:val="en-US" w:eastAsia="zh-CN" w:bidi="ar"/>
        </w:rPr>
      </w:pPr>
      <w:r>
        <w:rPr>
          <w:rFonts w:hint="eastAsia" w:asciiTheme="minorEastAsia" w:hAnsiTheme="minorEastAsia" w:eastAsiaTheme="minorEastAsia" w:cstheme="minorEastAsia"/>
          <w:b w:val="0"/>
          <w:bCs w:val="0"/>
          <w:kern w:val="0"/>
          <w:sz w:val="24"/>
          <w:szCs w:val="24"/>
          <w:lang w:val="en-US" w:eastAsia="zh-CN" w:bidi="ar"/>
        </w:rPr>
        <w:drawing>
          <wp:inline distT="0" distB="0" distL="114300" distR="114300">
            <wp:extent cx="4655185" cy="3451860"/>
            <wp:effectExtent l="0" t="0" r="2540" b="5715"/>
            <wp:docPr id="1" name="图片 1" descr="60950e320237838b754fea391b46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0950e320237838b754fea391b468da"/>
                    <pic:cNvPicPr>
                      <a:picLocks noChangeAspect="1"/>
                    </pic:cNvPicPr>
                  </pic:nvPicPr>
                  <pic:blipFill>
                    <a:blip r:embed="rId4"/>
                    <a:srcRect t="10535" b="33872"/>
                    <a:stretch>
                      <a:fillRect/>
                    </a:stretch>
                  </pic:blipFill>
                  <pic:spPr>
                    <a:xfrm>
                      <a:off x="0" y="0"/>
                      <a:ext cx="4655185" cy="3451860"/>
                    </a:xfrm>
                    <a:prstGeom prst="rect">
                      <a:avLst/>
                    </a:prstGeom>
                  </pic:spPr>
                </pic:pic>
              </a:graphicData>
            </a:graphic>
          </wp:inline>
        </w:drawing>
      </w:r>
    </w:p>
    <w:p w14:paraId="6659E64B">
      <w:pPr>
        <w:keepNext w:val="0"/>
        <w:keepLines w:val="0"/>
        <w:widowControl/>
        <w:suppressLineNumbers w:val="0"/>
        <w:snapToGrid/>
        <w:spacing w:beforeAutospacing="0" w:afterAutospacing="0" w:line="360" w:lineRule="auto"/>
        <w:ind w:firstLine="420" w:firstLineChars="200"/>
        <w:jc w:val="center"/>
        <w:rPr>
          <w:rFonts w:hint="default" w:asciiTheme="minorEastAsia" w:hAnsiTheme="minorEastAsia" w:eastAsiaTheme="minorEastAsia" w:cstheme="minorEastAsia"/>
          <w:b w:val="0"/>
          <w:bCs w:val="0"/>
          <w:kern w:val="0"/>
          <w:sz w:val="21"/>
          <w:szCs w:val="21"/>
          <w:lang w:val="en-US" w:eastAsia="zh-CN" w:bidi="ar"/>
        </w:rPr>
      </w:pPr>
      <w:r>
        <w:rPr>
          <w:rFonts w:hint="eastAsia" w:asciiTheme="minorEastAsia" w:hAnsiTheme="minorEastAsia" w:cstheme="minorEastAsia"/>
          <w:b w:val="0"/>
          <w:bCs w:val="0"/>
          <w:kern w:val="0"/>
          <w:sz w:val="21"/>
          <w:szCs w:val="21"/>
          <w:lang w:val="en-US" w:eastAsia="zh-CN" w:bidi="ar"/>
        </w:rPr>
        <w:t>大华集团主要的业务定位与产品一览</w:t>
      </w:r>
    </w:p>
    <w:p w14:paraId="71E8477E">
      <w:pPr>
        <w:keepNext w:val="0"/>
        <w:keepLines w:val="0"/>
        <w:widowControl/>
        <w:suppressLineNumbers w:val="0"/>
        <w:snapToGrid/>
        <w:spacing w:beforeAutospacing="0" w:afterAutospacing="0" w:line="360" w:lineRule="auto"/>
        <w:ind w:firstLine="480" w:firstLineChars="200"/>
        <w:jc w:val="center"/>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drawing>
          <wp:inline distT="0" distB="0" distL="114300" distR="114300">
            <wp:extent cx="4413885" cy="4428490"/>
            <wp:effectExtent l="0" t="0" r="5715" b="635"/>
            <wp:docPr id="2" name="图片 2" descr="10a46cbe1465de3b3290daee2558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a46cbe1465de3b3290daee255846c"/>
                    <pic:cNvPicPr>
                      <a:picLocks noChangeAspect="1"/>
                    </pic:cNvPicPr>
                  </pic:nvPicPr>
                  <pic:blipFill>
                    <a:blip r:embed="rId5"/>
                    <a:stretch>
                      <a:fillRect/>
                    </a:stretch>
                  </pic:blipFill>
                  <pic:spPr>
                    <a:xfrm>
                      <a:off x="0" y="0"/>
                      <a:ext cx="4413885" cy="4428490"/>
                    </a:xfrm>
                    <a:prstGeom prst="rect">
                      <a:avLst/>
                    </a:prstGeom>
                  </pic:spPr>
                </pic:pic>
              </a:graphicData>
            </a:graphic>
          </wp:inline>
        </w:drawing>
      </w:r>
    </w:p>
    <w:p w14:paraId="6B8B9B67">
      <w:pPr>
        <w:keepNext w:val="0"/>
        <w:keepLines w:val="0"/>
        <w:widowControl/>
        <w:suppressLineNumbers w:val="0"/>
        <w:snapToGrid/>
        <w:spacing w:beforeAutospacing="0" w:afterAutospacing="0" w:line="360" w:lineRule="auto"/>
        <w:ind w:firstLine="420" w:firstLineChars="200"/>
        <w:jc w:val="center"/>
        <w:rPr>
          <w:rFonts w:hint="default" w:ascii="宋体" w:hAnsi="宋体" w:eastAsia="宋体" w:cs="宋体"/>
          <w:b w:val="0"/>
          <w:bCs w:val="0"/>
          <w:kern w:val="0"/>
          <w:sz w:val="21"/>
          <w:szCs w:val="21"/>
          <w:lang w:val="en-US" w:eastAsia="zh-CN" w:bidi="ar"/>
        </w:rPr>
      </w:pPr>
      <w:r>
        <w:rPr>
          <w:rFonts w:hint="eastAsia" w:ascii="宋体" w:hAnsi="宋体" w:eastAsia="宋体" w:cs="宋体"/>
          <w:b w:val="0"/>
          <w:bCs w:val="0"/>
          <w:kern w:val="0"/>
          <w:sz w:val="21"/>
          <w:szCs w:val="21"/>
          <w:lang w:val="en-US" w:eastAsia="zh-CN" w:bidi="ar"/>
        </w:rPr>
        <w:t>大华集团双向射频通信与网络互连相关的产品</w:t>
      </w:r>
    </w:p>
    <w:p w14:paraId="22CE8FB7">
      <w:pPr>
        <w:pStyle w:val="3"/>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三、海康威视参访收获</w:t>
      </w:r>
    </w:p>
    <w:p w14:paraId="39CFD8B4">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（一）战略规划与业务布局</w:t>
      </w:r>
    </w:p>
    <w:p w14:paraId="4665F4A1">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海康威视以 “专业、厚实、诚信” 为经营理念，秉持 “成就客户、价值为本、诚信务实、追求卓越” 的核心价值观，聚焦物联感知、人工智能和大数据技术创新，制定 “云边端” 协同发展战略。业务覆盖全球 150 多个国家和地区，在安防、交通、工业、金融、教育、医疗等多领域深入布局。在安防领域，提供从前端智能摄像机、后端大容量存储设备到中心控制软件的全链条解决方案；智能交通方面，电子警察抓拍系统与流量监测设备为交通管理提供数据支撑；在工业领域，助力企业实现生产监控智能化；金融领域推出远程视频银行等创新应用；教育智慧教室、医疗远程诊疗等项目也在持续推进，全面助力各行业智能化升级。</w:t>
      </w:r>
    </w:p>
    <w:p w14:paraId="35F774B4">
      <w:pPr>
        <w:pStyle w:val="4"/>
        <w:keepNext w:val="0"/>
        <w:keepLines w:val="0"/>
        <w:widowControl/>
        <w:numPr>
          <w:ilvl w:val="0"/>
          <w:numId w:val="2"/>
        </w:numPr>
        <w:suppressLineNumbers w:val="0"/>
        <w:snapToGrid/>
        <w:spacing w:before="0" w:beforeAutospacing="0" w:after="0" w:afterAutospacing="0" w:line="360" w:lineRule="auto"/>
        <w:ind w:left="0" w:leftChars="0"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技术研发与创新成果</w:t>
      </w:r>
    </w:p>
    <w:p w14:paraId="4447C28B">
      <w:pPr>
        <w:pStyle w:val="4"/>
        <w:keepNext w:val="0"/>
        <w:keepLines w:val="0"/>
        <w:widowControl/>
        <w:numPr>
          <w:ilvl w:val="0"/>
          <w:numId w:val="0"/>
        </w:numPr>
        <w:suppressLineNumbers w:val="0"/>
        <w:snapToGrid/>
        <w:spacing w:before="0" w:beforeAutospacing="0" w:after="0" w:afterAutospacing="0" w:line="360" w:lineRule="auto"/>
        <w:ind w:firstLine="420" w:firstLineChars="0"/>
        <w:jc w:val="both"/>
        <w:outlineLvl w:val="2"/>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海康威视高度重视技术研发，研发人员占比超</w:t>
      </w:r>
      <w:r>
        <w:rPr>
          <w:rFonts w:hint="default" w:ascii="Times New Roman" w:hAnsi="Times New Roman" w:cs="Times New Roman" w:eastAsiaTheme="minorEastAsia"/>
          <w:b w:val="0"/>
          <w:bCs w:val="0"/>
          <w:kern w:val="0"/>
          <w:sz w:val="24"/>
          <w:szCs w:val="24"/>
          <w:lang w:val="en-US" w:eastAsia="zh-CN" w:bidi="ar"/>
        </w:rPr>
        <w:t>40%</w:t>
      </w:r>
      <w:r>
        <w:rPr>
          <w:rFonts w:hint="eastAsia" w:asciiTheme="minorEastAsia" w:hAnsiTheme="minorEastAsia" w:eastAsiaTheme="minorEastAsia" w:cstheme="minorEastAsia"/>
          <w:b w:val="0"/>
          <w:bCs w:val="0"/>
          <w:kern w:val="0"/>
          <w:sz w:val="24"/>
          <w:szCs w:val="24"/>
          <w:lang w:val="en-US" w:eastAsia="zh-CN" w:bidi="ar"/>
        </w:rPr>
        <w:t>，每年研发投入占营收比例超</w:t>
      </w:r>
      <w:r>
        <w:rPr>
          <w:rFonts w:hint="default" w:ascii="Times New Roman" w:hAnsi="Times New Roman" w:cs="Times New Roman" w:eastAsiaTheme="minorEastAsia"/>
          <w:b w:val="0"/>
          <w:bCs w:val="0"/>
          <w:kern w:val="0"/>
          <w:sz w:val="24"/>
          <w:szCs w:val="24"/>
          <w:lang w:val="en-US" w:eastAsia="zh-CN" w:bidi="ar"/>
        </w:rPr>
        <w:t>10%</w:t>
      </w:r>
      <w:r>
        <w:rPr>
          <w:rFonts w:hint="eastAsia" w:asciiTheme="minorEastAsia" w:hAnsiTheme="minorEastAsia" w:eastAsiaTheme="minorEastAsia" w:cstheme="minorEastAsia"/>
          <w:b w:val="0"/>
          <w:bCs w:val="0"/>
          <w:kern w:val="0"/>
          <w:sz w:val="24"/>
          <w:szCs w:val="24"/>
          <w:lang w:val="en-US" w:eastAsia="zh-CN" w:bidi="ar"/>
        </w:rPr>
        <w:t>。在人工智能领域，其自主研发的</w:t>
      </w:r>
      <w:r>
        <w:rPr>
          <w:rFonts w:hint="eastAsia" w:ascii="Times New Roman" w:hAnsi="Times New Roman" w:cs="Times New Roman" w:eastAsiaTheme="minorEastAsia"/>
          <w:b w:val="0"/>
          <w:bCs w:val="0"/>
          <w:kern w:val="0"/>
          <w:sz w:val="24"/>
          <w:szCs w:val="24"/>
          <w:lang w:val="en-US" w:eastAsia="zh-CN" w:bidi="ar"/>
        </w:rPr>
        <w:t>AI</w:t>
      </w:r>
      <w:r>
        <w:rPr>
          <w:rFonts w:hint="eastAsia" w:asciiTheme="minorEastAsia" w:hAnsiTheme="minorEastAsia" w:eastAsiaTheme="minorEastAsia" w:cstheme="minorEastAsia"/>
          <w:b w:val="0"/>
          <w:bCs w:val="0"/>
          <w:kern w:val="0"/>
          <w:sz w:val="24"/>
          <w:szCs w:val="24"/>
          <w:lang w:val="en-US" w:eastAsia="zh-CN" w:bidi="ar"/>
        </w:rPr>
        <w:t>开放平台，支持多种算法接入与训练，可快速满足不同行业的智能分析需求。在视频图像处理技术上，不断突破高清、超高清画质的瓶颈，推出的</w:t>
      </w:r>
      <w:r>
        <w:rPr>
          <w:rFonts w:hint="default" w:ascii="Times New Roman" w:hAnsi="Times New Roman" w:cs="Times New Roman" w:eastAsiaTheme="minorEastAsia"/>
          <w:b w:val="0"/>
          <w:bCs w:val="0"/>
          <w:kern w:val="0"/>
          <w:sz w:val="24"/>
          <w:szCs w:val="24"/>
          <w:lang w:val="en-US" w:eastAsia="zh-CN" w:bidi="ar"/>
        </w:rPr>
        <w:t>8K</w:t>
      </w:r>
      <w:r>
        <w:rPr>
          <w:rFonts w:hint="eastAsia" w:asciiTheme="minorEastAsia" w:hAnsiTheme="minorEastAsia" w:eastAsiaTheme="minorEastAsia" w:cstheme="minorEastAsia"/>
          <w:b w:val="0"/>
          <w:bCs w:val="0"/>
          <w:kern w:val="0"/>
          <w:sz w:val="24"/>
          <w:szCs w:val="24"/>
          <w:lang w:val="en-US" w:eastAsia="zh-CN" w:bidi="ar"/>
        </w:rPr>
        <w:t>摄像机，具备高分辨率、宽动态范围等优势，能清晰捕捉复杂场景下的细节。此外，在物联网技术方面，通过自主研发的物联网平台，实现设备的统一管理与数据交互，为智慧城市、智慧园区等项目提供技术支持。</w:t>
      </w:r>
    </w:p>
    <w:p w14:paraId="06C8F6CE">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（三）生态建设与市场拓展</w:t>
      </w:r>
    </w:p>
    <w:p w14:paraId="5E4FD630">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海康威视积极构建产业生态，与上下游企业、科研机构开展广泛合作。通过建立合作伙伴计划，为合作伙伴提供技术支持、市场推广等服务，共同开发行业解决方案。在市场拓展方面，除深耕国内市场外，还积极开拓海外市场，针对不同国家和地区的市场需求与政策环境，制定差异化的市场策略，其产品和解决方案在海外市场获得广泛认可。</w:t>
      </w:r>
    </w:p>
    <w:p w14:paraId="7DBD06CB">
      <w:pPr>
        <w:keepNext w:val="0"/>
        <w:keepLines w:val="0"/>
        <w:widowControl/>
        <w:suppressLineNumbers w:val="0"/>
        <w:snapToGrid/>
        <w:spacing w:beforeAutospacing="0" w:afterAutospacing="0" w:line="360" w:lineRule="auto"/>
        <w:ind w:firstLine="480" w:firstLineChars="200"/>
        <w:jc w:val="center"/>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drawing>
          <wp:inline distT="0" distB="0" distL="114300" distR="114300">
            <wp:extent cx="4310380" cy="3232150"/>
            <wp:effectExtent l="0" t="0" r="4445" b="6350"/>
            <wp:docPr id="3" name="图片 3" descr="97cc4bdfd2c297b0ed55fbe5b923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cc4bdfd2c297b0ed55fbe5b92310e"/>
                    <pic:cNvPicPr>
                      <a:picLocks noChangeAspect="1"/>
                    </pic:cNvPicPr>
                  </pic:nvPicPr>
                  <pic:blipFill>
                    <a:blip r:embed="rId6"/>
                    <a:stretch>
                      <a:fillRect/>
                    </a:stretch>
                  </pic:blipFill>
                  <pic:spPr>
                    <a:xfrm>
                      <a:off x="0" y="0"/>
                      <a:ext cx="4310380" cy="3232150"/>
                    </a:xfrm>
                    <a:prstGeom prst="rect">
                      <a:avLst/>
                    </a:prstGeom>
                  </pic:spPr>
                </pic:pic>
              </a:graphicData>
            </a:graphic>
          </wp:inline>
        </w:drawing>
      </w:r>
    </w:p>
    <w:p w14:paraId="19FBA4F2">
      <w:pPr>
        <w:keepNext w:val="0"/>
        <w:keepLines w:val="0"/>
        <w:widowControl/>
        <w:suppressLineNumbers w:val="0"/>
        <w:snapToGrid/>
        <w:spacing w:beforeAutospacing="0" w:afterAutospacing="0" w:line="360" w:lineRule="auto"/>
        <w:ind w:firstLine="420" w:firstLineChars="200"/>
        <w:jc w:val="center"/>
        <w:rPr>
          <w:rFonts w:hint="eastAsia" w:asciiTheme="minorEastAsia" w:hAnsiTheme="minorEastAsia" w:cstheme="minorEastAsia"/>
          <w:b w:val="0"/>
          <w:bCs w:val="0"/>
          <w:kern w:val="0"/>
          <w:sz w:val="21"/>
          <w:szCs w:val="21"/>
          <w:lang w:val="en-US" w:eastAsia="zh-CN" w:bidi="ar"/>
        </w:rPr>
      </w:pPr>
      <w:r>
        <w:rPr>
          <w:rFonts w:hint="eastAsia" w:asciiTheme="minorEastAsia" w:hAnsiTheme="minorEastAsia" w:cstheme="minorEastAsia"/>
          <w:b w:val="0"/>
          <w:bCs w:val="0"/>
          <w:kern w:val="0"/>
          <w:sz w:val="21"/>
          <w:szCs w:val="21"/>
          <w:lang w:val="en-US" w:eastAsia="zh-CN" w:bidi="ar"/>
        </w:rPr>
        <w:t>海康威视智能焊接业务</w:t>
      </w:r>
    </w:p>
    <w:p w14:paraId="00E59DBD">
      <w:pPr>
        <w:keepNext w:val="0"/>
        <w:keepLines w:val="0"/>
        <w:widowControl/>
        <w:suppressLineNumbers w:val="0"/>
        <w:snapToGrid/>
        <w:spacing w:beforeAutospacing="0" w:afterAutospacing="0" w:line="360" w:lineRule="auto"/>
        <w:ind w:firstLine="420" w:firstLineChars="200"/>
        <w:jc w:val="center"/>
        <w:rPr>
          <w:rFonts w:hint="default" w:asciiTheme="minorEastAsia" w:hAnsiTheme="minorEastAsia" w:cstheme="minorEastAsia"/>
          <w:b w:val="0"/>
          <w:bCs w:val="0"/>
          <w:kern w:val="0"/>
          <w:sz w:val="21"/>
          <w:szCs w:val="21"/>
          <w:lang w:val="en-US" w:eastAsia="zh-CN" w:bidi="ar"/>
        </w:rPr>
      </w:pPr>
      <w:r>
        <w:rPr>
          <w:rFonts w:hint="default" w:asciiTheme="minorEastAsia" w:hAnsiTheme="minorEastAsia" w:cstheme="minorEastAsia"/>
          <w:b w:val="0"/>
          <w:bCs w:val="0"/>
          <w:kern w:val="0"/>
          <w:sz w:val="21"/>
          <w:szCs w:val="21"/>
          <w:lang w:val="en-US" w:eastAsia="zh-CN" w:bidi="ar"/>
        </w:rPr>
        <w:drawing>
          <wp:inline distT="0" distB="0" distL="114300" distR="114300">
            <wp:extent cx="5269230" cy="3879850"/>
            <wp:effectExtent l="0" t="0" r="0" b="0"/>
            <wp:docPr id="4" name="图片 4" descr="e4b71ee11e316165545bf585352b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4b71ee11e316165545bf585352b10b"/>
                    <pic:cNvPicPr>
                      <a:picLocks noChangeAspect="1"/>
                    </pic:cNvPicPr>
                  </pic:nvPicPr>
                  <pic:blipFill>
                    <a:blip r:embed="rId7"/>
                    <a:srcRect t="24395" b="20401"/>
                    <a:stretch>
                      <a:fillRect/>
                    </a:stretch>
                  </pic:blipFill>
                  <pic:spPr>
                    <a:xfrm>
                      <a:off x="0" y="0"/>
                      <a:ext cx="5269230" cy="3879850"/>
                    </a:xfrm>
                    <a:prstGeom prst="rect">
                      <a:avLst/>
                    </a:prstGeom>
                  </pic:spPr>
                </pic:pic>
              </a:graphicData>
            </a:graphic>
          </wp:inline>
        </w:drawing>
      </w:r>
      <w:bookmarkStart w:id="0" w:name="_GoBack"/>
      <w:bookmarkEnd w:id="0"/>
    </w:p>
    <w:p w14:paraId="1642193B">
      <w:pPr>
        <w:keepNext w:val="0"/>
        <w:keepLines w:val="0"/>
        <w:widowControl/>
        <w:suppressLineNumbers w:val="0"/>
        <w:snapToGrid/>
        <w:spacing w:beforeAutospacing="0" w:afterAutospacing="0" w:line="360" w:lineRule="auto"/>
        <w:ind w:firstLine="420" w:firstLineChars="200"/>
        <w:jc w:val="center"/>
        <w:rPr>
          <w:rFonts w:hint="default" w:asciiTheme="minorEastAsia" w:hAnsiTheme="minorEastAsia" w:cstheme="minorEastAsia"/>
          <w:b w:val="0"/>
          <w:bCs w:val="0"/>
          <w:kern w:val="0"/>
          <w:sz w:val="21"/>
          <w:szCs w:val="21"/>
          <w:lang w:val="en-US" w:eastAsia="zh-CN" w:bidi="ar"/>
        </w:rPr>
      </w:pPr>
      <w:r>
        <w:rPr>
          <w:rFonts w:hint="eastAsia" w:asciiTheme="minorEastAsia" w:hAnsiTheme="minorEastAsia" w:cstheme="minorEastAsia"/>
          <w:b w:val="0"/>
          <w:bCs w:val="0"/>
          <w:kern w:val="0"/>
          <w:sz w:val="21"/>
          <w:szCs w:val="21"/>
          <w:lang w:val="en-US" w:eastAsia="zh-CN" w:bidi="ar"/>
        </w:rPr>
        <w:t>在海康威视开展的座谈会，此页介绍海康威视的规模与影响力</w:t>
      </w:r>
    </w:p>
    <w:p w14:paraId="1BAEC704">
      <w:pPr>
        <w:pStyle w:val="3"/>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四、“智能”与“创新”双轮驱动的对比分析</w:t>
      </w:r>
    </w:p>
    <w:p w14:paraId="205DC608">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（一）智能技术研发侧重点</w:t>
      </w:r>
    </w:p>
    <w:p w14:paraId="393213F0">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大华侧重构建多维度融合智能体系，通过全域感知技术整合多源数据，为城市治理提供综合决策支持。海康威视则深耕安防智能分析，针对不同行业需求开发定制化方案，如交通违法抓拍、工业质量检测等智能化技术，同时在人工智能、视频图像处理等基础技术上持续突破。</w:t>
      </w:r>
    </w:p>
    <w:p w14:paraId="01B9371F">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（二）创新战略与实践</w:t>
      </w:r>
    </w:p>
    <w:p w14:paraId="254A1DA1">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大华以</w:t>
      </w:r>
      <w:r>
        <w:rPr>
          <w:rFonts w:hint="default" w:ascii="Times New Roman" w:hAnsi="Times New Roman" w:cs="Times New Roman" w:eastAsiaTheme="minorEastAsia"/>
          <w:b w:val="0"/>
          <w:bCs w:val="0"/>
          <w:kern w:val="0"/>
          <w:sz w:val="24"/>
          <w:szCs w:val="24"/>
          <w:lang w:val="en-US" w:eastAsia="zh-CN" w:bidi="ar"/>
        </w:rPr>
        <w:t>Dahua Think#</w:t>
      </w:r>
      <w:r>
        <w:rPr>
          <w:rFonts w:hint="eastAsia" w:asciiTheme="minorEastAsia" w:hAnsiTheme="minorEastAsia" w:eastAsiaTheme="minorEastAsia" w:cstheme="minorEastAsia"/>
          <w:b w:val="0"/>
          <w:bCs w:val="0"/>
          <w:kern w:val="0"/>
          <w:sz w:val="24"/>
          <w:szCs w:val="24"/>
          <w:lang w:val="en-US" w:eastAsia="zh-CN" w:bidi="ar"/>
        </w:rPr>
        <w:t>战略为引领，通过校企合作、标准制定推动技术创新，推出</w:t>
      </w:r>
      <w:r>
        <w:rPr>
          <w:rFonts w:hint="default" w:ascii="Times New Roman" w:hAnsi="Times New Roman" w:cs="Times New Roman" w:eastAsiaTheme="minorEastAsia"/>
          <w:b w:val="0"/>
          <w:bCs w:val="0"/>
          <w:kern w:val="0"/>
          <w:sz w:val="24"/>
          <w:szCs w:val="24"/>
          <w:lang w:val="en-US" w:eastAsia="zh-CN" w:bidi="ar"/>
        </w:rPr>
        <w:t>NVR6</w:t>
      </w:r>
      <w:r>
        <w:rPr>
          <w:rFonts w:hint="eastAsia" w:asciiTheme="minorEastAsia" w:hAnsiTheme="minorEastAsia" w:eastAsiaTheme="minorEastAsia" w:cstheme="minorEastAsia"/>
          <w:b w:val="0"/>
          <w:bCs w:val="0"/>
          <w:kern w:val="0"/>
          <w:sz w:val="24"/>
          <w:szCs w:val="24"/>
          <w:lang w:val="en-US" w:eastAsia="zh-CN" w:bidi="ar"/>
        </w:rPr>
        <w:t>系列等创新产品，并探索生态合作模式。海康威视凭借市场与技术优势，持续升级安防产品性能，挖掘行业痛点开发远程视频银行等创新应用，同时通过高额研发投入、构建开放生态等方式，以技术投入驱动业务拓展。</w:t>
      </w:r>
    </w:p>
    <w:p w14:paraId="2FEFD545">
      <w:pPr>
        <w:pStyle w:val="3"/>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五、对行业发展的启示</w:t>
      </w:r>
    </w:p>
    <w:p w14:paraId="53823534">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（一）技术创新推动产业升级</w:t>
      </w:r>
    </w:p>
    <w:p w14:paraId="194E52BF">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两家企业的实践证明，持续的技术创新是行业发展的核心驱动力。企业应加大研发投入，紧跟前沿技术趋势，推动产业向智能化、高端化转型。</w:t>
      </w:r>
    </w:p>
    <w:p w14:paraId="666E82E8">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（二）场景化应用是关键</w:t>
      </w:r>
    </w:p>
    <w:p w14:paraId="553EA8AA">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聚焦细分场景需求，将技术与实际应用深度结合，开发高实用性解决方案，是提升客户满意度、拓展市场的关键路径。</w:t>
      </w:r>
    </w:p>
    <w:p w14:paraId="0F27506A">
      <w:pPr>
        <w:pStyle w:val="4"/>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（三）生态合作助力共赢</w:t>
      </w:r>
    </w:p>
    <w:p w14:paraId="2566A4DA">
      <w:pPr>
        <w:keepNext w:val="0"/>
        <w:keepLines w:val="0"/>
        <w:widowControl/>
        <w:suppressLineNumbers w:val="0"/>
        <w:snapToGrid/>
        <w:spacing w:beforeAutospacing="0" w:after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在复杂市场环境下，企业需通过技术、市场等多维度合作，整合资源、优势互补，共同构建互利共赢的产业生态。</w:t>
      </w:r>
    </w:p>
    <w:p w14:paraId="2EDF1A15">
      <w:pPr>
        <w:pStyle w:val="3"/>
        <w:keepNext w:val="0"/>
        <w:keepLines w:val="0"/>
        <w:widowControl/>
        <w:suppressLineNumbers w:val="0"/>
        <w:snapToGrid/>
        <w:spacing w:before="0" w:beforeAutospacing="0" w:after="0" w:afterAutospacing="0" w:line="360" w:lineRule="auto"/>
        <w:ind w:firstLine="480" w:firstLineChars="20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六、结论</w:t>
      </w:r>
    </w:p>
    <w:p w14:paraId="03EBB578">
      <w:pPr>
        <w:keepNext w:val="0"/>
        <w:keepLines w:val="0"/>
        <w:widowControl/>
        <w:suppressLineNumbers w:val="0"/>
        <w:snapToGrid/>
        <w:spacing w:beforeAutospacing="0" w:line="360" w:lineRule="auto"/>
        <w:ind w:firstLine="480" w:firstLineChars="200"/>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本次参访深入了解大华集团与海康威视在智能技术创新与业务拓展的成果。大华以战略引领融合智能发展，海康威视凭借广泛布局深耕行业应用。二者在“智能”与“创新”领域的实践，为科技企业发展提供重要借鉴。未来，行业企业应强化技术创新、深化场景应用、推进生态合作，共同推动社会数字化、智能化进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F65E97"/>
    <w:multiLevelType w:val="multilevel"/>
    <w:tmpl w:val="23F65E97"/>
    <w:lvl w:ilvl="0" w:tentative="0">
      <w:start w:val="2"/>
      <w:numFmt w:val="chineseCounting"/>
      <w:suff w:val="nothing"/>
      <w:lvlText w:val="（%1）"/>
      <w:lvlJc w:val="left"/>
      <w:pPr>
        <w:ind w:left="0" w:firstLine="0"/>
      </w:pPr>
      <w:rPr>
        <w:rFonts w:hint="eastAsia"/>
      </w:rPr>
    </w:lvl>
    <w:lvl w:ilvl="1" w:tentative="0">
      <w:start w:val="1"/>
      <w:numFmt w:val="decimal"/>
      <w:suff w:val="nothing"/>
      <w:lvlText w:val="%2．"/>
      <w:lvlJc w:val="left"/>
      <w:pPr>
        <w:ind w:left="0" w:firstLine="0"/>
      </w:pPr>
      <w:rPr>
        <w:rFonts w:hint="eastAsia"/>
      </w:rPr>
    </w:lvl>
    <w:lvl w:ilvl="2" w:tentative="0">
      <w:start w:val="1"/>
      <w:numFmt w:val="decimal"/>
      <w:suff w:val="nothing"/>
      <w:lvlText w:val="（%3）"/>
      <w:lvlJc w:val="left"/>
      <w:pPr>
        <w:ind w:left="0" w:firstLine="0"/>
      </w:pPr>
      <w:rPr>
        <w:rFonts w:hint="eastAsia"/>
      </w:rPr>
    </w:lvl>
    <w:lvl w:ilvl="3" w:tentative="0">
      <w:start w:val="1"/>
      <w:numFmt w:val="decimalEnclosedCircleChinese"/>
      <w:suff w:val="nothing"/>
      <w:lvlText w:val="%4"/>
      <w:lvlJc w:val="left"/>
      <w:pPr>
        <w:ind w:left="0" w:firstLine="0"/>
      </w:pPr>
      <w:rPr>
        <w:rFonts w:hint="eastAsia"/>
      </w:rPr>
    </w:lvl>
    <w:lvl w:ilvl="4" w:tentative="0">
      <w:start w:val="1"/>
      <w:numFmt w:val="decimal"/>
      <w:suff w:val="nothing"/>
      <w:lvlText w:val="%5）"/>
      <w:lvlJc w:val="left"/>
      <w:pPr>
        <w:ind w:left="0" w:firstLine="0"/>
      </w:pPr>
      <w:rPr>
        <w:rFonts w:hint="eastAsia"/>
      </w:rPr>
    </w:lvl>
    <w:lvl w:ilvl="5" w:tentative="0">
      <w:start w:val="1"/>
      <w:numFmt w:val="lowerLetter"/>
      <w:suff w:val="nothing"/>
      <w:lvlText w:val="%6．"/>
      <w:lvlJc w:val="left"/>
      <w:pPr>
        <w:ind w:left="0" w:firstLine="0"/>
      </w:pPr>
      <w:rPr>
        <w:rFonts w:hint="eastAsia"/>
      </w:rPr>
    </w:lvl>
    <w:lvl w:ilvl="6" w:tentative="0">
      <w:start w:val="1"/>
      <w:numFmt w:val="lowerLetter"/>
      <w:suff w:val="nothing"/>
      <w:lvlText w:val="%7）"/>
      <w:lvlJc w:val="left"/>
      <w:pPr>
        <w:ind w:left="0" w:firstLine="0"/>
      </w:pPr>
      <w:rPr>
        <w:rFonts w:hint="eastAsia"/>
      </w:rPr>
    </w:lvl>
    <w:lvl w:ilvl="7" w:tentative="0">
      <w:start w:val="1"/>
      <w:numFmt w:val="lowerRoman"/>
      <w:suff w:val="nothing"/>
      <w:lvlText w:val="%8．"/>
      <w:lvlJc w:val="left"/>
      <w:pPr>
        <w:ind w:left="0" w:firstLine="0"/>
      </w:pPr>
      <w:rPr>
        <w:rFonts w:hint="eastAsia"/>
      </w:rPr>
    </w:lvl>
    <w:lvl w:ilvl="8" w:tentative="0">
      <w:start w:val="1"/>
      <w:numFmt w:val="lowerRoman"/>
      <w:suff w:val="nothing"/>
      <w:lvlText w:val="%9）"/>
      <w:lvlJc w:val="left"/>
      <w:pPr>
        <w:ind w:left="0" w:firstLine="0"/>
      </w:pPr>
      <w:rPr>
        <w:rFonts w:hint="eastAsia"/>
      </w:rPr>
    </w:lvl>
  </w:abstractNum>
  <w:abstractNum w:abstractNumId="1">
    <w:nsid w:val="5B28A63E"/>
    <w:multiLevelType w:val="multilevel"/>
    <w:tmpl w:val="5B28A63E"/>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3D304B"/>
    <w:rsid w:val="0C3D304B"/>
    <w:rsid w:val="0DF80F5F"/>
    <w:rsid w:val="15E66C1B"/>
    <w:rsid w:val="7A08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1894</Words>
  <Characters>1978</Characters>
  <Lines>0</Lines>
  <Paragraphs>0</Paragraphs>
  <TotalTime>4</TotalTime>
  <ScaleCrop>false</ScaleCrop>
  <LinksUpToDate>false</LinksUpToDate>
  <CharactersWithSpaces>1990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2025-07-05T08:17:00Z</dcterms:created>
  <dc:creator>WPS_173324664456</dc:creator>
  <cp:lastModifiedBy>WPS_173324664456</cp:lastModifiedBy>
  <dcterms:modified xsi:type="dcterms:W3CDTF">2025-07-10T10:25:56Z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F2E0373576FF405D80459BC09CEDAFB2_13</vt:lpwstr>
  </property>
  <property fmtid="{D5CDD505-2E9C-101B-9397-08002B2CF9AE}" pid="4" name="KSOTemplateDocerSaveRecord">
    <vt:lpwstr>eyJoZGlkIjoiNjk1MTVjODNiNmMzMTMxMzY4N2NlNzRlNzdiODc0ZjUiLCJ1c2VySWQiOiIxMzIwODM0MzY3In0=</vt:lpwstr>
  </property>
</Properties>
</file>