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9D0D3">
      <w:pPr>
        <w:spacing w:line="360" w:lineRule="auto"/>
        <w:jc w:val="center"/>
        <w:rPr>
          <w:rFonts w:hint="eastAsia" w:ascii="黑体" w:hAnsi="黑体" w:eastAsia="黑体" w:cs="Times New Roman"/>
          <w:sz w:val="32"/>
          <w:szCs w:val="32"/>
          <w:lang w:val="en-US" w:eastAsia="zh-CN"/>
          <w14:ligatures w14:val="standardContextual"/>
        </w:rPr>
      </w:pPr>
      <w:r>
        <w:rPr>
          <w:rFonts w:hint="eastAsia" w:ascii="黑体" w:hAnsi="黑体" w:eastAsia="黑体" w:cs="Times New Roman"/>
          <w:sz w:val="32"/>
          <w:szCs w:val="32"/>
          <w:lang w:val="en-US" w:eastAsia="zh-CN"/>
          <w14:ligatures w14:val="standardContextual"/>
        </w:rPr>
        <w:t>科技赋能，安全护航</w:t>
      </w:r>
    </w:p>
    <w:p w14:paraId="58947BA0">
      <w:pPr>
        <w:spacing w:line="360" w:lineRule="auto"/>
        <w:jc w:val="right"/>
        <w:rPr>
          <w:rFonts w:hint="eastAsia" w:ascii="楷体" w:hAnsi="楷体" w:eastAsia="楷体" w:cs="Times New Roman"/>
          <w:sz w:val="28"/>
          <w:szCs w:val="28"/>
          <w:lang w:val="en-US" w:eastAsia="zh-CN"/>
          <w14:ligatures w14:val="standardContextual"/>
        </w:rPr>
      </w:pPr>
      <w:r>
        <w:rPr>
          <w:rFonts w:hint="eastAsia" w:ascii="楷体" w:hAnsi="楷体" w:eastAsia="楷体" w:cs="Times New Roman"/>
          <w:sz w:val="28"/>
          <w:szCs w:val="28"/>
          <w:lang w:val="en-US" w:eastAsia="zh-CN"/>
          <w14:ligatures w14:val="standardContextual"/>
        </w:rPr>
        <w:t>——对于华为与迪普企业的洞察解码</w:t>
      </w:r>
    </w:p>
    <w:p w14:paraId="2BF8DD62">
      <w:pPr>
        <w:spacing w:line="360" w:lineRule="auto"/>
        <w:rPr>
          <w:rFonts w:hint="eastAsia" w:ascii="Times New Roman" w:hAnsi="Times New Roman" w:eastAsia="仿宋" w:cs="Times New Roman"/>
          <w:sz w:val="24"/>
          <w:szCs w:val="24"/>
          <w:lang w:val="en-US" w:eastAsia="zh-CN"/>
          <w14:ligatures w14:val="standardContextual"/>
        </w:rPr>
      </w:pPr>
    </w:p>
    <w:p w14:paraId="6EEE4ABA">
      <w:pPr>
        <w:spacing w:line="360" w:lineRule="auto"/>
        <w:rPr>
          <w:rFonts w:ascii="Times New Roman" w:hAnsi="Times New Roman" w:eastAsia="仿宋" w:cs="Times New Roman"/>
          <w:sz w:val="24"/>
          <w:szCs w:val="24"/>
        </w:rPr>
      </w:pPr>
      <w:r>
        <w:rPr>
          <w:rFonts w:hint="eastAsia" w:ascii="Times New Roman" w:hAnsi="Times New Roman" w:eastAsia="仿宋" w:cs="Times New Roman"/>
          <w:sz w:val="24"/>
          <w:szCs w:val="24"/>
          <w14:ligatures w14:val="standardContextual"/>
        </w:rPr>
        <w:t>姓名：</w:t>
      </w:r>
      <w:r>
        <w:rPr>
          <w:rFonts w:hint="eastAsia" w:ascii="Times New Roman" w:hAnsi="Times New Roman" w:eastAsia="仿宋" w:cs="Times New Roman"/>
          <w:sz w:val="24"/>
          <w:szCs w:val="24"/>
          <w:lang w:val="en-US" w:eastAsia="zh-CN"/>
          <w14:ligatures w14:val="standardContextual"/>
        </w:rPr>
        <w:t>陈宇</w:t>
      </w:r>
      <w:r>
        <w:rPr>
          <w:rFonts w:hint="eastAsia" w:ascii="Times New Roman" w:hAnsi="Times New Roman" w:eastAsia="仿宋" w:cs="Times New Roman"/>
          <w:sz w:val="24"/>
          <w:szCs w:val="24"/>
          <w:lang w:val="en-US" w:eastAsia="zh-CN"/>
        </w:rPr>
        <w:t>航</w:t>
      </w:r>
    </w:p>
    <w:p w14:paraId="4792E100">
      <w:p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学号：</w:t>
      </w:r>
      <w:r>
        <w:rPr>
          <w:rFonts w:hint="eastAsia" w:ascii="Times New Roman" w:hAnsi="Times New Roman" w:eastAsia="仿宋" w:cs="Times New Roman"/>
          <w:sz w:val="24"/>
          <w:szCs w:val="24"/>
          <w:lang w:val="en-US" w:eastAsia="zh-CN"/>
          <w14:ligatures w14:val="standardContextual"/>
        </w:rPr>
        <w:t>3240102960</w:t>
      </w:r>
    </w:p>
    <w:p w14:paraId="69B050D9">
      <w:p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rPr>
        <w:t>专业班级</w:t>
      </w:r>
      <w:r>
        <w:rPr>
          <w:rFonts w:hint="eastAsia" w:ascii="Times New Roman" w:hAnsi="Times New Roman" w:eastAsia="仿宋" w:cs="Times New Roman"/>
          <w:sz w:val="24"/>
          <w:szCs w:val="24"/>
          <w:lang w:eastAsia="zh-CN"/>
        </w:rPr>
        <w:t>：</w:t>
      </w:r>
      <w:r>
        <w:rPr>
          <w:rFonts w:hint="eastAsia" w:ascii="Times New Roman" w:hAnsi="Times New Roman" w:eastAsia="仿宋" w:cs="Times New Roman"/>
          <w:sz w:val="24"/>
          <w:szCs w:val="24"/>
          <w:lang w:val="en-US" w:eastAsia="zh-CN"/>
        </w:rPr>
        <w:t>信工2402</w:t>
      </w:r>
    </w:p>
    <w:p w14:paraId="2F9EBF1C">
      <w:pPr>
        <w:spacing w:line="360" w:lineRule="auto"/>
        <w:rPr>
          <w:rFonts w:hint="eastAsia" w:ascii="Times New Roman" w:hAnsi="Times New Roman" w:eastAsia="仿宋" w:cs="Times New Roman"/>
          <w:sz w:val="24"/>
          <w:szCs w:val="24"/>
          <w:lang w:val="en-US" w:eastAsia="zh-CN"/>
        </w:rPr>
      </w:pPr>
    </w:p>
    <w:p w14:paraId="0ED04365">
      <w:pPr>
        <w:numPr>
          <w:ilvl w:val="0"/>
          <w:numId w:val="1"/>
        </w:num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引言</w:t>
      </w:r>
    </w:p>
    <w:p w14:paraId="4A48061D">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本次认知实践，我有幸参观了我国信息通信技术与网络安全领域的领军企业——华为技术有限公司与杭州迪普科技股份有限公司。通过实地参观与技术讲解，我深入探究了两家企业的核心技术布局、人才培养机制和企业文化内涵等多个方面。在此报告中，我将结合我的学习与感悟，做出对两家企业的总结分析。</w:t>
      </w:r>
    </w:p>
    <w:p w14:paraId="79B0B1E5">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p>
    <w:p w14:paraId="56230F4F">
      <w:pPr>
        <w:numPr>
          <w:ilvl w:val="0"/>
          <w:numId w:val="1"/>
        </w:numPr>
        <w:spacing w:line="360" w:lineRule="auto"/>
        <w:ind w:left="0" w:leftChars="0" w:firstLine="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华为：构建万物互联</w:t>
      </w:r>
    </w:p>
    <w:p w14:paraId="45E4E728">
      <w:pPr>
        <w:numPr>
          <w:ilvl w:val="0"/>
          <w:numId w:val="2"/>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全场景技术生态</w:t>
      </w:r>
    </w:p>
    <w:p w14:paraId="6CCBB095">
      <w:pPr>
        <w:numPr>
          <w:ilvl w:val="0"/>
          <w:numId w:val="0"/>
        </w:numPr>
        <w:spacing w:line="360" w:lineRule="auto"/>
        <w:ind w:firstLine="420" w:firstLine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华为的业务布局可以说是ICT领域的一次“全景式”覆盖，其技术生态几乎涵盖了所有数字化转型所需的要素。从终端到云计算、从网络连接到智能能源，华为逐步建立了一个完整的信息系统。</w:t>
      </w:r>
    </w:p>
    <w:p w14:paraId="0E086EEB">
      <w:pPr>
        <w:numPr>
          <w:ilvl w:val="0"/>
          <w:numId w:val="3"/>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终端业务：智能手机、可穿戴设备、智慧屏等，组成了华为的终端业务板块。通过对智能硬件的深度研发，华为打造了覆盖生活各方面、全场景的智慧体验。</w:t>
      </w:r>
    </w:p>
    <w:p w14:paraId="36B756CF">
      <w:pPr>
        <w:numPr>
          <w:ilvl w:val="0"/>
          <w:numId w:val="3"/>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智能汽车部件：智能驾驶解决方案、鸿蒙座驾、车载光等技术，推动了汽车与信息交互的深度融合，重塑了人车交互模式。</w:t>
      </w:r>
    </w:p>
    <w:p w14:paraId="1D59683D">
      <w:pPr>
        <w:numPr>
          <w:ilvl w:val="0"/>
          <w:numId w:val="3"/>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联接技术</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华为的联接技术包括</w:t>
      </w:r>
      <w:r>
        <w:rPr>
          <w:rFonts w:hint="default" w:ascii="Times New Roman" w:hAnsi="Times New Roman" w:eastAsia="仿宋" w:cs="Times New Roman"/>
          <w:sz w:val="24"/>
          <w:szCs w:val="24"/>
          <w:lang w:val="en-US" w:eastAsia="zh-CN"/>
        </w:rPr>
        <w:t>5G/6G、光通信、云核心网</w:t>
      </w:r>
      <w:r>
        <w:rPr>
          <w:rFonts w:hint="eastAsia" w:ascii="Times New Roman" w:hAnsi="Times New Roman" w:eastAsia="仿宋" w:cs="Times New Roman"/>
          <w:sz w:val="24"/>
          <w:szCs w:val="24"/>
          <w:lang w:val="en-US" w:eastAsia="zh-CN"/>
        </w:rPr>
        <w:t>等</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其强大的网络基础设施为通信运营商提供了高效稳定的服务，</w:t>
      </w:r>
      <w:r>
        <w:rPr>
          <w:rFonts w:hint="default" w:ascii="Times New Roman" w:hAnsi="Times New Roman" w:eastAsia="仿宋" w:cs="Times New Roman"/>
          <w:sz w:val="24"/>
          <w:szCs w:val="24"/>
          <w:lang w:val="en-US" w:eastAsia="zh-CN"/>
        </w:rPr>
        <w:t>构筑</w:t>
      </w:r>
      <w:r>
        <w:rPr>
          <w:rFonts w:hint="eastAsia" w:ascii="Times New Roman" w:hAnsi="Times New Roman" w:eastAsia="仿宋" w:cs="Times New Roman"/>
          <w:sz w:val="24"/>
          <w:szCs w:val="24"/>
          <w:lang w:val="en-US" w:eastAsia="zh-CN"/>
        </w:rPr>
        <w:t>了</w:t>
      </w:r>
      <w:r>
        <w:rPr>
          <w:rFonts w:hint="default" w:ascii="Times New Roman" w:hAnsi="Times New Roman" w:eastAsia="仿宋" w:cs="Times New Roman"/>
          <w:sz w:val="24"/>
          <w:szCs w:val="24"/>
          <w:lang w:val="en-US" w:eastAsia="zh-CN"/>
        </w:rPr>
        <w:t>全球信息传输“高速公路”。</w:t>
      </w:r>
    </w:p>
    <w:p w14:paraId="25F9F611">
      <w:pPr>
        <w:numPr>
          <w:ilvl w:val="0"/>
          <w:numId w:val="3"/>
        </w:numPr>
        <w:spacing w:line="360" w:lineRule="auto"/>
        <w:ind w:firstLine="420" w:firstLineChars="0"/>
        <w:rPr>
          <w:rFonts w:hint="eastAsia"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计算</w:t>
      </w:r>
      <w:r>
        <w:rPr>
          <w:rFonts w:hint="eastAsia" w:ascii="Times New Roman" w:hAnsi="Times New Roman" w:eastAsia="仿宋" w:cs="Times New Roman"/>
          <w:sz w:val="24"/>
          <w:szCs w:val="24"/>
          <w:lang w:val="en-US" w:eastAsia="zh-CN"/>
        </w:rPr>
        <w:t>与华为云</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华为的计算技术包括</w:t>
      </w:r>
      <w:r>
        <w:rPr>
          <w:rFonts w:hint="default" w:ascii="Times New Roman" w:hAnsi="Times New Roman" w:eastAsia="仿宋" w:cs="Times New Roman"/>
          <w:sz w:val="24"/>
          <w:szCs w:val="24"/>
          <w:lang w:val="en-US" w:eastAsia="zh-CN"/>
        </w:rPr>
        <w:t>昇腾AI芯片、鲲鹏服务器、OceanStor存储，</w:t>
      </w:r>
      <w:r>
        <w:rPr>
          <w:rFonts w:hint="eastAsia" w:ascii="Times New Roman" w:hAnsi="Times New Roman" w:eastAsia="仿宋" w:cs="Times New Roman"/>
          <w:sz w:val="24"/>
          <w:szCs w:val="24"/>
          <w:lang w:val="en-US" w:eastAsia="zh-CN"/>
        </w:rPr>
        <w:t>支持了华为云计算的高效运行。华为的云计算平台，尤其是在公有云、混合云领域的布局，已经在全球范围内得到广泛应用。</w:t>
      </w:r>
    </w:p>
    <w:p w14:paraId="281840D0">
      <w:pPr>
        <w:numPr>
          <w:ilvl w:val="0"/>
          <w:numId w:val="3"/>
        </w:numPr>
        <w:spacing w:line="360" w:lineRule="auto"/>
        <w:ind w:firstLine="420" w:firstLineChars="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数字能源：</w:t>
      </w:r>
      <w:r>
        <w:rPr>
          <w:rFonts w:hint="eastAsia" w:ascii="Times New Roman" w:hAnsi="Times New Roman" w:eastAsia="仿宋" w:cs="Times New Roman"/>
          <w:sz w:val="24"/>
          <w:szCs w:val="24"/>
          <w:lang w:val="en-US" w:eastAsia="zh-CN"/>
        </w:rPr>
        <w:t>近年来华为在数字能源领域深耕，尤其是</w:t>
      </w:r>
      <w:r>
        <w:rPr>
          <w:rFonts w:hint="default" w:ascii="Times New Roman" w:hAnsi="Times New Roman" w:eastAsia="仿宋" w:cs="Times New Roman"/>
          <w:sz w:val="24"/>
          <w:szCs w:val="24"/>
          <w:lang w:val="en-US" w:eastAsia="zh-CN"/>
        </w:rPr>
        <w:t>智能光伏、储能系统、数据中心能源</w:t>
      </w:r>
      <w:r>
        <w:rPr>
          <w:rFonts w:hint="eastAsia" w:ascii="Times New Roman" w:hAnsi="Times New Roman" w:eastAsia="仿宋" w:cs="Times New Roman"/>
          <w:sz w:val="24"/>
          <w:szCs w:val="24"/>
          <w:lang w:val="en-US" w:eastAsia="zh-CN"/>
        </w:rPr>
        <w:t>等领域</w:t>
      </w: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推动了可再生能源的普及，</w:t>
      </w:r>
      <w:r>
        <w:rPr>
          <w:rFonts w:hint="default" w:ascii="Times New Roman" w:hAnsi="Times New Roman" w:eastAsia="仿宋" w:cs="Times New Roman"/>
          <w:sz w:val="24"/>
          <w:szCs w:val="24"/>
          <w:lang w:val="en-US" w:eastAsia="zh-CN"/>
        </w:rPr>
        <w:t>以科技驱动绿色可持续发展。</w:t>
      </w:r>
    </w:p>
    <w:p w14:paraId="3CA86E25">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以上仅仅展示了华为核心技术的一部分。可见华为以ICT技术为核心，已经构建了辐射全球的“端-边-云-能”协同生态，实现了信息“分发（终端）-&gt;传送（管道）-&gt;处理与存储（计算）-&gt;智能应用（云/AI）-&gt;能源支持（数字能源）”这样的上下游产业覆盖。</w:t>
      </w:r>
    </w:p>
    <w:p w14:paraId="04F7CD52">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drawing>
          <wp:inline distT="0" distB="0" distL="114300" distR="114300">
            <wp:extent cx="5271770" cy="3187700"/>
            <wp:effectExtent l="0" t="0" r="1270" b="12700"/>
            <wp:docPr id="2" name="图片 2" descr="175222588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2225889888"/>
                    <pic:cNvPicPr>
                      <a:picLocks noChangeAspect="1"/>
                    </pic:cNvPicPr>
                  </pic:nvPicPr>
                  <pic:blipFill>
                    <a:blip r:embed="rId4"/>
                    <a:stretch>
                      <a:fillRect/>
                    </a:stretch>
                  </pic:blipFill>
                  <pic:spPr>
                    <a:xfrm>
                      <a:off x="0" y="0"/>
                      <a:ext cx="5271770" cy="3187700"/>
                    </a:xfrm>
                    <a:prstGeom prst="rect">
                      <a:avLst/>
                    </a:prstGeom>
                  </pic:spPr>
                </pic:pic>
              </a:graphicData>
            </a:graphic>
          </wp:inline>
        </w:drawing>
      </w:r>
    </w:p>
    <w:p w14:paraId="6064C053">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图1：华为的全场景技术</w:t>
      </w:r>
    </w:p>
    <w:p w14:paraId="6FFA16A1">
      <w:pPr>
        <w:numPr>
          <w:ilvl w:val="0"/>
          <w:numId w:val="2"/>
        </w:numPr>
        <w:spacing w:line="360" w:lineRule="auto"/>
        <w:ind w:left="0" w:leftChars="0" w:firstLine="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人才培养战略</w:t>
      </w:r>
    </w:p>
    <w:p w14:paraId="34F8547F">
      <w:pPr>
        <w:numPr>
          <w:ilvl w:val="0"/>
          <w:numId w:val="0"/>
        </w:numPr>
        <w:spacing w:line="360" w:lineRule="auto"/>
        <w:ind w:leftChars="0" w:firstLine="420" w:firstLine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华为的企业文化深深植根于“人才为本”的理念，人才是推动企业技术创新和全球扩张的核心动力。在人才培养方面，华为设立了多层次、多角度的培训体系。</w:t>
      </w:r>
    </w:p>
    <w:p w14:paraId="1735887B">
      <w:pPr>
        <w:numPr>
          <w:ilvl w:val="0"/>
          <w:numId w:val="4"/>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分层培训系统：新员工拥有“导师制”机制与上岗培训，</w:t>
      </w:r>
      <w:r>
        <w:rPr>
          <w:rFonts w:hint="default" w:ascii="Times New Roman" w:hAnsi="Times New Roman" w:eastAsia="仿宋" w:cs="Times New Roman"/>
          <w:sz w:val="24"/>
          <w:szCs w:val="24"/>
          <w:lang w:val="en-US" w:eastAsia="zh-CN"/>
        </w:rPr>
        <w:t>管理者</w:t>
      </w:r>
      <w:r>
        <w:rPr>
          <w:rFonts w:hint="eastAsia" w:ascii="Times New Roman" w:hAnsi="Times New Roman" w:eastAsia="仿宋" w:cs="Times New Roman"/>
          <w:sz w:val="24"/>
          <w:szCs w:val="24"/>
          <w:lang w:val="en-US" w:eastAsia="zh-CN"/>
        </w:rPr>
        <w:t>拥有</w:t>
      </w:r>
      <w:r>
        <w:rPr>
          <w:rFonts w:hint="default" w:ascii="Times New Roman" w:hAnsi="Times New Roman" w:eastAsia="仿宋" w:cs="Times New Roman"/>
          <w:sz w:val="24"/>
          <w:szCs w:val="24"/>
          <w:lang w:val="en-US" w:eastAsia="zh-CN"/>
        </w:rPr>
        <w:t>“战略预备队”项目（覆盖研发/销售/服务等核心岗位）</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高管</w:t>
      </w:r>
      <w:r>
        <w:rPr>
          <w:rFonts w:hint="eastAsia" w:ascii="Times New Roman" w:hAnsi="Times New Roman" w:eastAsia="仿宋" w:cs="Times New Roman"/>
          <w:sz w:val="24"/>
          <w:szCs w:val="24"/>
          <w:lang w:val="en-US" w:eastAsia="zh-CN"/>
        </w:rPr>
        <w:t>拥有</w:t>
      </w:r>
      <w:r>
        <w:rPr>
          <w:rFonts w:hint="default" w:ascii="Times New Roman" w:hAnsi="Times New Roman" w:eastAsia="仿宋" w:cs="Times New Roman"/>
          <w:sz w:val="24"/>
          <w:szCs w:val="24"/>
          <w:lang w:val="en-US" w:eastAsia="zh-CN"/>
        </w:rPr>
        <w:t>领导力发展计划</w:t>
      </w:r>
      <w:r>
        <w:rPr>
          <w:rFonts w:hint="eastAsia" w:ascii="Times New Roman" w:hAnsi="Times New Roman" w:eastAsia="仿宋" w:cs="Times New Roman"/>
          <w:sz w:val="24"/>
          <w:szCs w:val="24"/>
          <w:lang w:val="en-US" w:eastAsia="zh-CN"/>
        </w:rPr>
        <w:t>。</w:t>
      </w:r>
    </w:p>
    <w:p w14:paraId="10BD53F7">
      <w:pPr>
        <w:numPr>
          <w:ilvl w:val="0"/>
          <w:numId w:val="4"/>
        </w:numPr>
        <w:spacing w:line="360" w:lineRule="auto"/>
        <w:ind w:firstLine="420" w:firstLineChars="0"/>
        <w:rPr>
          <w:rFonts w:hint="eastAsia"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数字化学习平台</w:t>
      </w:r>
      <w:r>
        <w:rPr>
          <w:rFonts w:hint="eastAsia" w:ascii="Times New Roman" w:hAnsi="Times New Roman" w:eastAsia="仿宋" w:cs="Times New Roman"/>
          <w:sz w:val="24"/>
          <w:szCs w:val="24"/>
          <w:lang w:val="en-US" w:eastAsia="zh-CN"/>
        </w:rPr>
        <w:t>：包括</w:t>
      </w:r>
      <w:r>
        <w:rPr>
          <w:rFonts w:hint="default" w:ascii="Times New Roman" w:hAnsi="Times New Roman" w:eastAsia="仿宋" w:cs="Times New Roman"/>
          <w:sz w:val="24"/>
          <w:szCs w:val="24"/>
          <w:lang w:val="en-US" w:eastAsia="zh-CN"/>
        </w:rPr>
        <w:t>Hi知识社区</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内部</w:t>
      </w:r>
      <w:r>
        <w:rPr>
          <w:rFonts w:hint="eastAsia" w:ascii="Times New Roman" w:hAnsi="Times New Roman" w:eastAsia="仿宋" w:cs="Times New Roman"/>
          <w:sz w:val="24"/>
          <w:szCs w:val="24"/>
          <w:lang w:val="en-US" w:eastAsia="zh-CN"/>
        </w:rPr>
        <w:t>相当于</w:t>
      </w:r>
      <w:r>
        <w:rPr>
          <w:rFonts w:hint="default" w:ascii="Times New Roman" w:hAnsi="Times New Roman" w:eastAsia="仿宋" w:cs="Times New Roman"/>
          <w:sz w:val="24"/>
          <w:szCs w:val="24"/>
          <w:lang w:val="en-US" w:eastAsia="zh-CN"/>
        </w:rPr>
        <w:t>“藏经阁”，沉淀技术文档与案例</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iLearning慕课平台</w:t>
      </w:r>
      <w:r>
        <w:rPr>
          <w:rFonts w:hint="eastAsia" w:ascii="Times New Roman" w:hAnsi="Times New Roman" w:eastAsia="仿宋" w:cs="Times New Roman"/>
          <w:sz w:val="24"/>
          <w:szCs w:val="24"/>
          <w:lang w:val="en-US" w:eastAsia="zh-CN"/>
        </w:rPr>
        <w:t>，拥有</w:t>
      </w:r>
      <w:r>
        <w:rPr>
          <w:rFonts w:hint="default" w:ascii="Times New Roman" w:hAnsi="Times New Roman" w:eastAsia="仿宋" w:cs="Times New Roman"/>
          <w:sz w:val="24"/>
          <w:szCs w:val="24"/>
          <w:lang w:val="en-US" w:eastAsia="zh-CN"/>
        </w:rPr>
        <w:t>超10万门在线课程</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稼先社区</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工程师技术问答社区（日活超3万）</w:t>
      </w:r>
      <w:r>
        <w:rPr>
          <w:rFonts w:hint="eastAsia" w:ascii="Times New Roman" w:hAnsi="Times New Roman" w:eastAsia="仿宋" w:cs="Times New Roman"/>
          <w:sz w:val="24"/>
          <w:szCs w:val="24"/>
          <w:lang w:val="en-US" w:eastAsia="zh-CN"/>
        </w:rPr>
        <w:t>。</w:t>
      </w:r>
    </w:p>
    <w:p w14:paraId="23812812">
      <w:pPr>
        <w:numPr>
          <w:ilvl w:val="0"/>
          <w:numId w:val="4"/>
        </w:numPr>
        <w:spacing w:line="360" w:lineRule="auto"/>
        <w:ind w:firstLine="420" w:firstLineChars="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全球科研网络</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与7名菲尔兹奖得主、100+院士深度合作</w:t>
      </w:r>
      <w:r>
        <w:rPr>
          <w:rFonts w:hint="eastAsia" w:ascii="Times New Roman" w:hAnsi="Times New Roman" w:eastAsia="仿宋" w:cs="Times New Roman"/>
          <w:sz w:val="24"/>
          <w:szCs w:val="24"/>
          <w:lang w:val="en-US" w:eastAsia="zh-CN"/>
        </w:rPr>
        <w:t>（见图2）；</w:t>
      </w:r>
      <w:r>
        <w:rPr>
          <w:rFonts w:hint="default" w:ascii="Times New Roman" w:hAnsi="Times New Roman" w:eastAsia="仿宋" w:cs="Times New Roman"/>
          <w:sz w:val="24"/>
          <w:szCs w:val="24"/>
          <w:lang w:val="en-US" w:eastAsia="zh-CN"/>
        </w:rPr>
        <w:t>全球设立16个研发中心（巴黎理论数学所、俄罗斯算法研究院等）</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吸纳ICPC/IPhO世界冠军加入天才少年计划</w:t>
      </w:r>
      <w:r>
        <w:rPr>
          <w:rFonts w:hint="eastAsia" w:ascii="Times New Roman" w:hAnsi="Times New Roman" w:eastAsia="仿宋" w:cs="Times New Roman"/>
          <w:sz w:val="24"/>
          <w:szCs w:val="24"/>
          <w:lang w:val="en-US" w:eastAsia="zh-CN"/>
        </w:rPr>
        <w:t>。</w:t>
      </w:r>
    </w:p>
    <w:p w14:paraId="4A136285">
      <w:pPr>
        <w:numPr>
          <w:ilvl w:val="0"/>
          <w:numId w:val="0"/>
        </w:numPr>
        <w:spacing w:line="360" w:lineRule="auto"/>
      </w:pPr>
      <w:r>
        <w:drawing>
          <wp:inline distT="0" distB="0" distL="114300" distR="114300">
            <wp:extent cx="5273675" cy="2533650"/>
            <wp:effectExtent l="0" t="0" r="14605"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73675" cy="2533650"/>
                    </a:xfrm>
                    <a:prstGeom prst="rect">
                      <a:avLst/>
                    </a:prstGeom>
                    <a:noFill/>
                    <a:ln>
                      <a:noFill/>
                    </a:ln>
                  </pic:spPr>
                </pic:pic>
              </a:graphicData>
            </a:graphic>
          </wp:inline>
        </w:drawing>
      </w:r>
    </w:p>
    <w:p w14:paraId="213EFEF2">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图2：华为的核心技术大牛</w:t>
      </w:r>
    </w:p>
    <w:p w14:paraId="6DAFADE2">
      <w:pPr>
        <w:numPr>
          <w:ilvl w:val="0"/>
          <w:numId w:val="0"/>
        </w:num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（三）华为的技术创新</w:t>
      </w:r>
    </w:p>
    <w:p w14:paraId="186323F5">
      <w:pPr>
        <w:numPr>
          <w:ilvl w:val="0"/>
          <w:numId w:val="0"/>
        </w:numPr>
        <w:spacing w:line="360" w:lineRule="auto"/>
        <w:ind w:firstLine="420" w:firstLineChars="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华为杭州研究所作为其云计算、智能计算等核心技术的研发中心，汇聚了大批高水平科研人才，并取得了显著的技术成果</w:t>
      </w:r>
      <w:r>
        <w:rPr>
          <w:rFonts w:hint="eastAsia" w:ascii="Times New Roman" w:hAnsi="Times New Roman" w:eastAsia="仿宋" w:cs="Times New Roman"/>
          <w:sz w:val="24"/>
          <w:szCs w:val="24"/>
          <w:lang w:val="en-US" w:eastAsia="zh-CN"/>
        </w:rPr>
        <w:t>，例如鲲鹏920芯片（128核ARM处理器），</w:t>
      </w:r>
      <w:r>
        <w:rPr>
          <w:rFonts w:hint="default" w:ascii="Times New Roman" w:hAnsi="Times New Roman" w:eastAsia="仿宋" w:cs="Times New Roman"/>
          <w:sz w:val="24"/>
          <w:szCs w:val="24"/>
          <w:lang w:val="en-US" w:eastAsia="zh-CN"/>
        </w:rPr>
        <w:t>昇思AI框架</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国产全场景AI开发平台</w:t>
      </w:r>
      <w:r>
        <w:rPr>
          <w:rFonts w:hint="eastAsia" w:ascii="Times New Roman" w:hAnsi="Times New Roman" w:eastAsia="仿宋" w:cs="Times New Roman"/>
          <w:sz w:val="24"/>
          <w:szCs w:val="24"/>
          <w:lang w:val="en-US" w:eastAsia="zh-CN"/>
        </w:rPr>
        <w:t>）和</w:t>
      </w:r>
      <w:r>
        <w:rPr>
          <w:rFonts w:hint="default" w:ascii="Times New Roman" w:hAnsi="Times New Roman" w:eastAsia="仿宋" w:cs="Times New Roman"/>
          <w:sz w:val="24"/>
          <w:szCs w:val="24"/>
          <w:lang w:val="en-US" w:eastAsia="zh-CN"/>
        </w:rPr>
        <w:t>光计算实验室</w:t>
      </w:r>
      <w:r>
        <w:rPr>
          <w:rFonts w:hint="eastAsia"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突破</w:t>
      </w:r>
      <w:r>
        <w:rPr>
          <w:rFonts w:hint="eastAsia" w:ascii="Times New Roman" w:hAnsi="Times New Roman" w:eastAsia="仿宋" w:cs="Times New Roman"/>
          <w:sz w:val="24"/>
          <w:szCs w:val="24"/>
          <w:lang w:val="en-US" w:eastAsia="zh-CN"/>
        </w:rPr>
        <w:t>了</w:t>
      </w:r>
      <w:r>
        <w:rPr>
          <w:rFonts w:hint="default" w:ascii="Times New Roman" w:hAnsi="Times New Roman" w:eastAsia="仿宋" w:cs="Times New Roman"/>
          <w:sz w:val="24"/>
          <w:szCs w:val="24"/>
          <w:lang w:val="en-US" w:eastAsia="zh-CN"/>
        </w:rPr>
        <w:t>硅光集成技术瓶颈</w:t>
      </w:r>
      <w:r>
        <w:rPr>
          <w:rFonts w:hint="eastAsia" w:ascii="Times New Roman" w:hAnsi="Times New Roman" w:eastAsia="仿宋" w:cs="Times New Roman"/>
          <w:sz w:val="24"/>
          <w:szCs w:val="24"/>
          <w:lang w:val="en-US" w:eastAsia="zh-CN"/>
        </w:rPr>
        <w:t>）。此外，</w:t>
      </w:r>
      <w:r>
        <w:rPr>
          <w:rFonts w:hint="default" w:ascii="Times New Roman" w:hAnsi="Times New Roman" w:eastAsia="仿宋" w:cs="Times New Roman"/>
          <w:sz w:val="24"/>
          <w:szCs w:val="24"/>
          <w:lang w:val="en-US" w:eastAsia="zh-CN"/>
        </w:rPr>
        <w:t>华为的研发团队规模庞大，</w:t>
      </w:r>
      <w:r>
        <w:rPr>
          <w:rFonts w:hint="eastAsia" w:ascii="Times New Roman" w:hAnsi="Times New Roman" w:eastAsia="仿宋" w:cs="Times New Roman"/>
          <w:sz w:val="24"/>
          <w:szCs w:val="24"/>
          <w:lang w:val="en-US" w:eastAsia="zh-CN"/>
        </w:rPr>
        <w:t>拥有13000+工程师，</w:t>
      </w:r>
      <w:r>
        <w:rPr>
          <w:rFonts w:hint="default" w:ascii="Times New Roman" w:hAnsi="Times New Roman" w:eastAsia="仿宋" w:cs="Times New Roman"/>
          <w:sz w:val="24"/>
          <w:szCs w:val="24"/>
          <w:lang w:val="en-US" w:eastAsia="zh-CN"/>
        </w:rPr>
        <w:t>且以硕士以上学历的高素质人才为主，这为华为的技术创新提供了有力保障。</w:t>
      </w:r>
    </w:p>
    <w:p w14:paraId="3ADF0AE2">
      <w:pPr>
        <w:numPr>
          <w:ilvl w:val="0"/>
          <w:numId w:val="0"/>
        </w:numPr>
        <w:spacing w:line="360" w:lineRule="auto"/>
        <w:ind w:firstLine="420" w:firstLineChars="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drawing>
          <wp:inline distT="0" distB="0" distL="114300" distR="114300">
            <wp:extent cx="5274310" cy="2980690"/>
            <wp:effectExtent l="0" t="0" r="13970" b="6350"/>
            <wp:docPr id="4" name="图片 4" descr="175222615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52226150929"/>
                    <pic:cNvPicPr>
                      <a:picLocks noChangeAspect="1"/>
                    </pic:cNvPicPr>
                  </pic:nvPicPr>
                  <pic:blipFill>
                    <a:blip r:embed="rId6"/>
                    <a:stretch>
                      <a:fillRect/>
                    </a:stretch>
                  </pic:blipFill>
                  <pic:spPr>
                    <a:xfrm>
                      <a:off x="0" y="0"/>
                      <a:ext cx="5274310" cy="2980690"/>
                    </a:xfrm>
                    <a:prstGeom prst="rect">
                      <a:avLst/>
                    </a:prstGeom>
                  </pic:spPr>
                </pic:pic>
              </a:graphicData>
            </a:graphic>
          </wp:inline>
        </w:drawing>
      </w:r>
    </w:p>
    <w:p w14:paraId="6F3D98B7">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图3：华为杭州研究所介绍</w:t>
      </w:r>
    </w:p>
    <w:p w14:paraId="7D015E8F">
      <w:pPr>
        <w:numPr>
          <w:ilvl w:val="0"/>
          <w:numId w:val="5"/>
        </w:num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人文华为</w:t>
      </w:r>
    </w:p>
    <w:p w14:paraId="5DA0988B">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工作之余，华为对员工的关怀也是无微不至。华为拥有28个员工协会，包括微光乐队、逻辑推理社、ACGN文化联盟等组织，年活动超500场（见图4）。在健康上，华为也创立了“1+1”健康计划，员工每年拥有万元的健康基金额度，可覆盖健身、心理咨询、体检等方面。</w:t>
      </w:r>
    </w:p>
    <w:p w14:paraId="13F703CB">
      <w:pPr>
        <w:numPr>
          <w:ilvl w:val="0"/>
          <w:numId w:val="0"/>
        </w:numPr>
        <w:spacing w:line="360" w:lineRule="auto"/>
        <w:ind w:firstLine="420" w:firstLineChars="0"/>
      </w:pPr>
      <w:r>
        <w:drawing>
          <wp:inline distT="0" distB="0" distL="114300" distR="114300">
            <wp:extent cx="5273040" cy="3084830"/>
            <wp:effectExtent l="0" t="0" r="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73040" cy="3084830"/>
                    </a:xfrm>
                    <a:prstGeom prst="rect">
                      <a:avLst/>
                    </a:prstGeom>
                    <a:noFill/>
                    <a:ln>
                      <a:noFill/>
                    </a:ln>
                  </pic:spPr>
                </pic:pic>
              </a:graphicData>
            </a:graphic>
          </wp:inline>
        </w:drawing>
      </w:r>
    </w:p>
    <w:p w14:paraId="58217681">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图4：华为员工协会介绍</w:t>
      </w:r>
    </w:p>
    <w:p w14:paraId="4B7FEFAA">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p>
    <w:p w14:paraId="1D0A0E47">
      <w:pPr>
        <w:numPr>
          <w:ilvl w:val="0"/>
          <w:numId w:val="1"/>
        </w:numPr>
        <w:spacing w:line="360" w:lineRule="auto"/>
        <w:ind w:left="0" w:leftChars="0" w:firstLine="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迪普：专注网安领域的守卫者</w:t>
      </w:r>
    </w:p>
    <w:p w14:paraId="711725A7">
      <w:pPr>
        <w:numPr>
          <w:ilvl w:val="0"/>
          <w:numId w:val="6"/>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网络安全前线的震撼</w:t>
      </w:r>
    </w:p>
    <w:p w14:paraId="78DCBCFE">
      <w:pPr>
        <w:numPr>
          <w:ilvl w:val="0"/>
          <w:numId w:val="0"/>
        </w:numPr>
        <w:spacing w:line="360" w:lineRule="auto"/>
        <w:ind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在迪普安全运营展示的巨幕前，我目睹了一场场精密的高危进攻与反击。例如在2025年7月2日下午14点，迪普清晰记录下攻击者【187.220.33.126】对目标【16.30.24.206】发起的高危攻击事件（见图5）。这不是一串串冰冷的数字与代码，而是一场没有硝烟的激烈战争。我仿佛看到白客们在复杂的网络中抽丝剥茧，运筹帷幄，让攻击者无所遁形。这也令我深刻感受到网安领域的惊心动魄与技术的魅力。</w:t>
      </w:r>
      <w:bookmarkStart w:id="0" w:name="_GoBack"/>
      <w:bookmarkEnd w:id="0"/>
    </w:p>
    <w:p w14:paraId="136A4B1C">
      <w:pPr>
        <w:numPr>
          <w:ilvl w:val="0"/>
          <w:numId w:val="0"/>
        </w:numPr>
        <w:spacing w:line="360" w:lineRule="auto"/>
        <w:ind w:firstLine="420" w:firstLineChars="0"/>
      </w:pPr>
      <w:r>
        <w:drawing>
          <wp:inline distT="0" distB="0" distL="114300" distR="114300">
            <wp:extent cx="5267960" cy="3545840"/>
            <wp:effectExtent l="0" t="0" r="508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8"/>
                    <a:stretch>
                      <a:fillRect/>
                    </a:stretch>
                  </pic:blipFill>
                  <pic:spPr>
                    <a:xfrm>
                      <a:off x="0" y="0"/>
                      <a:ext cx="5267960" cy="3545840"/>
                    </a:xfrm>
                    <a:prstGeom prst="rect">
                      <a:avLst/>
                    </a:prstGeom>
                    <a:noFill/>
                    <a:ln>
                      <a:noFill/>
                    </a:ln>
                  </pic:spPr>
                </pic:pic>
              </a:graphicData>
            </a:graphic>
          </wp:inline>
        </w:drawing>
      </w:r>
    </w:p>
    <w:p w14:paraId="1811D3C6">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图5：迪普的安全运营展示</w:t>
      </w:r>
    </w:p>
    <w:p w14:paraId="17051615">
      <w:pPr>
        <w:numPr>
          <w:ilvl w:val="0"/>
          <w:numId w:val="0"/>
        </w:numPr>
        <w:spacing w:line="360" w:lineRule="auto"/>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（二）人才培养机制</w:t>
      </w:r>
    </w:p>
    <w:p w14:paraId="6D556760">
      <w:pPr>
        <w:numPr>
          <w:ilvl w:val="0"/>
          <w:numId w:val="0"/>
        </w:numPr>
        <w:spacing w:line="360" w:lineRule="auto"/>
        <w:ind w:firstLine="420" w:firstLine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与华为一样，迪普同样注重于人才的培养与快速适应。迪普的新人培养可以用“爱迪生特训营-&gt;1v1导师制-&gt;在岗实战培训-&gt;双通道发展（技术专家路线、管理骨干路线）”这一四阶成长模型进行诠释。此外还有许多特色机制，包括“红蓝对抗”实战营（新员工参与真实网络攻防演练），季度技术擂主赛（渗透测试、WAF配置等专项比拼）。通过这样的培养模式，迪普为员工们提供了扎实的技术与管理能力的培养基础。</w:t>
      </w:r>
    </w:p>
    <w:p w14:paraId="073F60DC">
      <w:pPr>
        <w:numPr>
          <w:ilvl w:val="0"/>
          <w:numId w:val="0"/>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（三）全栈式安全防御</w:t>
      </w:r>
    </w:p>
    <w:p w14:paraId="19D56143">
      <w:pPr>
        <w:numPr>
          <w:ilvl w:val="0"/>
          <w:numId w:val="0"/>
        </w:numPr>
        <w:spacing w:line="360" w:lineRule="auto"/>
        <w:ind w:leftChars="0" w:firstLine="42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作为一家网络安全领域的公司，其业务能力自然是我们评价分析时的重中之重。因此，我基于“IPDRR”安全模型，从“识别-防护-检测-响应-修复”的五个维度构建了下表：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3C1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7DA8F33">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能力维度</w:t>
            </w:r>
          </w:p>
        </w:tc>
        <w:tc>
          <w:tcPr>
            <w:tcW w:w="2841" w:type="dxa"/>
          </w:tcPr>
          <w:p w14:paraId="43D4DC83">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技术</w:t>
            </w:r>
          </w:p>
        </w:tc>
        <w:tc>
          <w:tcPr>
            <w:tcW w:w="2841" w:type="dxa"/>
          </w:tcPr>
          <w:p w14:paraId="06E6ED80">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典型产品</w:t>
            </w:r>
          </w:p>
        </w:tc>
      </w:tr>
      <w:tr w14:paraId="2DB2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E7F253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识别</w:t>
            </w:r>
          </w:p>
        </w:tc>
        <w:tc>
          <w:tcPr>
            <w:tcW w:w="2841" w:type="dxa"/>
          </w:tcPr>
          <w:p w14:paraId="6A7C916B">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慧眼威胁检测系统</w:t>
            </w:r>
          </w:p>
        </w:tc>
        <w:tc>
          <w:tcPr>
            <w:tcW w:w="2841" w:type="dxa"/>
          </w:tcPr>
          <w:p w14:paraId="1D65B91A">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APT高级威胁分析平台</w:t>
            </w:r>
          </w:p>
        </w:tc>
      </w:tr>
      <w:tr w14:paraId="75BB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A61144">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防护</w:t>
            </w:r>
          </w:p>
        </w:tc>
        <w:tc>
          <w:tcPr>
            <w:tcW w:w="2841" w:type="dxa"/>
          </w:tcPr>
          <w:p w14:paraId="0B6F07F3">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NGFW下一代防火墙</w:t>
            </w:r>
          </w:p>
        </w:tc>
        <w:tc>
          <w:tcPr>
            <w:tcW w:w="2841" w:type="dxa"/>
          </w:tcPr>
          <w:p w14:paraId="119A492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抗DDos云清洗系统</w:t>
            </w:r>
          </w:p>
        </w:tc>
      </w:tr>
      <w:tr w14:paraId="59BC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2C6B3B">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检测</w:t>
            </w:r>
          </w:p>
        </w:tc>
        <w:tc>
          <w:tcPr>
            <w:tcW w:w="2841" w:type="dxa"/>
          </w:tcPr>
          <w:p w14:paraId="688B12EA">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全流量深度分析</w:t>
            </w:r>
          </w:p>
        </w:tc>
        <w:tc>
          <w:tcPr>
            <w:tcW w:w="2841" w:type="dxa"/>
          </w:tcPr>
          <w:p w14:paraId="5DBB1720">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安全日志审计平台</w:t>
            </w:r>
          </w:p>
        </w:tc>
      </w:tr>
      <w:tr w14:paraId="4FBE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A92B2F">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响应</w:t>
            </w:r>
          </w:p>
        </w:tc>
        <w:tc>
          <w:tcPr>
            <w:tcW w:w="2841" w:type="dxa"/>
          </w:tcPr>
          <w:p w14:paraId="0F9AAB65">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自动化应急响应</w:t>
            </w:r>
          </w:p>
        </w:tc>
        <w:tc>
          <w:tcPr>
            <w:tcW w:w="2841" w:type="dxa"/>
          </w:tcPr>
          <w:p w14:paraId="19156652">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SOAR安全编排系统</w:t>
            </w:r>
          </w:p>
        </w:tc>
      </w:tr>
      <w:tr w14:paraId="5024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F07550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恢复</w:t>
            </w:r>
          </w:p>
        </w:tc>
        <w:tc>
          <w:tcPr>
            <w:tcW w:w="2841" w:type="dxa"/>
          </w:tcPr>
          <w:p w14:paraId="157115F1">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双活灾备架构</w:t>
            </w:r>
          </w:p>
        </w:tc>
        <w:tc>
          <w:tcPr>
            <w:tcW w:w="2841" w:type="dxa"/>
          </w:tcPr>
          <w:p w14:paraId="3D0DCA5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数据容灾管理平台</w:t>
            </w:r>
          </w:p>
        </w:tc>
      </w:tr>
    </w:tbl>
    <w:p w14:paraId="014541D4">
      <w:pPr>
        <w:numPr>
          <w:ilvl w:val="0"/>
          <w:numId w:val="0"/>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drawing>
          <wp:inline distT="0" distB="0" distL="114300" distR="114300">
            <wp:extent cx="5267960" cy="3950335"/>
            <wp:effectExtent l="0" t="0" r="5080" b="12065"/>
            <wp:docPr id="6" name="图片 6" descr="1db33627ecc9aaff9bd31e9dce27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db33627ecc9aaff9bd31e9dce276d8"/>
                    <pic:cNvPicPr>
                      <a:picLocks noChangeAspect="1"/>
                    </pic:cNvPicPr>
                  </pic:nvPicPr>
                  <pic:blipFill>
                    <a:blip r:embed="rId9"/>
                    <a:stretch>
                      <a:fillRect/>
                    </a:stretch>
                  </pic:blipFill>
                  <pic:spPr>
                    <a:xfrm>
                      <a:off x="0" y="0"/>
                      <a:ext cx="5267960" cy="3950335"/>
                    </a:xfrm>
                    <a:prstGeom prst="rect">
                      <a:avLst/>
                    </a:prstGeom>
                  </pic:spPr>
                </pic:pic>
              </a:graphicData>
            </a:graphic>
          </wp:inline>
        </w:drawing>
      </w:r>
    </w:p>
    <w:p w14:paraId="0DC6D175">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图6：迪普的产品与解决方案一览</w:t>
      </w:r>
    </w:p>
    <w:p w14:paraId="21EF3BE1">
      <w:pPr>
        <w:numPr>
          <w:ilvl w:val="0"/>
          <w:numId w:val="0"/>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（四）行业标杆：硬核实力的权威认证</w:t>
      </w:r>
    </w:p>
    <w:p w14:paraId="48E7991D">
      <w:pPr>
        <w:numPr>
          <w:ilvl w:val="0"/>
          <w:numId w:val="7"/>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 xml:space="preserve"> 2024年获浙江省制造业首台（套）产品认证（见图7）</w:t>
      </w:r>
    </w:p>
    <w:p w14:paraId="7C751945">
      <w:pPr>
        <w:numPr>
          <w:ilvl w:val="0"/>
          <w:numId w:val="7"/>
        </w:numPr>
        <w:spacing w:line="360" w:lineRule="auto"/>
        <w:ind w:left="0" w:leftChars="0" w:firstLine="0" w:firstLine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 xml:space="preserve"> 成为杭州亚运会网络安全保障核心供应商</w:t>
      </w:r>
    </w:p>
    <w:p w14:paraId="046731BD">
      <w:pPr>
        <w:numPr>
          <w:ilvl w:val="0"/>
          <w:numId w:val="7"/>
        </w:numPr>
        <w:spacing w:line="360" w:lineRule="auto"/>
        <w:ind w:left="0" w:leftChars="0" w:firstLine="0" w:firstLine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 xml:space="preserve"> 在某省会城市的安全大脑日均处理告警200万+</w:t>
      </w:r>
    </w:p>
    <w:p w14:paraId="2C473945">
      <w:pPr>
        <w:numPr>
          <w:ilvl w:val="0"/>
          <w:numId w:val="0"/>
        </w:numPr>
        <w:spacing w:line="360" w:lineRule="auto"/>
        <w:ind w:leftChars="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drawing>
          <wp:inline distT="0" distB="0" distL="114300" distR="114300">
            <wp:extent cx="5267960" cy="3950335"/>
            <wp:effectExtent l="0" t="0" r="5080" b="12065"/>
            <wp:docPr id="7" name="图片 7" descr="bec70a35f31d3f2e04a1fd3df9d5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ec70a35f31d3f2e04a1fd3df9d5f99"/>
                    <pic:cNvPicPr>
                      <a:picLocks noChangeAspect="1"/>
                    </pic:cNvPicPr>
                  </pic:nvPicPr>
                  <pic:blipFill>
                    <a:blip r:embed="rId10"/>
                    <a:stretch>
                      <a:fillRect/>
                    </a:stretch>
                  </pic:blipFill>
                  <pic:spPr>
                    <a:xfrm>
                      <a:off x="0" y="0"/>
                      <a:ext cx="5267960" cy="3950335"/>
                    </a:xfrm>
                    <a:prstGeom prst="rect">
                      <a:avLst/>
                    </a:prstGeom>
                  </pic:spPr>
                </pic:pic>
              </a:graphicData>
            </a:graphic>
          </wp:inline>
        </w:drawing>
      </w:r>
    </w:p>
    <w:p w14:paraId="452286A9">
      <w:pPr>
        <w:spacing w:line="360" w:lineRule="auto"/>
        <w:jc w:val="center"/>
        <w:rPr>
          <w:rFonts w:hint="default" w:ascii="Times New Roman" w:hAnsi="Times New Roman" w:eastAsia="宋体" w:cs="Times New Roman"/>
          <w:szCs w:val="21"/>
          <w:lang w:val="en-US" w:eastAsia="zh-CN"/>
          <w14:ligatures w14:val="standardContextual"/>
        </w:rPr>
      </w:pPr>
      <w:r>
        <w:rPr>
          <w:rFonts w:hint="eastAsia" w:ascii="Times New Roman" w:hAnsi="Times New Roman" w:eastAsia="宋体" w:cs="Times New Roman"/>
          <w:szCs w:val="21"/>
          <w:lang w:val="en-US" w:eastAsia="zh-CN"/>
          <w14:ligatures w14:val="standardContextual"/>
        </w:rPr>
        <w:t>图7：迪普获得的权威证书</w:t>
      </w:r>
    </w:p>
    <w:p w14:paraId="052F1CB4">
      <w:pPr>
        <w:numPr>
          <w:ilvl w:val="0"/>
          <w:numId w:val="0"/>
        </w:numPr>
        <w:spacing w:line="360" w:lineRule="auto"/>
        <w:ind w:left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（五）迪普的技术布局</w:t>
      </w:r>
    </w:p>
    <w:p w14:paraId="411885A1">
      <w:pPr>
        <w:numPr>
          <w:ilvl w:val="0"/>
          <w:numId w:val="0"/>
        </w:numPr>
        <w:spacing w:line="360" w:lineRule="auto"/>
        <w:ind w:leftChars="0" w:firstLine="480" w:firstLineChars="20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迪普将硬件与软件协同应用，提供端到端的安全解决方案。其攻防研究中心不仅关注对抗中的技术攻破，还深入分析威胁情报，强化主动防御与应急响应，致力于应对日益复杂的网络安全挑战。</w:t>
      </w:r>
    </w:p>
    <w:p w14:paraId="4EF045E1">
      <w:pPr>
        <w:numPr>
          <w:ilvl w:val="0"/>
          <w:numId w:val="0"/>
        </w:numPr>
        <w:spacing w:line="360" w:lineRule="auto"/>
        <w:ind w:leftChars="0" w:firstLine="480" w:firstLineChars="200"/>
        <w:rPr>
          <w:rFonts w:hint="eastAsia" w:ascii="Times New Roman" w:hAnsi="Times New Roman" w:eastAsia="仿宋" w:cs="Times New Roman"/>
          <w:sz w:val="24"/>
          <w:szCs w:val="24"/>
          <w:lang w:val="en-US" w:eastAsia="zh-CN"/>
        </w:rPr>
      </w:pPr>
    </w:p>
    <w:p w14:paraId="0A2B455A">
      <w:pPr>
        <w:numPr>
          <w:ilvl w:val="0"/>
          <w:numId w:val="1"/>
        </w:numPr>
        <w:spacing w:line="360" w:lineRule="auto"/>
        <w:ind w:left="0" w:leftChars="0" w:firstLine="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华为与迪普的异性与共性</w:t>
      </w:r>
    </w:p>
    <w:tbl>
      <w:tblPr>
        <w:tblStyle w:val="4"/>
        <w:tblpPr w:leftFromText="180" w:rightFromText="180" w:vertAnchor="text" w:horzAnchor="page" w:tblpX="1098" w:tblpY="523"/>
        <w:tblOverlap w:val="never"/>
        <w:tblW w:w="10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9"/>
        <w:gridCol w:w="2539"/>
        <w:gridCol w:w="2540"/>
        <w:gridCol w:w="2540"/>
      </w:tblGrid>
      <w:tr w14:paraId="3332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539" w:type="dxa"/>
          </w:tcPr>
          <w:p w14:paraId="73CE52F5">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维度</w:t>
            </w:r>
          </w:p>
        </w:tc>
        <w:tc>
          <w:tcPr>
            <w:tcW w:w="2539" w:type="dxa"/>
          </w:tcPr>
          <w:p w14:paraId="20B3A1B0">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华为</w:t>
            </w:r>
          </w:p>
        </w:tc>
        <w:tc>
          <w:tcPr>
            <w:tcW w:w="2540" w:type="dxa"/>
          </w:tcPr>
          <w:p w14:paraId="6B310D39">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迪普科技</w:t>
            </w:r>
          </w:p>
        </w:tc>
        <w:tc>
          <w:tcPr>
            <w:tcW w:w="2540" w:type="dxa"/>
          </w:tcPr>
          <w:p w14:paraId="0EC86720">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共性</w:t>
            </w:r>
          </w:p>
        </w:tc>
      </w:tr>
      <w:tr w14:paraId="15A9D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539" w:type="dxa"/>
          </w:tcPr>
          <w:p w14:paraId="0DC1DE91">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技术战略</w:t>
            </w:r>
          </w:p>
        </w:tc>
        <w:tc>
          <w:tcPr>
            <w:tcW w:w="2539" w:type="dxa"/>
          </w:tcPr>
          <w:p w14:paraId="7303DC45">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全场景ICT生态覆盖</w:t>
            </w:r>
          </w:p>
        </w:tc>
        <w:tc>
          <w:tcPr>
            <w:tcW w:w="2540" w:type="dxa"/>
          </w:tcPr>
          <w:p w14:paraId="22B6D520">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网络安全领域纵深防御</w:t>
            </w:r>
          </w:p>
        </w:tc>
        <w:tc>
          <w:tcPr>
            <w:tcW w:w="2540" w:type="dxa"/>
          </w:tcPr>
          <w:p w14:paraId="5FDA3FFE">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坚持核心技术</w:t>
            </w:r>
          </w:p>
        </w:tc>
      </w:tr>
      <w:tr w14:paraId="1D04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539" w:type="dxa"/>
          </w:tcPr>
          <w:p w14:paraId="62627329">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创新路径</w:t>
            </w:r>
          </w:p>
        </w:tc>
        <w:tc>
          <w:tcPr>
            <w:tcW w:w="2539" w:type="dxa"/>
          </w:tcPr>
          <w:p w14:paraId="62E4A28D">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基础研究+全球协作</w:t>
            </w:r>
          </w:p>
        </w:tc>
        <w:tc>
          <w:tcPr>
            <w:tcW w:w="2540" w:type="dxa"/>
          </w:tcPr>
          <w:p w14:paraId="5C4BF7ED">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场景驱动+实战验证</w:t>
            </w:r>
          </w:p>
        </w:tc>
        <w:tc>
          <w:tcPr>
            <w:tcW w:w="2540" w:type="dxa"/>
          </w:tcPr>
          <w:p w14:paraId="4130DC5C">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研发投入占比高</w:t>
            </w:r>
          </w:p>
        </w:tc>
      </w:tr>
      <w:tr w14:paraId="7D80D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539" w:type="dxa"/>
          </w:tcPr>
          <w:p w14:paraId="78010081">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人才机制</w:t>
            </w:r>
          </w:p>
        </w:tc>
        <w:tc>
          <w:tcPr>
            <w:tcW w:w="2539" w:type="dxa"/>
          </w:tcPr>
          <w:p w14:paraId="14979389">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全球顶尖科学家+高校赛事选拔</w:t>
            </w:r>
          </w:p>
        </w:tc>
        <w:tc>
          <w:tcPr>
            <w:tcW w:w="2540" w:type="dxa"/>
          </w:tcPr>
          <w:p w14:paraId="7E3BEBF7">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红蓝对抗+双通道晋升</w:t>
            </w:r>
          </w:p>
        </w:tc>
        <w:tc>
          <w:tcPr>
            <w:tcW w:w="2540" w:type="dxa"/>
          </w:tcPr>
          <w:p w14:paraId="6930EA94">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导师制与持续学习的企业文化</w:t>
            </w:r>
          </w:p>
        </w:tc>
      </w:tr>
      <w:tr w14:paraId="011C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2539" w:type="dxa"/>
          </w:tcPr>
          <w:p w14:paraId="4059DC4E">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校企合作</w:t>
            </w:r>
          </w:p>
        </w:tc>
        <w:tc>
          <w:tcPr>
            <w:tcW w:w="2539" w:type="dxa"/>
          </w:tcPr>
          <w:p w14:paraId="3CAEF93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嵌入式大赛、优招直通</w:t>
            </w:r>
          </w:p>
        </w:tc>
        <w:tc>
          <w:tcPr>
            <w:tcW w:w="2540" w:type="dxa"/>
          </w:tcPr>
          <w:p w14:paraId="3A2109F2">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共建网安实验室</w:t>
            </w:r>
          </w:p>
        </w:tc>
        <w:tc>
          <w:tcPr>
            <w:tcW w:w="2540" w:type="dxa"/>
          </w:tcPr>
          <w:p w14:paraId="5E7AFC8A">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课程共建与实习提供</w:t>
            </w:r>
          </w:p>
        </w:tc>
      </w:tr>
      <w:tr w14:paraId="6A6B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trPr>
        <w:tc>
          <w:tcPr>
            <w:tcW w:w="2539" w:type="dxa"/>
          </w:tcPr>
          <w:p w14:paraId="7EBDD078">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文化特质</w:t>
            </w:r>
          </w:p>
        </w:tc>
        <w:tc>
          <w:tcPr>
            <w:tcW w:w="2539" w:type="dxa"/>
          </w:tcPr>
          <w:p w14:paraId="541ED9BA">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开放创新与人文关怀并重</w:t>
            </w:r>
          </w:p>
        </w:tc>
        <w:tc>
          <w:tcPr>
            <w:tcW w:w="2540" w:type="dxa"/>
          </w:tcPr>
          <w:p w14:paraId="097D557A">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专注务实的技术极客精神</w:t>
            </w:r>
          </w:p>
        </w:tc>
        <w:tc>
          <w:tcPr>
            <w:tcW w:w="2540" w:type="dxa"/>
          </w:tcPr>
          <w:p w14:paraId="3E5105FC">
            <w:pPr>
              <w:numPr>
                <w:ilvl w:val="0"/>
                <w:numId w:val="0"/>
              </w:numPr>
              <w:spacing w:line="360" w:lineRule="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强调工程师文化</w:t>
            </w:r>
          </w:p>
        </w:tc>
      </w:tr>
    </w:tbl>
    <w:p w14:paraId="3CA1ABF2">
      <w:pPr>
        <w:numPr>
          <w:ilvl w:val="0"/>
          <w:numId w:val="0"/>
        </w:numPr>
        <w:spacing w:line="360" w:lineRule="auto"/>
        <w:ind w:leftChars="0"/>
        <w:rPr>
          <w:rFonts w:hint="eastAsia" w:ascii="Times New Roman" w:hAnsi="Times New Roman" w:eastAsia="仿宋" w:cs="Times New Roman"/>
          <w:sz w:val="24"/>
          <w:szCs w:val="24"/>
          <w:lang w:val="en-US" w:eastAsia="zh-CN"/>
        </w:rPr>
      </w:pPr>
    </w:p>
    <w:p w14:paraId="21768B4E">
      <w:pPr>
        <w:numPr>
          <w:ilvl w:val="0"/>
          <w:numId w:val="1"/>
        </w:numPr>
        <w:spacing w:line="360" w:lineRule="auto"/>
        <w:ind w:left="0" w:leftChars="0" w:firstLine="0" w:firstLineChars="0"/>
        <w:rPr>
          <w:rFonts w:hint="eastAsia"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实践总结</w:t>
      </w:r>
    </w:p>
    <w:p w14:paraId="42EF9936">
      <w:pPr>
        <w:numPr>
          <w:ilvl w:val="0"/>
          <w:numId w:val="8"/>
        </w:numPr>
        <w:spacing w:line="360" w:lineRule="auto"/>
        <w:ind w:leftChars="0"/>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技术融合加速：在参观过程中，我深感ICT与网络安全领域的边界正日益模糊模糊。以华为云安全与迪普的架构协同为例，华为凭借其在云计算、大数据等ICT领域的深厚积累，为云安全提供了强大的算力和平台支持；迪普则利用其在网络安全方面的专业技术，如防火墙、入侵检测等，为华为云建起牢固的安全防线。这表明在未来，不同技术领域之间交叉融合将成为推动产业发展的重要动力</w:t>
      </w:r>
    </w:p>
    <w:p w14:paraId="17CC3A71">
      <w:pPr>
        <w:numPr>
          <w:ilvl w:val="0"/>
          <w:numId w:val="0"/>
        </w:num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二）人才需求转型：当前，单一技能的人才已难以满足产业发展的需求，反而复合型能力成为刚需。无论是华为构建万物互联的智能世界，还是迪普打造全栈式安全防御体系，都需要人才具备多方面的知识和技能。例如在通信协议方面，人才不仅要熟悉传统的TCP/IP协议，还需了解新兴的5G、6G通信协议。因此，我们这些相关专业的学生更要注重跨学科知识的学习和实践能力的培养。</w:t>
      </w:r>
    </w:p>
    <w:p w14:paraId="320E9B46">
      <w:pPr>
        <w:numPr>
          <w:ilvl w:val="0"/>
          <w:numId w:val="0"/>
        </w:numPr>
        <w:spacing w:line="360" w:lineRule="auto"/>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三）国产化的趋势：从芯片到OS，全栈自主已经成为了各大企业的共识。华为在芯片领域不断发力，鲲鹏芯片、昇腾芯片等的研发和应用，打破了国外芯片的垄断局面。而在操作系统方面，鸿蒙操作系统不仅应用于智能终端，还逐步拓展到智能汽车、物联网等领域，构建起国产操作系统的生态体系。在国际形势复杂多变的情况下，实现全栈自主能够有效保障国家关键信息基础设施的安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4F85E"/>
    <w:multiLevelType w:val="multilevel"/>
    <w:tmpl w:val="9DC4F85E"/>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9DF337E2"/>
    <w:multiLevelType w:val="singleLevel"/>
    <w:tmpl w:val="9DF337E2"/>
    <w:lvl w:ilvl="0" w:tentative="0">
      <w:start w:val="1"/>
      <w:numFmt w:val="decimal"/>
      <w:lvlText w:val="%1."/>
      <w:lvlJc w:val="left"/>
      <w:pPr>
        <w:tabs>
          <w:tab w:val="left" w:pos="312"/>
        </w:tabs>
      </w:pPr>
    </w:lvl>
  </w:abstractNum>
  <w:abstractNum w:abstractNumId="2">
    <w:nsid w:val="BD1E0181"/>
    <w:multiLevelType w:val="singleLevel"/>
    <w:tmpl w:val="BD1E0181"/>
    <w:lvl w:ilvl="0" w:tentative="0">
      <w:start w:val="1"/>
      <w:numFmt w:val="decimal"/>
      <w:lvlText w:val="%1."/>
      <w:lvlJc w:val="left"/>
      <w:pPr>
        <w:tabs>
          <w:tab w:val="left" w:pos="312"/>
        </w:tabs>
      </w:pPr>
    </w:lvl>
  </w:abstractNum>
  <w:abstractNum w:abstractNumId="3">
    <w:nsid w:val="FEB52FEF"/>
    <w:multiLevelType w:val="singleLevel"/>
    <w:tmpl w:val="FEB52FEF"/>
    <w:lvl w:ilvl="0" w:tentative="0">
      <w:start w:val="1"/>
      <w:numFmt w:val="chineseCounting"/>
      <w:suff w:val="nothing"/>
      <w:lvlText w:val="（%1）"/>
      <w:lvlJc w:val="left"/>
      <w:rPr>
        <w:rFonts w:hint="eastAsia"/>
      </w:rPr>
    </w:lvl>
  </w:abstractNum>
  <w:abstractNum w:abstractNumId="4">
    <w:nsid w:val="36F638A4"/>
    <w:multiLevelType w:val="singleLevel"/>
    <w:tmpl w:val="36F638A4"/>
    <w:lvl w:ilvl="0" w:tentative="0">
      <w:start w:val="1"/>
      <w:numFmt w:val="chineseCounting"/>
      <w:suff w:val="nothing"/>
      <w:lvlText w:val="（%1）"/>
      <w:lvlJc w:val="left"/>
      <w:rPr>
        <w:rFonts w:hint="eastAsia"/>
      </w:rPr>
    </w:lvl>
  </w:abstractNum>
  <w:abstractNum w:abstractNumId="5">
    <w:nsid w:val="609CF6BA"/>
    <w:multiLevelType w:val="multilevel"/>
    <w:tmpl w:val="609CF6BA"/>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6971FF4A"/>
    <w:multiLevelType w:val="singleLevel"/>
    <w:tmpl w:val="6971FF4A"/>
    <w:lvl w:ilvl="0" w:tentative="0">
      <w:start w:val="1"/>
      <w:numFmt w:val="chineseCounting"/>
      <w:suff w:val="nothing"/>
      <w:lvlText w:val="%1、"/>
      <w:lvlJc w:val="left"/>
      <w:rPr>
        <w:rFonts w:hint="eastAsia"/>
      </w:rPr>
    </w:lvl>
  </w:abstractNum>
  <w:abstractNum w:abstractNumId="7">
    <w:nsid w:val="6CDDBFCD"/>
    <w:multiLevelType w:val="singleLevel"/>
    <w:tmpl w:val="6CDDBFCD"/>
    <w:lvl w:ilvl="0" w:tentative="0">
      <w:start w:val="4"/>
      <w:numFmt w:val="chineseCounting"/>
      <w:suff w:val="nothing"/>
      <w:lvlText w:val="（%1）"/>
      <w:lvlJc w:val="left"/>
      <w:rPr>
        <w:rFonts w:hint="eastAsia"/>
      </w:rPr>
    </w:lvl>
  </w:abstractNum>
  <w:num w:numId="1">
    <w:abstractNumId w:val="6"/>
  </w:num>
  <w:num w:numId="2">
    <w:abstractNumId w:val="0"/>
  </w:num>
  <w:num w:numId="3">
    <w:abstractNumId w:val="2"/>
  </w:num>
  <w:num w:numId="4">
    <w:abstractNumId w:val="1"/>
  </w:num>
  <w:num w:numId="5">
    <w:abstractNumId w:val="7"/>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5D0B90"/>
    <w:rsid w:val="7C2F3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2851</Words>
  <Characters>2999</Characters>
  <Lines>0</Lines>
  <Paragraphs>0</Paragraphs>
  <TotalTime>2</TotalTime>
  <ScaleCrop>false</ScaleCrop>
  <LinksUpToDate>false</LinksUpToDate>
  <CharactersWithSpaces>3002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2025-07-11T07:56:00Z</dcterms:created>
  <dc:creator>cyh</dc:creator>
  <cp:lastModifiedBy>陈宇航</cp:lastModifiedBy>
  <dcterms:modified xsi:type="dcterms:W3CDTF">2025-07-11T12:38:44Z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eyJoZGlkIjoiNDY5NmEwNmYxZWZiMjk3MGM4YTQ3OWE1NGM3YzRiOTYiLCJ1c2VySWQiOiIxNjM3MzMwNTk5In0=</vt:lpwstr>
  </property>
  <property fmtid="{D5CDD505-2E9C-101B-9397-08002B2CF9AE}" pid="4" name="ICV">
    <vt:lpwstr>D7576FFA087E4EDCAF5DE9E21336C610_12</vt:lpwstr>
  </property>
</Properties>
</file>