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ACA2" w14:textId="77777777" w:rsidR="00592C2A" w:rsidRDefault="00592C2A" w:rsidP="00592C2A">
      <w:pPr>
        <w:snapToGrid w:val="0"/>
        <w:spacing w:line="360" w:lineRule="auto"/>
        <w:ind w:firstLineChars="200" w:firstLine="480"/>
        <w:outlineLvl w:val="0"/>
        <w:rPr>
          <w:rFonts w:ascii="方正仿宋_GBK" w:eastAsia="方正仿宋_GBK" w:hAnsi="方正仿宋_GBK" w:cs="方正仿宋_GBK" w:hint="default"/>
          <w:b/>
          <w:sz w:val="24"/>
          <w:szCs w:val="24"/>
        </w:rPr>
      </w:pPr>
      <w:r>
        <w:rPr>
          <w:rFonts w:ascii="方正仿宋_GBK" w:eastAsia="方正仿宋_GBK" w:hAnsi="方正仿宋_GBK" w:cs="方正仿宋_GBK"/>
          <w:b/>
          <w:sz w:val="24"/>
          <w:szCs w:val="24"/>
        </w:rPr>
        <w:t>四、</w:t>
      </w:r>
      <w:bookmarkStart w:id="0" w:name="_GoBack"/>
      <w:r w:rsidRPr="0060411A">
        <w:rPr>
          <w:rFonts w:ascii="方正仿宋_GBK" w:eastAsia="方正仿宋_GBK" w:hAnsi="方正仿宋_GBK" w:cs="方正仿宋_GBK"/>
          <w:b/>
          <w:sz w:val="24"/>
          <w:szCs w:val="24"/>
        </w:rPr>
        <w:t>免赔额（人民币）</w:t>
      </w:r>
      <w:r>
        <w:rPr>
          <w:rFonts w:ascii="方正仿宋_GBK" w:eastAsia="方正仿宋_GBK" w:hAnsi="方正仿宋_GBK" w:cs="方正仿宋_GBK"/>
          <w:b/>
          <w:sz w:val="24"/>
          <w:szCs w:val="24"/>
        </w:rPr>
        <w:t>：</w:t>
      </w:r>
      <w:bookmarkEnd w:id="0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5298"/>
      </w:tblGrid>
      <w:tr w:rsidR="00592C2A" w14:paraId="669F3FBE" w14:textId="77777777" w:rsidTr="00C56786">
        <w:trPr>
          <w:trHeight w:val="558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F58323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jc w:val="center"/>
              <w:rPr>
                <w:rFonts w:ascii="方正仿宋_GBK" w:eastAsia="方正仿宋_GBK" w:hAnsi="方正仿宋_GBK" w:cs="方正仿宋_GBK" w:hint="default"/>
                <w:b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sz w:val="24"/>
                <w:szCs w:val="24"/>
              </w:rPr>
              <w:t>企业类型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FB4D013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jc w:val="center"/>
              <w:rPr>
                <w:rFonts w:ascii="方正仿宋_GBK" w:eastAsia="方正仿宋_GBK" w:hAnsi="方正仿宋_GBK" w:cs="方正仿宋_GBK" w:hint="default"/>
                <w:b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sz w:val="24"/>
                <w:szCs w:val="24"/>
              </w:rPr>
              <w:t>免赔额</w:t>
            </w:r>
          </w:p>
        </w:tc>
      </w:tr>
      <w:tr w:rsidR="00592C2A" w14:paraId="2A1B7134" w14:textId="77777777" w:rsidTr="00C56786">
        <w:trPr>
          <w:trHeight w:val="694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49DF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b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sz w:val="24"/>
                <w:szCs w:val="24"/>
              </w:rPr>
              <w:t>商业楼宇、酒店、培训中心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7AE6D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500元</w:t>
            </w:r>
          </w:p>
        </w:tc>
      </w:tr>
      <w:tr w:rsidR="00592C2A" w14:paraId="7112E6C5" w14:textId="77777777" w:rsidTr="00C56786">
        <w:trPr>
          <w:trHeight w:val="694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2970D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b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sz w:val="24"/>
                <w:szCs w:val="24"/>
              </w:rPr>
              <w:t>光伏电站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9D2A6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每次事故损失金额的5%，最高不超过2000元。</w:t>
            </w:r>
          </w:p>
        </w:tc>
      </w:tr>
      <w:tr w:rsidR="00592C2A" w14:paraId="5AC1C36E" w14:textId="77777777" w:rsidTr="00C56786">
        <w:trPr>
          <w:trHeight w:val="945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03CE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b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sz w:val="24"/>
                <w:szCs w:val="24"/>
              </w:rPr>
              <w:t>燃气—蒸汽联合循环电厂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AF9F0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E级及以下燃机免赔额：燃气轮机本体：50万元；</w:t>
            </w:r>
          </w:p>
          <w:p w14:paraId="007328A9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蒸汽轮机、余热锅炉、发电机及主变压器：10万元；</w:t>
            </w:r>
          </w:p>
          <w:p w14:paraId="5CEB7EE9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其他：5000元。</w:t>
            </w:r>
          </w:p>
          <w:p w14:paraId="51708E3B" w14:textId="77777777" w:rsidR="00592C2A" w:rsidRDefault="00592C2A" w:rsidP="00592C2A">
            <w:pPr>
              <w:numPr>
                <w:ilvl w:val="0"/>
                <w:numId w:val="1"/>
              </w:num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H</w:t>
            </w:r>
            <w:proofErr w:type="gramStart"/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级燃机</w:t>
            </w:r>
            <w:proofErr w:type="gramEnd"/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免赔额：燃机主体免赔额100万元；</w:t>
            </w:r>
          </w:p>
          <w:p w14:paraId="660D4DB7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蒸汽轮机、余热锅炉、发电机、主变压器10万元；</w:t>
            </w:r>
          </w:p>
          <w:p w14:paraId="276B4EFB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其他：5000元。</w:t>
            </w:r>
          </w:p>
        </w:tc>
      </w:tr>
      <w:tr w:rsidR="00592C2A" w14:paraId="155E6B5E" w14:textId="77777777" w:rsidTr="00C56786">
        <w:trPr>
          <w:trHeight w:val="945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4167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b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sz w:val="24"/>
                <w:szCs w:val="24"/>
              </w:rPr>
              <w:t>海上风电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0295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海上部分：2万元；</w:t>
            </w:r>
          </w:p>
          <w:p w14:paraId="21ECD2C4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陆上部分：5000元。</w:t>
            </w:r>
          </w:p>
        </w:tc>
      </w:tr>
      <w:tr w:rsidR="00592C2A" w14:paraId="0B4462BF" w14:textId="77777777" w:rsidTr="00C56786">
        <w:trPr>
          <w:trHeight w:val="945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9B788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b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sz w:val="24"/>
                <w:szCs w:val="24"/>
              </w:rPr>
              <w:t>电站（非光伏电站）、供热、铝厂、铝土矿、铁路、煤矿、化工、港口、电厂环保、其他（非燃气电厂）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DA10" w14:textId="77777777" w:rsidR="00592C2A" w:rsidRDefault="00592C2A" w:rsidP="00C56786">
            <w:pPr>
              <w:tabs>
                <w:tab w:val="left" w:pos="4680"/>
                <w:tab w:val="left" w:pos="6480"/>
              </w:tabs>
              <w:adjustRightInd w:val="0"/>
              <w:snapToGrid w:val="0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每次事故损失金额的5%，最高不超过2000元。</w:t>
            </w:r>
          </w:p>
        </w:tc>
      </w:tr>
    </w:tbl>
    <w:p w14:paraId="0508F535" w14:textId="77777777" w:rsidR="00592C2A" w:rsidRDefault="00592C2A" w:rsidP="00592C2A">
      <w:pPr>
        <w:snapToGrid w:val="0"/>
        <w:spacing w:line="360" w:lineRule="auto"/>
        <w:ind w:firstLineChars="200" w:firstLine="480"/>
        <w:outlineLvl w:val="0"/>
        <w:rPr>
          <w:rFonts w:ascii="方正仿宋_GBK" w:eastAsia="方正仿宋_GBK" w:hAnsi="方正仿宋_GBK" w:cs="方正仿宋_GBK" w:hint="default"/>
          <w:b/>
          <w:sz w:val="24"/>
          <w:szCs w:val="24"/>
        </w:rPr>
      </w:pPr>
      <w:r>
        <w:rPr>
          <w:rFonts w:ascii="方正仿宋_GBK" w:eastAsia="方正仿宋_GBK" w:hAnsi="方正仿宋_GBK" w:cs="方正仿宋_GBK"/>
          <w:b/>
          <w:sz w:val="24"/>
          <w:szCs w:val="24"/>
        </w:rPr>
        <w:t>八、保险人及保险费(含税)：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6"/>
        <w:gridCol w:w="963"/>
        <w:gridCol w:w="1473"/>
      </w:tblGrid>
      <w:tr w:rsidR="00592C2A" w14:paraId="52B98759" w14:textId="77777777" w:rsidTr="00C56786">
        <w:trPr>
          <w:trHeight w:val="590"/>
          <w:jc w:val="center"/>
        </w:trPr>
        <w:tc>
          <w:tcPr>
            <w:tcW w:w="6086" w:type="dxa"/>
            <w:vAlign w:val="center"/>
          </w:tcPr>
          <w:p w14:paraId="43B3A85A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b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bCs/>
                <w:sz w:val="24"/>
                <w:szCs w:val="24"/>
              </w:rPr>
              <w:t>保险公司</w:t>
            </w:r>
          </w:p>
        </w:tc>
        <w:tc>
          <w:tcPr>
            <w:tcW w:w="963" w:type="dxa"/>
            <w:vAlign w:val="center"/>
          </w:tcPr>
          <w:p w14:paraId="5E4E6414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b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bCs/>
                <w:sz w:val="24"/>
                <w:szCs w:val="24"/>
              </w:rPr>
              <w:t>份额</w:t>
            </w:r>
          </w:p>
        </w:tc>
        <w:tc>
          <w:tcPr>
            <w:tcW w:w="1473" w:type="dxa"/>
            <w:vAlign w:val="center"/>
          </w:tcPr>
          <w:p w14:paraId="006235E0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b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bCs/>
                <w:sz w:val="24"/>
                <w:szCs w:val="24"/>
              </w:rPr>
              <w:t>份额内保费（元）</w:t>
            </w:r>
          </w:p>
        </w:tc>
      </w:tr>
      <w:tr w:rsidR="00592C2A" w14:paraId="20458A10" w14:textId="77777777" w:rsidTr="00C56786">
        <w:trPr>
          <w:trHeight w:val="590"/>
          <w:jc w:val="center"/>
        </w:trPr>
        <w:tc>
          <w:tcPr>
            <w:tcW w:w="6086" w:type="dxa"/>
            <w:vAlign w:val="center"/>
          </w:tcPr>
          <w:p w14:paraId="328A4B49" w14:textId="77777777" w:rsidR="00592C2A" w:rsidRDefault="00592C2A" w:rsidP="00C56786">
            <w:pPr>
              <w:snapToGrid w:val="0"/>
              <w:jc w:val="left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主承保人：英大泰和财产保险股份有限公司北京分公司</w:t>
            </w:r>
          </w:p>
        </w:tc>
        <w:tc>
          <w:tcPr>
            <w:tcW w:w="963" w:type="dxa"/>
            <w:vAlign w:val="center"/>
          </w:tcPr>
          <w:p w14:paraId="7E76EB3C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40%</w:t>
            </w:r>
          </w:p>
        </w:tc>
        <w:tc>
          <w:tcPr>
            <w:tcW w:w="1473" w:type="dxa"/>
            <w:vAlign w:val="center"/>
          </w:tcPr>
          <w:p w14:paraId="332B5415" w14:textId="77777777" w:rsidR="00592C2A" w:rsidRDefault="00592C2A" w:rsidP="00C56786">
            <w:pPr>
              <w:widowControl/>
              <w:adjustRightInd w:val="0"/>
              <w:jc w:val="center"/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Cs/>
                <w:sz w:val="24"/>
                <w:szCs w:val="24"/>
              </w:rPr>
              <w:t>3522.54</w:t>
            </w:r>
          </w:p>
        </w:tc>
      </w:tr>
      <w:tr w:rsidR="00592C2A" w14:paraId="2343F424" w14:textId="77777777" w:rsidTr="00C56786">
        <w:trPr>
          <w:trHeight w:val="590"/>
          <w:jc w:val="center"/>
        </w:trPr>
        <w:tc>
          <w:tcPr>
            <w:tcW w:w="6086" w:type="dxa"/>
            <w:vAlign w:val="center"/>
          </w:tcPr>
          <w:p w14:paraId="26CE58E3" w14:textId="77777777" w:rsidR="00592C2A" w:rsidRDefault="00592C2A" w:rsidP="00C56786">
            <w:pPr>
              <w:snapToGrid w:val="0"/>
              <w:jc w:val="left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共保人1：永</w:t>
            </w:r>
            <w:proofErr w:type="gramStart"/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诚财产</w:t>
            </w:r>
            <w:proofErr w:type="gramEnd"/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保险股份有限公司河北分公司</w:t>
            </w:r>
          </w:p>
        </w:tc>
        <w:tc>
          <w:tcPr>
            <w:tcW w:w="963" w:type="dxa"/>
            <w:vAlign w:val="center"/>
          </w:tcPr>
          <w:p w14:paraId="5534C478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25%</w:t>
            </w:r>
          </w:p>
        </w:tc>
        <w:tc>
          <w:tcPr>
            <w:tcW w:w="1473" w:type="dxa"/>
          </w:tcPr>
          <w:p w14:paraId="64621EC9" w14:textId="77777777" w:rsidR="00592C2A" w:rsidRDefault="00592C2A" w:rsidP="00C56786">
            <w:pPr>
              <w:adjustRightInd w:val="0"/>
              <w:jc w:val="center"/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  <w:t>2201.59</w:t>
            </w:r>
          </w:p>
        </w:tc>
      </w:tr>
      <w:tr w:rsidR="00592C2A" w14:paraId="7D56BC9A" w14:textId="77777777" w:rsidTr="00C56786">
        <w:trPr>
          <w:trHeight w:val="590"/>
          <w:jc w:val="center"/>
        </w:trPr>
        <w:tc>
          <w:tcPr>
            <w:tcW w:w="6086" w:type="dxa"/>
            <w:vAlign w:val="center"/>
          </w:tcPr>
          <w:p w14:paraId="00F9CADF" w14:textId="77777777" w:rsidR="00592C2A" w:rsidRDefault="00592C2A" w:rsidP="00C56786">
            <w:pPr>
              <w:snapToGrid w:val="0"/>
              <w:jc w:val="left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共保人2：中国人民财产保险股份有限公司北京市分公司</w:t>
            </w:r>
          </w:p>
        </w:tc>
        <w:tc>
          <w:tcPr>
            <w:tcW w:w="963" w:type="dxa"/>
            <w:vAlign w:val="center"/>
          </w:tcPr>
          <w:p w14:paraId="09E86C8F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15%</w:t>
            </w:r>
          </w:p>
        </w:tc>
        <w:tc>
          <w:tcPr>
            <w:tcW w:w="1473" w:type="dxa"/>
          </w:tcPr>
          <w:p w14:paraId="34996F7C" w14:textId="77777777" w:rsidR="00592C2A" w:rsidRDefault="00592C2A" w:rsidP="00C56786">
            <w:pPr>
              <w:adjustRightInd w:val="0"/>
              <w:jc w:val="center"/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  <w:t>1320.95</w:t>
            </w:r>
          </w:p>
        </w:tc>
      </w:tr>
      <w:tr w:rsidR="00592C2A" w14:paraId="35E2D374" w14:textId="77777777" w:rsidTr="00C56786">
        <w:trPr>
          <w:trHeight w:val="590"/>
          <w:jc w:val="center"/>
        </w:trPr>
        <w:tc>
          <w:tcPr>
            <w:tcW w:w="6086" w:type="dxa"/>
            <w:vAlign w:val="center"/>
          </w:tcPr>
          <w:p w14:paraId="038E4C42" w14:textId="77777777" w:rsidR="00592C2A" w:rsidRDefault="00592C2A" w:rsidP="00C56786">
            <w:pPr>
              <w:snapToGrid w:val="0"/>
              <w:jc w:val="left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共保人3：中国人</w:t>
            </w:r>
            <w:proofErr w:type="gramStart"/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寿财产</w:t>
            </w:r>
            <w:proofErr w:type="gramEnd"/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保险股份有限公司长春中心支公司</w:t>
            </w:r>
          </w:p>
        </w:tc>
        <w:tc>
          <w:tcPr>
            <w:tcW w:w="963" w:type="dxa"/>
            <w:vAlign w:val="center"/>
          </w:tcPr>
          <w:p w14:paraId="051035DB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10%</w:t>
            </w:r>
          </w:p>
        </w:tc>
        <w:tc>
          <w:tcPr>
            <w:tcW w:w="1473" w:type="dxa"/>
          </w:tcPr>
          <w:p w14:paraId="59EEB6AC" w14:textId="77777777" w:rsidR="00592C2A" w:rsidRDefault="00592C2A" w:rsidP="00C56786">
            <w:pPr>
              <w:adjustRightInd w:val="0"/>
              <w:jc w:val="center"/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  <w:t>880.63</w:t>
            </w:r>
          </w:p>
        </w:tc>
      </w:tr>
      <w:tr w:rsidR="00592C2A" w14:paraId="62125384" w14:textId="77777777" w:rsidTr="00C56786">
        <w:trPr>
          <w:trHeight w:val="590"/>
          <w:jc w:val="center"/>
        </w:trPr>
        <w:tc>
          <w:tcPr>
            <w:tcW w:w="6086" w:type="dxa"/>
            <w:vAlign w:val="center"/>
          </w:tcPr>
          <w:p w14:paraId="59D6E35A" w14:textId="77777777" w:rsidR="00592C2A" w:rsidRDefault="00592C2A" w:rsidP="00C56786">
            <w:pPr>
              <w:snapToGrid w:val="0"/>
              <w:jc w:val="left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共保人4：中国太平洋财产保险股份有限公司山西分公司</w:t>
            </w:r>
          </w:p>
        </w:tc>
        <w:tc>
          <w:tcPr>
            <w:tcW w:w="963" w:type="dxa"/>
            <w:vAlign w:val="center"/>
          </w:tcPr>
          <w:p w14:paraId="23DCE836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  <w:szCs w:val="24"/>
              </w:rPr>
              <w:t>10%</w:t>
            </w:r>
          </w:p>
        </w:tc>
        <w:tc>
          <w:tcPr>
            <w:tcW w:w="1473" w:type="dxa"/>
          </w:tcPr>
          <w:p w14:paraId="6CC52466" w14:textId="77777777" w:rsidR="00592C2A" w:rsidRDefault="00592C2A" w:rsidP="00C56786">
            <w:pPr>
              <w:adjustRightInd w:val="0"/>
              <w:jc w:val="center"/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 w:hint="default"/>
                <w:bCs/>
                <w:sz w:val="24"/>
                <w:szCs w:val="24"/>
              </w:rPr>
              <w:t>880.63</w:t>
            </w:r>
          </w:p>
        </w:tc>
      </w:tr>
      <w:tr w:rsidR="00592C2A" w14:paraId="33B6F1D1" w14:textId="77777777" w:rsidTr="00C56786">
        <w:trPr>
          <w:trHeight w:val="590"/>
          <w:jc w:val="center"/>
        </w:trPr>
        <w:tc>
          <w:tcPr>
            <w:tcW w:w="6086" w:type="dxa"/>
            <w:vAlign w:val="center"/>
          </w:tcPr>
          <w:p w14:paraId="741ACF88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b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bCs/>
                <w:sz w:val="24"/>
                <w:szCs w:val="24"/>
              </w:rPr>
              <w:lastRenderedPageBreak/>
              <w:t>合 计</w:t>
            </w:r>
          </w:p>
        </w:tc>
        <w:tc>
          <w:tcPr>
            <w:tcW w:w="963" w:type="dxa"/>
            <w:vAlign w:val="center"/>
          </w:tcPr>
          <w:p w14:paraId="439899C7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b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1473" w:type="dxa"/>
            <w:vAlign w:val="center"/>
          </w:tcPr>
          <w:p w14:paraId="50504D6B" w14:textId="77777777" w:rsidR="00592C2A" w:rsidRDefault="00592C2A" w:rsidP="00C56786">
            <w:pPr>
              <w:snapToGrid w:val="0"/>
              <w:jc w:val="center"/>
              <w:rPr>
                <w:rFonts w:ascii="方正仿宋_GBK" w:eastAsia="方正仿宋_GBK" w:hAnsi="方正仿宋_GBK" w:cs="方正仿宋_GBK" w:hint="default"/>
                <w:b/>
                <w:bCs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 w:hint="default"/>
                <w:b/>
                <w:bCs/>
                <w:sz w:val="24"/>
                <w:szCs w:val="24"/>
              </w:rPr>
              <w:t>8806.34</w:t>
            </w:r>
          </w:p>
        </w:tc>
      </w:tr>
    </w:tbl>
    <w:p w14:paraId="1FED06DC" w14:textId="77777777" w:rsidR="00592C2A" w:rsidRDefault="00592C2A" w:rsidP="00592C2A">
      <w:pPr>
        <w:spacing w:line="360" w:lineRule="auto"/>
        <w:ind w:firstLineChars="200" w:firstLine="480"/>
        <w:outlineLvl w:val="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b/>
          <w:sz w:val="24"/>
          <w:szCs w:val="24"/>
        </w:rPr>
        <w:t>付费方式：</w:t>
      </w:r>
    </w:p>
    <w:p w14:paraId="632CFC50" w14:textId="77777777" w:rsidR="00592C2A" w:rsidRDefault="00592C2A" w:rsidP="00592C2A">
      <w:pPr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被保险人自收到保险公司出具的保单和发票15日内支付保险费的50%。出单后120日内，且被保险人收到保险公司出具的保单和发票15日内，支付剩余50%的保险费，保费支付至保险经纪公司保费代收账户。</w:t>
      </w:r>
    </w:p>
    <w:p w14:paraId="4FD87376" w14:textId="77777777" w:rsidR="00592C2A" w:rsidRDefault="00592C2A" w:rsidP="00592C2A">
      <w:pPr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保单期限不足120天或总保险费不足50万元的，被保险人自收到保险公司出具的保单和发票15日内一次性交付至保险经纪公司保费代收账户。</w:t>
      </w:r>
    </w:p>
    <w:p w14:paraId="3DD24D02" w14:textId="77777777" w:rsidR="00592C2A" w:rsidRDefault="00592C2A" w:rsidP="00592C2A">
      <w:pPr>
        <w:spacing w:line="360" w:lineRule="auto"/>
        <w:ind w:firstLineChars="200" w:firstLine="480"/>
        <w:outlineLvl w:val="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b/>
          <w:sz w:val="24"/>
          <w:szCs w:val="24"/>
        </w:rPr>
        <w:t>十、保险经纪人：</w:t>
      </w:r>
      <w:r w:rsidRPr="00592C2A">
        <w:rPr>
          <w:rFonts w:ascii="方正仿宋_GBK" w:eastAsia="方正仿宋_GBK" w:hAnsi="方正仿宋_GBK" w:cs="方正仿宋_GBK"/>
          <w:sz w:val="24"/>
          <w:szCs w:val="24"/>
        </w:rPr>
        <w:t>国家电投集团保险经纪有限公司</w:t>
      </w:r>
    </w:p>
    <w:p w14:paraId="05B383E1" w14:textId="77777777" w:rsidR="00592C2A" w:rsidRDefault="00592C2A" w:rsidP="00592C2A">
      <w:pPr>
        <w:snapToGrid w:val="0"/>
        <w:spacing w:line="360" w:lineRule="auto"/>
        <w:ind w:firstLineChars="200" w:firstLine="480"/>
        <w:outlineLvl w:val="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b/>
          <w:sz w:val="24"/>
          <w:szCs w:val="24"/>
        </w:rPr>
        <w:t>十二、特别约定：</w:t>
      </w:r>
    </w:p>
    <w:p w14:paraId="52D6F480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1.已建成尚未竣工决算的资产，投保资产以工程概算为基础估价投保，视同足额投保。竣工决算完成前，承保公司在理赔时有权利要求被保险人提供工程概算，但不能以未提供资产明细为由影响赔付。如保险期限内竣工决算完成，则双方应按决算金额调整保险金额。</w:t>
      </w:r>
    </w:p>
    <w:p w14:paraId="1B6EC152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2.因气、汽、水、油管道及容器爆裂所引起的保险财产的损坏，承保公司予以赔偿。</w:t>
      </w:r>
    </w:p>
    <w:p w14:paraId="02FB3312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3.停机退费特别约定（适用于燃气机组）：</w:t>
      </w:r>
    </w:p>
    <w:p w14:paraId="79E2E991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（1）适用条件：燃气电厂由于天然气供应不足或停供造成的停机；</w:t>
      </w:r>
    </w:p>
    <w:p w14:paraId="11274A14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（2）结算时间：保险期限终止15个工作日内；</w:t>
      </w:r>
    </w:p>
    <w:p w14:paraId="2B51A920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（3）退费标准：保险期内累计停工（包括修理，但不包括由于发生保险责任范围内损失后的修理）超过三个月的，按照以下标准退还保费：</w:t>
      </w:r>
    </w:p>
    <w:p w14:paraId="76D1EB84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三个月至五个月     退费15%</w:t>
      </w:r>
    </w:p>
    <w:p w14:paraId="6E451E50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六个月至八个月     退费25%</w:t>
      </w:r>
    </w:p>
    <w:p w14:paraId="6CA8CA89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lastRenderedPageBreak/>
        <w:t>九个月至十一个月   退费35%</w:t>
      </w:r>
    </w:p>
    <w:p w14:paraId="226EE421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十二个月           退费50%</w:t>
      </w:r>
    </w:p>
    <w:p w14:paraId="1332914B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4.电解槽损失特别约定A（仅限于铝电公司宁夏铝厂）：</w:t>
      </w:r>
    </w:p>
    <w:p w14:paraId="15FCB2C8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（1）电解槽赔款计算方式为：（设计天数－已使用天数）/设计天数*损失金额－残值*赔偿比例－免赔额。</w:t>
      </w:r>
    </w:p>
    <w:p w14:paraId="1A634F8A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（2）除投保人主动减产停止电解槽运行外，使用寿命未达到设计寿命</w:t>
      </w:r>
      <w:proofErr w:type="gramStart"/>
      <w:r>
        <w:rPr>
          <w:rFonts w:ascii="方正仿宋_GBK" w:eastAsia="方正仿宋_GBK" w:hAnsi="方正仿宋_GBK" w:cs="方正仿宋_GBK"/>
          <w:sz w:val="24"/>
          <w:szCs w:val="24"/>
        </w:rPr>
        <w:t>停槽均属于</w:t>
      </w:r>
      <w:proofErr w:type="gramEnd"/>
      <w:r>
        <w:rPr>
          <w:rFonts w:ascii="方正仿宋_GBK" w:eastAsia="方正仿宋_GBK" w:hAnsi="方正仿宋_GBK" w:cs="方正仿宋_GBK"/>
          <w:sz w:val="24"/>
          <w:szCs w:val="24"/>
        </w:rPr>
        <w:t>机损险保险责任。</w:t>
      </w:r>
    </w:p>
    <w:p w14:paraId="6EEF3367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（3）电解槽新建启动或修理启动后，设计寿命需从通电启动之日起重新计算。</w:t>
      </w:r>
    </w:p>
    <w:p w14:paraId="6993E130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5.电解槽损失特别约定B（仅限于黄河公司鑫业铝厂电解铝电解槽）：</w:t>
      </w:r>
    </w:p>
    <w:p w14:paraId="6932E87E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在本保单年度内，对于意外漏槽事故，槽</w:t>
      </w:r>
      <w:proofErr w:type="gramStart"/>
      <w:r>
        <w:rPr>
          <w:rFonts w:ascii="方正仿宋_GBK" w:eastAsia="方正仿宋_GBK" w:hAnsi="方正仿宋_GBK" w:cs="方正仿宋_GBK"/>
          <w:sz w:val="24"/>
          <w:szCs w:val="24"/>
        </w:rPr>
        <w:t>体赔偿</w:t>
      </w:r>
      <w:proofErr w:type="gramEnd"/>
      <w:r>
        <w:rPr>
          <w:rFonts w:ascii="方正仿宋_GBK" w:eastAsia="方正仿宋_GBK" w:hAnsi="方正仿宋_GBK" w:cs="方正仿宋_GBK"/>
          <w:sz w:val="24"/>
          <w:szCs w:val="24"/>
        </w:rPr>
        <w:t>40万元，如漏槽后将电解槽母线冲毁，母线赔偿20万元（合计60万元）。保单年度内第一台电解槽漏槽的，按照100%比例进行赔付，此后每台赔偿额度按照出险台数递减10%，从第六台开始，每台赔偿额度按照50%的比例进行赔付。</w:t>
      </w:r>
    </w:p>
    <w:p w14:paraId="610E25DA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即，赔偿金额=P*[1-（n-1）*10%],n=1,2,3,4,5</w:t>
      </w:r>
    </w:p>
    <w:p w14:paraId="76CF149A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赔偿金额=P*50%,n≥6</w:t>
      </w:r>
    </w:p>
    <w:p w14:paraId="0156542E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P为电解槽漏槽约定的赔偿额度（60万元）；</w:t>
      </w:r>
    </w:p>
    <w:p w14:paraId="67E8227B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n为本保单年度内出险电解槽的台数（当n大于等于6时，赔偿金额为每台30万元）。</w:t>
      </w:r>
    </w:p>
    <w:p w14:paraId="4F7FA43F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本特别约定与其他规定相冲突的，以本特别约定为准。</w:t>
      </w:r>
    </w:p>
    <w:p w14:paraId="6ECCE8D7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6.在理赔过程中，对于在检修期间发现的设备损坏，如损失原因属于本保单项下的保险责任，保险人不应以事故时间界定不清而拒绝赔偿，需在本保单项下</w:t>
      </w:r>
      <w:r>
        <w:rPr>
          <w:rFonts w:ascii="方正仿宋_GBK" w:eastAsia="方正仿宋_GBK" w:hAnsi="方正仿宋_GBK" w:cs="方正仿宋_GBK"/>
          <w:sz w:val="24"/>
          <w:szCs w:val="24"/>
        </w:rPr>
        <w:lastRenderedPageBreak/>
        <w:t>进行赔付，且不得追溯以往年度保单保险责任。</w:t>
      </w:r>
    </w:p>
    <w:p w14:paraId="460D65C8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7.为减少保险索赔时对定</w:t>
      </w:r>
      <w:proofErr w:type="gramStart"/>
      <w:r>
        <w:rPr>
          <w:rFonts w:ascii="方正仿宋_GBK" w:eastAsia="方正仿宋_GBK" w:hAnsi="方正仿宋_GBK" w:cs="方正仿宋_GBK"/>
          <w:sz w:val="24"/>
          <w:szCs w:val="24"/>
        </w:rPr>
        <w:t>损金额</w:t>
      </w:r>
      <w:proofErr w:type="gramEnd"/>
      <w:r>
        <w:rPr>
          <w:rFonts w:ascii="方正仿宋_GBK" w:eastAsia="方正仿宋_GBK" w:hAnsi="方正仿宋_GBK" w:cs="方正仿宋_GBK"/>
          <w:sz w:val="24"/>
          <w:szCs w:val="24"/>
        </w:rPr>
        <w:t>的分歧，保险公司与公估公司应积极参与受损标的</w:t>
      </w:r>
      <w:proofErr w:type="gramStart"/>
      <w:r>
        <w:rPr>
          <w:rFonts w:ascii="方正仿宋_GBK" w:eastAsia="方正仿宋_GBK" w:hAnsi="方正仿宋_GBK" w:cs="方正仿宋_GBK"/>
          <w:sz w:val="24"/>
          <w:szCs w:val="24"/>
        </w:rPr>
        <w:t>的</w:t>
      </w:r>
      <w:proofErr w:type="gramEnd"/>
      <w:r>
        <w:rPr>
          <w:rFonts w:ascii="方正仿宋_GBK" w:eastAsia="方正仿宋_GBK" w:hAnsi="方正仿宋_GBK" w:cs="方正仿宋_GBK"/>
          <w:sz w:val="24"/>
          <w:szCs w:val="24"/>
        </w:rPr>
        <w:t>修复过程（各项采购、修复合同的招评审及谈判等），如受邀请但未参加则视为对已确认的修复、采购费用无异议。</w:t>
      </w:r>
    </w:p>
    <w:p w14:paraId="0B06963B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8.保险人已知保险标的风险情况，并予以报价承保，不得以保险标的存在缺陷或未按保险人的要求进行整改而拒赔。</w:t>
      </w:r>
    </w:p>
    <w:p w14:paraId="16BE107B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9.有关残值的确定应由保险双方共同协商确定，如果被保险人不接受保险人有关残值的确定，则应被保险人的要求，保险人应接受被保险人有关残值的委付。</w:t>
      </w:r>
    </w:p>
    <w:p w14:paraId="148AF742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10.当发生本保单责任范围内的损失时，如被保险人报损金额超过人民币50万元（以被保险人提供的报损清单或出险通知书为准），由保险经纪公司在</w:t>
      </w:r>
      <w:proofErr w:type="gramStart"/>
      <w:r>
        <w:rPr>
          <w:rFonts w:ascii="方正仿宋_GBK" w:eastAsia="方正仿宋_GBK" w:hAnsi="方正仿宋_GBK" w:cs="方正仿宋_GBK"/>
          <w:sz w:val="24"/>
          <w:szCs w:val="24"/>
        </w:rPr>
        <w:t>公估公司库</w:t>
      </w:r>
      <w:proofErr w:type="gramEnd"/>
      <w:r>
        <w:rPr>
          <w:rFonts w:ascii="方正仿宋_GBK" w:eastAsia="方正仿宋_GBK" w:hAnsi="方正仿宋_GBK" w:cs="方正仿宋_GBK"/>
          <w:sz w:val="24"/>
          <w:szCs w:val="24"/>
        </w:rPr>
        <w:t>中指定公估公司进行理算，公</w:t>
      </w:r>
      <w:proofErr w:type="gramStart"/>
      <w:r>
        <w:rPr>
          <w:rFonts w:ascii="方正仿宋_GBK" w:eastAsia="方正仿宋_GBK" w:hAnsi="方正仿宋_GBK" w:cs="方正仿宋_GBK"/>
          <w:sz w:val="24"/>
          <w:szCs w:val="24"/>
        </w:rPr>
        <w:t>估费用</w:t>
      </w:r>
      <w:proofErr w:type="gramEnd"/>
      <w:r>
        <w:rPr>
          <w:rFonts w:ascii="方正仿宋_GBK" w:eastAsia="方正仿宋_GBK" w:hAnsi="方正仿宋_GBK" w:cs="方正仿宋_GBK"/>
          <w:sz w:val="24"/>
          <w:szCs w:val="24"/>
        </w:rPr>
        <w:t>由保险人承担。</w:t>
      </w:r>
    </w:p>
    <w:p w14:paraId="323C57C6" w14:textId="77777777" w:rsidR="00592C2A" w:rsidRDefault="00592C2A" w:rsidP="00592C2A">
      <w:pPr>
        <w:snapToGrid w:val="0"/>
        <w:spacing w:line="360" w:lineRule="auto"/>
        <w:ind w:firstLineChars="200" w:firstLine="480"/>
        <w:outlineLvl w:val="0"/>
        <w:rPr>
          <w:rFonts w:ascii="方正仿宋_GBK" w:eastAsia="方正仿宋_GBK" w:hAnsi="方正仿宋_GBK" w:cs="方正仿宋_GBK" w:hint="default"/>
          <w:b/>
          <w:sz w:val="24"/>
          <w:szCs w:val="24"/>
        </w:rPr>
      </w:pPr>
      <w:r>
        <w:rPr>
          <w:rFonts w:ascii="方正仿宋_GBK" w:eastAsia="方正仿宋_GBK" w:hAnsi="方正仿宋_GBK" w:cs="方正仿宋_GBK"/>
          <w:b/>
          <w:sz w:val="24"/>
          <w:szCs w:val="24"/>
        </w:rPr>
        <w:t>十三、</w:t>
      </w:r>
      <w:hyperlink w:anchor="_1、自动恢复保险金额条款" w:history="1">
        <w:r>
          <w:rPr>
            <w:rFonts w:ascii="方正仿宋_GBK" w:eastAsia="方正仿宋_GBK" w:hAnsi="方正仿宋_GBK" w:cs="方正仿宋_GBK"/>
            <w:b/>
            <w:sz w:val="24"/>
            <w:szCs w:val="24"/>
          </w:rPr>
          <w:t>附加险条款</w:t>
        </w:r>
      </w:hyperlink>
      <w:r>
        <w:rPr>
          <w:rFonts w:ascii="方正仿宋_GBK" w:eastAsia="方正仿宋_GBK" w:hAnsi="方正仿宋_GBK" w:cs="方正仿宋_GBK"/>
          <w:b/>
          <w:sz w:val="24"/>
          <w:szCs w:val="24"/>
        </w:rPr>
        <w:t xml:space="preserve">： </w:t>
      </w:r>
    </w:p>
    <w:p w14:paraId="500014A1" w14:textId="77777777" w:rsidR="00592C2A" w:rsidRDefault="00592C2A" w:rsidP="00592C2A">
      <w:pPr>
        <w:adjustRightInd w:val="0"/>
        <w:snapToGrid w:val="0"/>
        <w:spacing w:line="360" w:lineRule="auto"/>
        <w:ind w:firstLineChars="200" w:firstLine="480"/>
        <w:rPr>
          <w:rFonts w:hint="default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以下附加条款除特别注明外，适用本保险单和各个部分，若其与本保险单的其他规定相冲突，则以下列附加条款为准。</w:t>
      </w:r>
    </w:p>
    <w:p w14:paraId="2E244C31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重置价值条款</w:t>
      </w:r>
    </w:p>
    <w:p w14:paraId="418BB643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清理费用扩展条款（限额：总保额的10%）</w:t>
      </w:r>
    </w:p>
    <w:p w14:paraId="27DC069A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专业费用扩展条款（限额：总保额的10%）</w:t>
      </w:r>
    </w:p>
    <w:p w14:paraId="3EF608C1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color w:val="000000"/>
          <w:sz w:val="24"/>
          <w:szCs w:val="24"/>
        </w:rPr>
      </w:pPr>
      <w:r>
        <w:rPr>
          <w:rFonts w:ascii="方正仿宋_GBK" w:eastAsia="方正仿宋_GBK" w:hAnsi="方正仿宋_GBK" w:cs="方正仿宋_GBK"/>
          <w:color w:val="000000"/>
          <w:sz w:val="24"/>
          <w:szCs w:val="24"/>
        </w:rPr>
        <w:t>特别费用扩展条款（限额：每次事故损失金额的25%）</w:t>
      </w:r>
    </w:p>
    <w:p w14:paraId="7FBAA089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color w:val="000000"/>
          <w:sz w:val="24"/>
          <w:szCs w:val="24"/>
        </w:rPr>
      </w:pPr>
      <w:r>
        <w:rPr>
          <w:rFonts w:ascii="方正仿宋_GBK" w:eastAsia="方正仿宋_GBK" w:hAnsi="方正仿宋_GBK" w:cs="方正仿宋_GBK"/>
          <w:color w:val="000000"/>
          <w:sz w:val="24"/>
          <w:szCs w:val="24"/>
        </w:rPr>
        <w:t>空运</w:t>
      </w:r>
      <w:proofErr w:type="gramStart"/>
      <w:r>
        <w:rPr>
          <w:rFonts w:ascii="方正仿宋_GBK" w:eastAsia="方正仿宋_GBK" w:hAnsi="方正仿宋_GBK" w:cs="方正仿宋_GBK"/>
          <w:color w:val="000000"/>
          <w:sz w:val="24"/>
          <w:szCs w:val="24"/>
        </w:rPr>
        <w:t>费特别</w:t>
      </w:r>
      <w:proofErr w:type="gramEnd"/>
      <w:r>
        <w:rPr>
          <w:rFonts w:ascii="方正仿宋_GBK" w:eastAsia="方正仿宋_GBK" w:hAnsi="方正仿宋_GBK" w:cs="方正仿宋_GBK"/>
          <w:color w:val="000000"/>
          <w:sz w:val="24"/>
          <w:szCs w:val="24"/>
        </w:rPr>
        <w:t>条款（限额：每次事故损失金额的25%）</w:t>
      </w:r>
    </w:p>
    <w:p w14:paraId="35ADB276" w14:textId="77777777" w:rsidR="00592C2A" w:rsidRDefault="00592C2A" w:rsidP="00592C2A">
      <w:pPr>
        <w:numPr>
          <w:ilvl w:val="0"/>
          <w:numId w:val="2"/>
        </w:numPr>
        <w:tabs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color w:val="000000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索赔费用条款</w:t>
      </w:r>
    </w:p>
    <w:p w14:paraId="63A43B19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自动恢复保险金额条款</w:t>
      </w:r>
    </w:p>
    <w:p w14:paraId="2E7C0CF1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增加资产扩展条款B（总保险金额的10%）</w:t>
      </w:r>
    </w:p>
    <w:p w14:paraId="680951BD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lastRenderedPageBreak/>
        <w:t>临时保护措施扩展条款</w:t>
      </w:r>
    </w:p>
    <w:p w14:paraId="4891B7D8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传送带、链条扩展条款</w:t>
      </w:r>
    </w:p>
    <w:p w14:paraId="1946C0CC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错误和遗漏条款</w:t>
      </w:r>
    </w:p>
    <w:p w14:paraId="4A5F1818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违反条件条款</w:t>
      </w:r>
    </w:p>
    <w:p w14:paraId="3D2C1D39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不使失效条款</w:t>
      </w:r>
    </w:p>
    <w:p w14:paraId="6069D8A4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不受控制条款</w:t>
      </w:r>
    </w:p>
    <w:p w14:paraId="57A8E99D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公共当局扩展条款</w:t>
      </w:r>
    </w:p>
    <w:p w14:paraId="0617044E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color w:val="000000"/>
          <w:sz w:val="24"/>
          <w:szCs w:val="24"/>
        </w:rPr>
      </w:pPr>
      <w:r>
        <w:rPr>
          <w:rFonts w:ascii="方正仿宋_GBK" w:eastAsia="方正仿宋_GBK" w:hAnsi="方正仿宋_GBK" w:cs="方正仿宋_GBK"/>
          <w:color w:val="000000"/>
          <w:sz w:val="24"/>
          <w:szCs w:val="24"/>
        </w:rPr>
        <w:t>放弃代位追偿权利条款</w:t>
      </w:r>
    </w:p>
    <w:p w14:paraId="3C0CD6C3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放弃</w:t>
      </w:r>
      <w:r>
        <w:rPr>
          <w:rFonts w:ascii="方正仿宋_GBK" w:eastAsia="方正仿宋_GBK" w:hAnsi="方正仿宋_GBK" w:cs="方正仿宋_GBK"/>
          <w:color w:val="000000"/>
          <w:sz w:val="24"/>
          <w:szCs w:val="24"/>
        </w:rPr>
        <w:t>比例分摊条款</w:t>
      </w:r>
    </w:p>
    <w:p w14:paraId="5397DA0B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预付赔款条款</w:t>
      </w:r>
    </w:p>
    <w:p w14:paraId="0394C4B9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指定公估人条款</w:t>
      </w:r>
    </w:p>
    <w:p w14:paraId="7D4B8FD2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弃权与禁止反言条款</w:t>
      </w:r>
    </w:p>
    <w:p w14:paraId="56D96858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检修扩展条款</w:t>
      </w:r>
    </w:p>
    <w:p w14:paraId="6D84D7F3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成对或成套设备条款</w:t>
      </w:r>
    </w:p>
    <w:p w14:paraId="1C5D7945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替代和修理条款</w:t>
      </w:r>
    </w:p>
    <w:p w14:paraId="4902066F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烟熏扩展条款</w:t>
      </w:r>
    </w:p>
    <w:p w14:paraId="6DBDBD44" w14:textId="77777777" w:rsid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 w:hint="default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租用的设备及财产条款</w:t>
      </w:r>
    </w:p>
    <w:p w14:paraId="5913E49B" w14:textId="39F7835F" w:rsidR="002945A9" w:rsidRPr="00592C2A" w:rsidRDefault="00592C2A" w:rsidP="00592C2A">
      <w:pPr>
        <w:numPr>
          <w:ilvl w:val="0"/>
          <w:numId w:val="2"/>
        </w:numPr>
        <w:tabs>
          <w:tab w:val="left" w:pos="0"/>
          <w:tab w:val="left" w:pos="420"/>
          <w:tab w:val="left" w:pos="709"/>
        </w:tabs>
        <w:adjustRightInd w:val="0"/>
        <w:snapToGrid w:val="0"/>
        <w:spacing w:line="360" w:lineRule="auto"/>
        <w:ind w:left="0" w:firstLineChars="200" w:firstLine="480"/>
        <w:rPr>
          <w:rFonts w:ascii="方正仿宋_GBK" w:eastAsia="方正仿宋_GBK" w:hAnsi="方正仿宋_GBK" w:cs="方正仿宋_GBK"/>
          <w:sz w:val="24"/>
          <w:szCs w:val="24"/>
        </w:rPr>
      </w:pPr>
      <w:r>
        <w:rPr>
          <w:rFonts w:ascii="方正仿宋_GBK" w:eastAsia="方正仿宋_GBK" w:hAnsi="方正仿宋_GBK" w:cs="方正仿宋_GBK"/>
          <w:sz w:val="24"/>
          <w:szCs w:val="24"/>
        </w:rPr>
        <w:t>复制费用扩展条款</w:t>
      </w:r>
    </w:p>
    <w:sectPr w:rsidR="002945A9" w:rsidRPr="00592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4B614" w14:textId="77777777" w:rsidR="008E417E" w:rsidRDefault="008E417E" w:rsidP="00592C2A">
      <w:r>
        <w:separator/>
      </w:r>
    </w:p>
  </w:endnote>
  <w:endnote w:type="continuationSeparator" w:id="0">
    <w:p w14:paraId="1560B88E" w14:textId="77777777" w:rsidR="008E417E" w:rsidRDefault="008E417E" w:rsidP="0059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C9213" w14:textId="77777777" w:rsidR="008E417E" w:rsidRDefault="008E417E" w:rsidP="00592C2A">
      <w:r>
        <w:separator/>
      </w:r>
    </w:p>
  </w:footnote>
  <w:footnote w:type="continuationSeparator" w:id="0">
    <w:p w14:paraId="4EED05A0" w14:textId="77777777" w:rsidR="008E417E" w:rsidRDefault="008E417E" w:rsidP="00592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4C87F6"/>
    <w:multiLevelType w:val="singleLevel"/>
    <w:tmpl w:val="A24C87F6"/>
    <w:lvl w:ilvl="0">
      <w:start w:val="6"/>
      <w:numFmt w:val="upperLetter"/>
      <w:suff w:val="nothing"/>
      <w:lvlText w:val="%1、"/>
      <w:lvlJc w:val="left"/>
    </w:lvl>
  </w:abstractNum>
  <w:abstractNum w:abstractNumId="1" w15:restartNumberingAfterBreak="0">
    <w:nsid w:val="3C036DD7"/>
    <w:multiLevelType w:val="multilevel"/>
    <w:tmpl w:val="3C036DD7"/>
    <w:lvl w:ilvl="0">
      <w:start w:val="1"/>
      <w:numFmt w:val="decimal"/>
      <w:lvlText w:val="（%1）"/>
      <w:lvlJc w:val="left"/>
      <w:pPr>
        <w:tabs>
          <w:tab w:val="left" w:pos="1129"/>
        </w:tabs>
        <w:ind w:left="112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F7"/>
    <w:rsid w:val="00350EF7"/>
    <w:rsid w:val="00592C2A"/>
    <w:rsid w:val="005C0F83"/>
    <w:rsid w:val="0060411A"/>
    <w:rsid w:val="008E417E"/>
    <w:rsid w:val="00B515F3"/>
    <w:rsid w:val="00C024E2"/>
    <w:rsid w:val="00F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90519"/>
  <w15:chartTrackingRefBased/>
  <w15:docId w15:val="{51004C07-80B8-47B5-AF78-AA56200B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C2A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C2A"/>
    <w:rPr>
      <w:sz w:val="18"/>
      <w:szCs w:val="18"/>
    </w:rPr>
  </w:style>
  <w:style w:type="character" w:styleId="a7">
    <w:name w:val="annotation reference"/>
    <w:basedOn w:val="a0"/>
    <w:rsid w:val="00592C2A"/>
    <w:rPr>
      <w:sz w:val="21"/>
      <w:szCs w:val="21"/>
    </w:rPr>
  </w:style>
  <w:style w:type="paragraph" w:styleId="a8">
    <w:name w:val="annotation text"/>
    <w:basedOn w:val="a"/>
    <w:link w:val="a9"/>
    <w:rsid w:val="00592C2A"/>
    <w:pPr>
      <w:jc w:val="left"/>
    </w:pPr>
  </w:style>
  <w:style w:type="character" w:customStyle="1" w:styleId="a9">
    <w:name w:val="批注文字 字符"/>
    <w:basedOn w:val="a0"/>
    <w:link w:val="a8"/>
    <w:rsid w:val="00592C2A"/>
    <w:rPr>
      <w:rFonts w:ascii="Times New Roman" w:eastAsia="宋体" w:hAnsi="Times New Roman" w:cs="Times New Roman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92C2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92C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3</cp:revision>
  <dcterms:created xsi:type="dcterms:W3CDTF">2022-08-09T04:01:00Z</dcterms:created>
  <dcterms:modified xsi:type="dcterms:W3CDTF">2022-08-09T04:03:00Z</dcterms:modified>
</cp:coreProperties>
</file>