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ind w:firstLine="482" w:firstLineChars="200"/>
        <w:outlineLvl w:val="0"/>
        <w:rPr>
          <w:rFonts w:hint="default" w:ascii="方正仿宋_GBK" w:hAnsi="方正仿宋_GBK" w:eastAsia="方正仿宋_GBK" w:cs="方正仿宋_GBK"/>
          <w:b/>
          <w:sz w:val="24"/>
          <w:szCs w:val="24"/>
        </w:rPr>
      </w:pPr>
      <w:bookmarkStart w:id="0" w:name="分割1"/>
      <w:bookmarkEnd w:id="0"/>
      <w:r>
        <w:rPr>
          <w:rFonts w:ascii="方正仿宋_GBK" w:hAnsi="方正仿宋_GBK" w:eastAsia="方正仿宋_GBK" w:cs="方正仿宋_GBK"/>
          <w:b/>
          <w:sz w:val="24"/>
          <w:szCs w:val="24"/>
        </w:rPr>
        <w:t>四、免赔额（人民币）：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9"/>
        <w:gridCol w:w="2378"/>
        <w:gridCol w:w="2514"/>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0" w:hRule="atLeast"/>
        </w:trPr>
        <w:tc>
          <w:tcPr>
            <w:tcW w:w="2099" w:type="dxa"/>
            <w:tcBorders>
              <w:top w:val="single" w:color="auto" w:sz="4" w:space="0"/>
              <w:left w:val="single" w:color="auto" w:sz="4" w:space="0"/>
              <w:bottom w:val="single" w:color="auto" w:sz="4" w:space="0"/>
              <w:right w:val="single" w:color="auto" w:sz="4" w:space="0"/>
            </w:tcBorders>
            <w:shd w:val="clear" w:color="auto" w:fill="C0C0C0"/>
            <w:vAlign w:val="center"/>
          </w:tcPr>
          <w:p>
            <w:pPr>
              <w:tabs>
                <w:tab w:val="left" w:pos="4680"/>
                <w:tab w:val="left" w:pos="6480"/>
              </w:tabs>
              <w:adjustRightInd w:val="0"/>
              <w:snapToGrid w:val="0"/>
              <w:jc w:val="right"/>
              <w:rPr>
                <w:rFonts w:hint="default" w:ascii="方正仿宋_GBK" w:hAnsi="方正仿宋_GBK" w:eastAsia="方正仿宋_GBK" w:cs="方正仿宋_GBK"/>
                <w:b/>
                <w:sz w:val="24"/>
                <w:szCs w:val="24"/>
              </w:rPr>
            </w:pPr>
            <w:r>
              <w:rPr>
                <w:rFonts w:ascii="方正仿宋_GBK" w:hAnsi="方正仿宋_GBK" w:eastAsia="方正仿宋_GBK" w:cs="方正仿宋_GBK"/>
                <w:sz w:val="24"/>
                <w:szCs w:val="24"/>
              </w:rPr>
              <mc:AlternateContent>
                <mc:Choice Requires="wps">
                  <w:drawing>
                    <wp:anchor distT="0" distB="0" distL="114300" distR="114300" simplePos="0" relativeHeight="251659264" behindDoc="0" locked="0" layoutInCell="1" allowOverlap="1">
                      <wp:simplePos x="0" y="0"/>
                      <wp:positionH relativeFrom="column">
                        <wp:posOffset>-36195</wp:posOffset>
                      </wp:positionH>
                      <wp:positionV relativeFrom="paragraph">
                        <wp:posOffset>5080</wp:posOffset>
                      </wp:positionV>
                      <wp:extent cx="1316355" cy="567055"/>
                      <wp:effectExtent l="1905" t="4445" r="15240" b="19050"/>
                      <wp:wrapNone/>
                      <wp:docPr id="2" name="直接箭头连接符 2"/>
                      <wp:cNvGraphicFramePr/>
                      <a:graphic xmlns:a="http://schemas.openxmlformats.org/drawingml/2006/main">
                        <a:graphicData uri="http://schemas.microsoft.com/office/word/2010/wordprocessingShape">
                          <wps:wsp>
                            <wps:cNvCnPr/>
                            <wps:spPr>
                              <a:xfrm>
                                <a:off x="0" y="0"/>
                                <a:ext cx="1316355" cy="567055"/>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_x0000_s1026" o:spid="_x0000_s1026" o:spt="32" type="#_x0000_t32" style="position:absolute;left:0pt;margin-left:-2.85pt;margin-top:0.4pt;height:44.65pt;width:103.65pt;z-index:251659264;mso-width-relative:page;mso-height-relative:page;" filled="f" stroked="t" coordsize="21600,21600" o:gfxdata="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Gk254fUAAAABgEAAA8AAAAAAAAAAQAgAAAAOAAAAGRycy9kb3ducmV2&#10;LnhtbFBLAQIUABQAAAAIAIdO4kBU0WgR6gEAALEDAAAOAAAAAAAAAAEAIAAAADkBAABkcnMvZTJv&#10;RG9jLnhtbFBLBQYAAAAABgAGAFkBAACVBQAAAAA=&#10;">
                      <v:fill on="f" focussize="0,0"/>
                      <v:stroke color="#000000" joinstyle="round"/>
                      <v:imagedata o:title=""/>
                      <o:lock v:ext="edit" aspectratio="f"/>
                    </v:shape>
                  </w:pict>
                </mc:Fallback>
              </mc:AlternateContent>
            </w:r>
            <w:r>
              <w:rPr>
                <w:rFonts w:ascii="方正仿宋_GBK" w:hAnsi="方正仿宋_GBK" w:eastAsia="方正仿宋_GBK" w:cs="方正仿宋_GBK"/>
                <w:b/>
                <w:sz w:val="24"/>
                <w:szCs w:val="24"/>
              </w:rPr>
              <w:t xml:space="preserve">事故类型 </w:t>
            </w:r>
          </w:p>
          <w:p>
            <w:pPr>
              <w:tabs>
                <w:tab w:val="left" w:pos="4680"/>
                <w:tab w:val="left" w:pos="6480"/>
              </w:tabs>
              <w:adjustRightInd w:val="0"/>
              <w:snapToGrid w:val="0"/>
              <w:jc w:val="left"/>
              <w:rPr>
                <w:rFonts w:hint="default" w:ascii="方正仿宋_GBK" w:hAnsi="方正仿宋_GBK" w:eastAsia="方正仿宋_GBK" w:cs="方正仿宋_GBK"/>
                <w:b/>
                <w:sz w:val="24"/>
                <w:szCs w:val="24"/>
              </w:rPr>
            </w:pPr>
            <w:r>
              <w:rPr>
                <w:rFonts w:ascii="方正仿宋_GBK" w:hAnsi="方正仿宋_GBK" w:eastAsia="方正仿宋_GBK" w:cs="方正仿宋_GBK"/>
                <w:b/>
                <w:sz w:val="24"/>
                <w:szCs w:val="24"/>
              </w:rPr>
              <w:t>企业类型</w:t>
            </w:r>
          </w:p>
        </w:tc>
        <w:tc>
          <w:tcPr>
            <w:tcW w:w="2378" w:type="dxa"/>
            <w:tcBorders>
              <w:top w:val="single" w:color="auto" w:sz="4" w:space="0"/>
              <w:left w:val="single" w:color="auto" w:sz="4" w:space="0"/>
              <w:bottom w:val="single" w:color="auto" w:sz="4" w:space="0"/>
              <w:right w:val="single" w:color="auto" w:sz="4" w:space="0"/>
            </w:tcBorders>
            <w:shd w:val="clear" w:color="auto" w:fill="C0C0C0"/>
            <w:vAlign w:val="center"/>
          </w:tcPr>
          <w:p>
            <w:pPr>
              <w:tabs>
                <w:tab w:val="left" w:pos="4680"/>
                <w:tab w:val="left" w:pos="6480"/>
              </w:tabs>
              <w:adjustRightInd w:val="0"/>
              <w:snapToGrid w:val="0"/>
              <w:jc w:val="center"/>
              <w:rPr>
                <w:rFonts w:hint="default" w:ascii="方正仿宋_GBK" w:hAnsi="方正仿宋_GBK" w:eastAsia="方正仿宋_GBK" w:cs="方正仿宋_GBK"/>
                <w:b/>
                <w:sz w:val="24"/>
                <w:szCs w:val="24"/>
              </w:rPr>
            </w:pPr>
            <w:r>
              <w:rPr>
                <w:rFonts w:ascii="方正仿宋_GBK" w:hAnsi="方正仿宋_GBK" w:eastAsia="方正仿宋_GBK" w:cs="方正仿宋_GBK"/>
                <w:b/>
                <w:sz w:val="24"/>
                <w:szCs w:val="24"/>
              </w:rPr>
              <w:t>地震、海啸</w:t>
            </w:r>
          </w:p>
        </w:tc>
        <w:tc>
          <w:tcPr>
            <w:tcW w:w="2514" w:type="dxa"/>
            <w:tcBorders>
              <w:top w:val="single" w:color="auto" w:sz="4" w:space="0"/>
              <w:left w:val="single" w:color="auto" w:sz="4" w:space="0"/>
              <w:bottom w:val="single" w:color="auto" w:sz="4" w:space="0"/>
              <w:right w:val="single" w:color="auto" w:sz="4" w:space="0"/>
            </w:tcBorders>
            <w:shd w:val="clear" w:color="auto" w:fill="C0C0C0"/>
            <w:vAlign w:val="center"/>
          </w:tcPr>
          <w:p>
            <w:pPr>
              <w:tabs>
                <w:tab w:val="left" w:pos="4680"/>
                <w:tab w:val="left" w:pos="6480"/>
              </w:tabs>
              <w:adjustRightInd w:val="0"/>
              <w:snapToGrid w:val="0"/>
              <w:jc w:val="center"/>
              <w:rPr>
                <w:rFonts w:hint="default" w:ascii="方正仿宋_GBK" w:hAnsi="方正仿宋_GBK" w:eastAsia="方正仿宋_GBK" w:cs="方正仿宋_GBK"/>
                <w:b/>
                <w:sz w:val="24"/>
                <w:szCs w:val="24"/>
              </w:rPr>
            </w:pPr>
            <w:r>
              <w:rPr>
                <w:rFonts w:ascii="方正仿宋_GBK" w:hAnsi="方正仿宋_GBK" w:eastAsia="方正仿宋_GBK" w:cs="方正仿宋_GBK"/>
                <w:b/>
                <w:sz w:val="24"/>
                <w:szCs w:val="24"/>
              </w:rPr>
              <w:t>暴雨、暴风、洪水、泥石流</w:t>
            </w:r>
          </w:p>
        </w:tc>
        <w:tc>
          <w:tcPr>
            <w:tcW w:w="1531" w:type="dxa"/>
            <w:tcBorders>
              <w:top w:val="single" w:color="auto" w:sz="4" w:space="0"/>
              <w:left w:val="single" w:color="auto" w:sz="4" w:space="0"/>
              <w:bottom w:val="single" w:color="auto" w:sz="4" w:space="0"/>
              <w:right w:val="single" w:color="auto" w:sz="4" w:space="0"/>
            </w:tcBorders>
            <w:shd w:val="clear" w:color="auto" w:fill="C0C0C0"/>
            <w:vAlign w:val="center"/>
          </w:tcPr>
          <w:p>
            <w:pPr>
              <w:tabs>
                <w:tab w:val="left" w:pos="4680"/>
                <w:tab w:val="left" w:pos="6480"/>
              </w:tabs>
              <w:adjustRightInd w:val="0"/>
              <w:snapToGrid w:val="0"/>
              <w:jc w:val="center"/>
              <w:rPr>
                <w:rFonts w:hint="default" w:ascii="方正仿宋_GBK" w:hAnsi="方正仿宋_GBK" w:eastAsia="方正仿宋_GBK" w:cs="方正仿宋_GBK"/>
                <w:b/>
                <w:sz w:val="24"/>
                <w:szCs w:val="24"/>
              </w:rPr>
            </w:pPr>
            <w:r>
              <w:rPr>
                <w:rFonts w:ascii="方正仿宋_GBK" w:hAnsi="方正仿宋_GBK" w:eastAsia="方正仿宋_GBK" w:cs="方正仿宋_GBK"/>
                <w:b/>
                <w:sz w:val="24"/>
                <w:szCs w:val="24"/>
              </w:rPr>
              <w:t>其它风险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40" w:hRule="atLeast"/>
        </w:trPr>
        <w:tc>
          <w:tcPr>
            <w:tcW w:w="2099" w:type="dxa"/>
            <w:tcBorders>
              <w:top w:val="single" w:color="auto" w:sz="4" w:space="0"/>
              <w:left w:val="single" w:color="auto" w:sz="4" w:space="0"/>
              <w:bottom w:val="single" w:color="auto" w:sz="4" w:space="0"/>
              <w:right w:val="single" w:color="auto" w:sz="4" w:space="0"/>
            </w:tcBorders>
            <w:vAlign w:val="center"/>
          </w:tcPr>
          <w:p>
            <w:pPr>
              <w:tabs>
                <w:tab w:val="left" w:pos="4680"/>
                <w:tab w:val="left" w:pos="6480"/>
              </w:tabs>
              <w:adjustRightInd w:val="0"/>
              <w:snapToGrid w:val="0"/>
              <w:jc w:val="left"/>
              <w:rPr>
                <w:rFonts w:hint="default" w:ascii="方正仿宋_GBK" w:hAnsi="方正仿宋_GBK" w:eastAsia="方正仿宋_GBK" w:cs="方正仿宋_GBK"/>
                <w:b/>
                <w:sz w:val="24"/>
                <w:szCs w:val="24"/>
              </w:rPr>
            </w:pPr>
            <w:r>
              <w:rPr>
                <w:rFonts w:ascii="方正仿宋_GBK" w:hAnsi="方正仿宋_GBK" w:eastAsia="方正仿宋_GBK" w:cs="方正仿宋_GBK"/>
                <w:b/>
                <w:sz w:val="24"/>
                <w:szCs w:val="24"/>
              </w:rPr>
              <w:t>商业楼宇、酒店、培训中心</w:t>
            </w:r>
          </w:p>
        </w:tc>
        <w:tc>
          <w:tcPr>
            <w:tcW w:w="2378" w:type="dxa"/>
            <w:tcBorders>
              <w:top w:val="single" w:color="auto" w:sz="4" w:space="0"/>
              <w:left w:val="single" w:color="auto" w:sz="4" w:space="0"/>
              <w:bottom w:val="single" w:color="auto" w:sz="4" w:space="0"/>
              <w:right w:val="single" w:color="auto" w:sz="4" w:space="0"/>
            </w:tcBorders>
            <w:vAlign w:val="center"/>
          </w:tcPr>
          <w:p>
            <w:pPr>
              <w:tabs>
                <w:tab w:val="left" w:pos="4680"/>
                <w:tab w:val="left" w:pos="6480"/>
              </w:tabs>
              <w:adjustRightInd w:val="0"/>
              <w:snapToGrid w:val="0"/>
              <w:jc w:val="center"/>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5万元，每次事故损失金额的5%，以高者为准</w:t>
            </w:r>
          </w:p>
        </w:tc>
        <w:tc>
          <w:tcPr>
            <w:tcW w:w="2514" w:type="dxa"/>
            <w:tcBorders>
              <w:top w:val="single" w:color="auto" w:sz="4" w:space="0"/>
              <w:left w:val="single" w:color="auto" w:sz="4" w:space="0"/>
              <w:bottom w:val="single" w:color="auto" w:sz="4" w:space="0"/>
              <w:right w:val="single" w:color="auto" w:sz="4" w:space="0"/>
            </w:tcBorders>
            <w:vAlign w:val="center"/>
          </w:tcPr>
          <w:p>
            <w:pPr>
              <w:tabs>
                <w:tab w:val="left" w:pos="4680"/>
                <w:tab w:val="left" w:pos="6480"/>
              </w:tabs>
              <w:adjustRightInd w:val="0"/>
              <w:snapToGrid w:val="0"/>
              <w:jc w:val="center"/>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每次事故损失金额的5%，最高不超过5000元。</w:t>
            </w:r>
          </w:p>
        </w:tc>
        <w:tc>
          <w:tcPr>
            <w:tcW w:w="1531" w:type="dxa"/>
            <w:tcBorders>
              <w:top w:val="single" w:color="auto" w:sz="4" w:space="0"/>
              <w:left w:val="single" w:color="auto" w:sz="4" w:space="0"/>
              <w:bottom w:val="single" w:color="auto" w:sz="4" w:space="0"/>
              <w:right w:val="single" w:color="auto" w:sz="4" w:space="0"/>
            </w:tcBorders>
            <w:vAlign w:val="center"/>
          </w:tcPr>
          <w:p>
            <w:pPr>
              <w:tabs>
                <w:tab w:val="left" w:pos="4680"/>
                <w:tab w:val="left" w:pos="6480"/>
              </w:tabs>
              <w:adjustRightInd w:val="0"/>
              <w:snapToGrid w:val="0"/>
              <w:jc w:val="center"/>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200元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64" w:hRule="atLeast"/>
        </w:trPr>
        <w:tc>
          <w:tcPr>
            <w:tcW w:w="2099" w:type="dxa"/>
            <w:tcBorders>
              <w:top w:val="single" w:color="auto" w:sz="4" w:space="0"/>
              <w:left w:val="single" w:color="auto" w:sz="4" w:space="0"/>
              <w:bottom w:val="single" w:color="auto" w:sz="4" w:space="0"/>
              <w:right w:val="single" w:color="auto" w:sz="4" w:space="0"/>
            </w:tcBorders>
            <w:vAlign w:val="center"/>
          </w:tcPr>
          <w:p>
            <w:pPr>
              <w:tabs>
                <w:tab w:val="left" w:pos="4680"/>
                <w:tab w:val="left" w:pos="6480"/>
              </w:tabs>
              <w:adjustRightInd w:val="0"/>
              <w:snapToGrid w:val="0"/>
              <w:jc w:val="left"/>
              <w:rPr>
                <w:rFonts w:hint="default" w:ascii="方正仿宋_GBK" w:hAnsi="方正仿宋_GBK" w:eastAsia="方正仿宋_GBK" w:cs="方正仿宋_GBK"/>
                <w:b/>
                <w:sz w:val="24"/>
                <w:szCs w:val="24"/>
              </w:rPr>
            </w:pPr>
            <w:r>
              <w:rPr>
                <w:rFonts w:ascii="方正仿宋_GBK" w:hAnsi="方正仿宋_GBK" w:eastAsia="方正仿宋_GBK" w:cs="方正仿宋_GBK"/>
                <w:b/>
                <w:sz w:val="24"/>
                <w:szCs w:val="24"/>
              </w:rPr>
              <w:t>海上风电</w:t>
            </w:r>
          </w:p>
        </w:tc>
        <w:tc>
          <w:tcPr>
            <w:tcW w:w="2378" w:type="dxa"/>
            <w:tcBorders>
              <w:top w:val="single" w:color="auto" w:sz="4" w:space="0"/>
              <w:left w:val="single" w:color="auto" w:sz="4" w:space="0"/>
              <w:bottom w:val="single" w:color="auto" w:sz="4" w:space="0"/>
              <w:right w:val="single" w:color="auto" w:sz="4" w:space="0"/>
            </w:tcBorders>
            <w:vAlign w:val="center"/>
          </w:tcPr>
          <w:p>
            <w:pPr>
              <w:tabs>
                <w:tab w:val="left" w:pos="4680"/>
                <w:tab w:val="left" w:pos="6480"/>
              </w:tabs>
              <w:adjustRightInd w:val="0"/>
              <w:snapToGrid w:val="0"/>
              <w:jc w:val="center"/>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10万元，每次事故损失金额的5%，以高者为准</w:t>
            </w:r>
          </w:p>
        </w:tc>
        <w:tc>
          <w:tcPr>
            <w:tcW w:w="4045"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ind w:firstLine="1680" w:firstLineChars="7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5万元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60" w:hRule="atLeast"/>
        </w:trPr>
        <w:tc>
          <w:tcPr>
            <w:tcW w:w="2099" w:type="dxa"/>
            <w:tcBorders>
              <w:top w:val="single" w:color="auto" w:sz="4" w:space="0"/>
              <w:left w:val="single" w:color="auto" w:sz="4" w:space="0"/>
              <w:bottom w:val="single" w:color="auto" w:sz="4" w:space="0"/>
              <w:right w:val="single" w:color="auto" w:sz="4" w:space="0"/>
            </w:tcBorders>
            <w:vAlign w:val="center"/>
          </w:tcPr>
          <w:p>
            <w:pPr>
              <w:tabs>
                <w:tab w:val="left" w:pos="4680"/>
                <w:tab w:val="left" w:pos="6480"/>
              </w:tabs>
              <w:adjustRightInd w:val="0"/>
              <w:snapToGrid w:val="0"/>
              <w:jc w:val="left"/>
              <w:rPr>
                <w:rFonts w:hint="default" w:ascii="方正仿宋_GBK" w:hAnsi="方正仿宋_GBK" w:eastAsia="方正仿宋_GBK" w:cs="方正仿宋_GBK"/>
                <w:b/>
                <w:sz w:val="24"/>
                <w:szCs w:val="24"/>
              </w:rPr>
            </w:pPr>
            <w:r>
              <w:rPr>
                <w:rFonts w:ascii="方正仿宋_GBK" w:hAnsi="方正仿宋_GBK" w:eastAsia="方正仿宋_GBK" w:cs="方正仿宋_GBK"/>
                <w:b/>
                <w:sz w:val="24"/>
                <w:szCs w:val="24"/>
              </w:rPr>
              <w:t>电站、供热、铝厂、铝土矿、铁路、煤矿、化工、港口、电厂环保、其他</w:t>
            </w:r>
          </w:p>
        </w:tc>
        <w:tc>
          <w:tcPr>
            <w:tcW w:w="2378" w:type="dxa"/>
            <w:tcBorders>
              <w:top w:val="single" w:color="auto" w:sz="4" w:space="0"/>
              <w:left w:val="single" w:color="auto" w:sz="4" w:space="0"/>
              <w:bottom w:val="single" w:color="auto" w:sz="4" w:space="0"/>
              <w:right w:val="single" w:color="auto" w:sz="4" w:space="0"/>
            </w:tcBorders>
            <w:vAlign w:val="center"/>
          </w:tcPr>
          <w:p>
            <w:pPr>
              <w:tabs>
                <w:tab w:val="left" w:pos="4680"/>
                <w:tab w:val="left" w:pos="6480"/>
              </w:tabs>
              <w:adjustRightInd w:val="0"/>
              <w:snapToGrid w:val="0"/>
              <w:jc w:val="center"/>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5万元，每次事故损失金额的5%，以高者为准</w:t>
            </w:r>
          </w:p>
        </w:tc>
        <w:tc>
          <w:tcPr>
            <w:tcW w:w="2514" w:type="dxa"/>
            <w:tcBorders>
              <w:top w:val="single" w:color="auto" w:sz="4" w:space="0"/>
              <w:left w:val="single" w:color="auto" w:sz="4" w:space="0"/>
              <w:bottom w:val="single" w:color="auto" w:sz="4" w:space="0"/>
              <w:right w:val="single" w:color="auto" w:sz="4" w:space="0"/>
            </w:tcBorders>
            <w:vAlign w:val="center"/>
          </w:tcPr>
          <w:p>
            <w:pPr>
              <w:tabs>
                <w:tab w:val="left" w:pos="4680"/>
                <w:tab w:val="left" w:pos="6480"/>
              </w:tabs>
              <w:adjustRightInd w:val="0"/>
              <w:snapToGrid w:val="0"/>
              <w:jc w:val="center"/>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每次事故损失金额的5%，最高不超过5000元。</w:t>
            </w:r>
          </w:p>
        </w:tc>
        <w:tc>
          <w:tcPr>
            <w:tcW w:w="1531" w:type="dxa"/>
            <w:tcBorders>
              <w:top w:val="single" w:color="auto" w:sz="4" w:space="0"/>
              <w:left w:val="single" w:color="auto" w:sz="4" w:space="0"/>
              <w:bottom w:val="single" w:color="auto" w:sz="4" w:space="0"/>
              <w:right w:val="single" w:color="auto" w:sz="4" w:space="0"/>
            </w:tcBorders>
            <w:vAlign w:val="center"/>
          </w:tcPr>
          <w:p>
            <w:pPr>
              <w:tabs>
                <w:tab w:val="left" w:pos="4680"/>
                <w:tab w:val="left" w:pos="6480"/>
              </w:tabs>
              <w:adjustRightInd w:val="0"/>
              <w:snapToGrid w:val="0"/>
              <w:jc w:val="center"/>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1000元</w:t>
            </w:r>
          </w:p>
        </w:tc>
      </w:tr>
    </w:tbl>
    <w:p>
      <w:pPr>
        <w:snapToGrid w:val="0"/>
        <w:spacing w:line="360" w:lineRule="auto"/>
        <w:ind w:firstLine="482" w:firstLineChars="200"/>
        <w:outlineLvl w:val="0"/>
        <w:rPr>
          <w:rFonts w:hint="default" w:ascii="方正仿宋_GBK" w:hAnsi="方正仿宋_GBK" w:eastAsia="方正仿宋_GBK" w:cs="方正仿宋_GBK"/>
          <w:b/>
          <w:sz w:val="24"/>
          <w:szCs w:val="24"/>
        </w:rPr>
      </w:pPr>
      <w:bookmarkStart w:id="1" w:name="分割2"/>
      <w:bookmarkEnd w:id="1"/>
      <w:r>
        <w:rPr>
          <w:rFonts w:ascii="方正仿宋_GBK" w:hAnsi="方正仿宋_GBK" w:eastAsia="方正仿宋_GBK" w:cs="方正仿宋_GBK"/>
          <w:b/>
          <w:sz w:val="24"/>
          <w:szCs w:val="24"/>
        </w:rPr>
        <w:t>八、保险人及保险费(含税)：</w:t>
      </w:r>
    </w:p>
    <w:tbl>
      <w:tblPr>
        <w:tblStyle w:val="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86"/>
        <w:gridCol w:w="963"/>
        <w:gridCol w:w="1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0" w:hRule="atLeast"/>
          <w:jc w:val="center"/>
        </w:trPr>
        <w:tc>
          <w:tcPr>
            <w:tcW w:w="6086" w:type="dxa"/>
            <w:vAlign w:val="center"/>
          </w:tcPr>
          <w:p>
            <w:pPr>
              <w:snapToGrid w:val="0"/>
              <w:jc w:val="center"/>
              <w:rPr>
                <w:rFonts w:hint="default" w:ascii="方正仿宋_GBK" w:hAnsi="方正仿宋_GBK" w:eastAsia="方正仿宋_GBK" w:cs="方正仿宋_GBK"/>
                <w:b/>
                <w:bCs/>
                <w:sz w:val="24"/>
                <w:szCs w:val="24"/>
              </w:rPr>
            </w:pPr>
            <w:r>
              <w:rPr>
                <w:rFonts w:ascii="方正仿宋_GBK" w:hAnsi="方正仿宋_GBK" w:eastAsia="方正仿宋_GBK" w:cs="方正仿宋_GBK"/>
                <w:b/>
                <w:bCs/>
                <w:sz w:val="24"/>
                <w:szCs w:val="24"/>
              </w:rPr>
              <w:t>保险公司</w:t>
            </w:r>
          </w:p>
        </w:tc>
        <w:tc>
          <w:tcPr>
            <w:tcW w:w="963" w:type="dxa"/>
            <w:vAlign w:val="center"/>
          </w:tcPr>
          <w:p>
            <w:pPr>
              <w:snapToGrid w:val="0"/>
              <w:jc w:val="center"/>
              <w:rPr>
                <w:rFonts w:hint="default" w:ascii="方正仿宋_GBK" w:hAnsi="方正仿宋_GBK" w:eastAsia="方正仿宋_GBK" w:cs="方正仿宋_GBK"/>
                <w:b/>
                <w:bCs/>
                <w:sz w:val="24"/>
                <w:szCs w:val="24"/>
              </w:rPr>
            </w:pPr>
            <w:r>
              <w:rPr>
                <w:rFonts w:ascii="方正仿宋_GBK" w:hAnsi="方正仿宋_GBK" w:eastAsia="方正仿宋_GBK" w:cs="方正仿宋_GBK"/>
                <w:b/>
                <w:bCs/>
                <w:sz w:val="24"/>
                <w:szCs w:val="24"/>
              </w:rPr>
              <w:t>份额</w:t>
            </w:r>
          </w:p>
        </w:tc>
        <w:tc>
          <w:tcPr>
            <w:tcW w:w="1473" w:type="dxa"/>
            <w:vAlign w:val="center"/>
          </w:tcPr>
          <w:p>
            <w:pPr>
              <w:snapToGrid w:val="0"/>
              <w:jc w:val="center"/>
              <w:rPr>
                <w:rFonts w:hint="default" w:ascii="方正仿宋_GBK" w:hAnsi="方正仿宋_GBK" w:eastAsia="方正仿宋_GBK" w:cs="方正仿宋_GBK"/>
                <w:b/>
                <w:bCs/>
                <w:sz w:val="24"/>
                <w:szCs w:val="24"/>
              </w:rPr>
            </w:pPr>
            <w:r>
              <w:rPr>
                <w:rFonts w:ascii="方正仿宋_GBK" w:hAnsi="方正仿宋_GBK" w:eastAsia="方正仿宋_GBK" w:cs="方正仿宋_GBK"/>
                <w:b/>
                <w:bCs/>
                <w:sz w:val="24"/>
                <w:szCs w:val="24"/>
              </w:rPr>
              <w:t>份额内保费（元）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0" w:hRule="atLeast"/>
          <w:jc w:val="center"/>
        </w:trPr>
        <w:tc>
          <w:tcPr>
            <w:tcW w:w="6086" w:type="dxa"/>
            <w:vAlign w:val="center"/>
          </w:tcPr>
          <w:p>
            <w:pPr>
              <w:snapToGrid w:val="0"/>
              <w:jc w:val="left"/>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主承保人：英大泰和财产保险股份有限公司北京分公司</w:t>
            </w:r>
          </w:p>
        </w:tc>
        <w:tc>
          <w:tcPr>
            <w:tcW w:w="963" w:type="dxa"/>
            <w:vAlign w:val="center"/>
          </w:tcPr>
          <w:p>
            <w:pPr>
              <w:snapToGrid w:val="0"/>
              <w:jc w:val="center"/>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40%</w:t>
            </w:r>
          </w:p>
        </w:tc>
        <w:tc>
          <w:tcPr>
            <w:tcW w:w="1473" w:type="dxa"/>
            <w:vAlign w:val="center"/>
          </w:tcPr>
          <w:p>
            <w:pPr>
              <w:bidi w:val="0"/>
              <w:jc w:val="center"/>
              <w:rPr>
                <w:rFonts w:hint="eastAsia" w:ascii="方正仿宋_GBK" w:hAnsi="方正仿宋_GBK" w:eastAsia="方正仿宋_GBK" w:cs="方正仿宋_GBK"/>
                <w:bCs/>
                <w:szCs w:val="24"/>
                <w:lang w:eastAsia="zh-Hans"/>
              </w:rPr>
            </w:pPr>
            <w:r>
              <w:rPr>
                <w:rFonts w:hint="default" w:ascii="方正仿宋_GBK" w:hAnsi="方正仿宋_GBK" w:eastAsia="方正仿宋_GBK" w:cs="方正仿宋_GBK"/>
                <w:bCs/>
                <w:sz w:val="24"/>
                <w:szCs w:val="24"/>
                <w:lang w:eastAsia="zh-Hans"/>
              </w:rPr>
              <w:t>${one}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0" w:hRule="atLeast"/>
          <w:jc w:val="center"/>
        </w:trPr>
        <w:tc>
          <w:tcPr>
            <w:tcW w:w="6086" w:type="dxa"/>
            <w:vAlign w:val="center"/>
          </w:tcPr>
          <w:p>
            <w:pPr>
              <w:snapToGrid w:val="0"/>
              <w:jc w:val="left"/>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共保人1：永诚财产保险股份有限公司河北分公司</w:t>
            </w:r>
          </w:p>
        </w:tc>
        <w:tc>
          <w:tcPr>
            <w:tcW w:w="963" w:type="dxa"/>
            <w:vAlign w:val="center"/>
          </w:tcPr>
          <w:p>
            <w:pPr>
              <w:snapToGrid w:val="0"/>
              <w:jc w:val="center"/>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25%</w:t>
            </w:r>
          </w:p>
        </w:tc>
        <w:tc>
          <w:tcPr>
            <w:tcW w:w="1473" w:type="dxa"/>
          </w:tcPr>
          <w:p>
            <w:pPr>
              <w:bidi w:val="0"/>
              <w:jc w:val="center"/>
              <w:rPr>
                <w:rFonts w:hint="default" w:ascii="方正仿宋_GBK" w:hAnsi="方正仿宋_GBK" w:eastAsia="方正仿宋_GBK" w:cs="方正仿宋_GBK"/>
                <w:bCs/>
                <w:szCs w:val="24"/>
              </w:rPr>
            </w:pPr>
            <w:r>
              <w:rPr>
                <w:rFonts w:hint="default" w:ascii="方正仿宋_GBK" w:hAnsi="方正仿宋_GBK" w:eastAsia="方正仿宋_GBK" w:cs="方正仿宋_GBK"/>
                <w:bCs/>
                <w:sz w:val="24"/>
                <w:szCs w:val="24"/>
                <w:lang w:eastAsia="zh-Hans"/>
              </w:rPr>
              <w:t>${two}</w:t>
            </w:r>
            <w:bookmarkStart w:id="7" w:name="_GoBack"/>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0" w:hRule="atLeast"/>
          <w:jc w:val="center"/>
        </w:trPr>
        <w:tc>
          <w:tcPr>
            <w:tcW w:w="6086" w:type="dxa"/>
            <w:vAlign w:val="center"/>
          </w:tcPr>
          <w:p>
            <w:pPr>
              <w:snapToGrid w:val="0"/>
              <w:jc w:val="left"/>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共保人2：中国人民财产保险股份有限公司北京市分公司</w:t>
            </w:r>
          </w:p>
        </w:tc>
        <w:tc>
          <w:tcPr>
            <w:tcW w:w="963" w:type="dxa"/>
            <w:vAlign w:val="center"/>
          </w:tcPr>
          <w:p>
            <w:pPr>
              <w:snapToGrid w:val="0"/>
              <w:jc w:val="center"/>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15%</w:t>
            </w:r>
          </w:p>
        </w:tc>
        <w:tc>
          <w:tcPr>
            <w:tcW w:w="1473" w:type="dxa"/>
          </w:tcPr>
          <w:p>
            <w:pPr>
              <w:widowControl/>
              <w:jc w:val="center"/>
              <w:rPr>
                <w:rFonts w:hint="default" w:ascii="方正仿宋_GBK" w:hAnsi="方正仿宋_GBK" w:eastAsia="方正仿宋_GBK" w:cs="方正仿宋_GBK"/>
                <w:bCs/>
                <w:sz w:val="24"/>
                <w:szCs w:val="24"/>
              </w:rPr>
            </w:pPr>
            <w:r>
              <w:rPr>
                <w:rFonts w:hint="default" w:ascii="方正仿宋_GBK" w:hAnsi="方正仿宋_GBK" w:eastAsia="方正仿宋_GBK" w:cs="方正仿宋_GBK"/>
                <w:bCs/>
                <w:sz w:val="24"/>
                <w:szCs w:val="24"/>
                <w:lang w:eastAsia="zh-Hans"/>
              </w:rPr>
              <w:t>${three}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0" w:hRule="atLeast"/>
          <w:jc w:val="center"/>
        </w:trPr>
        <w:tc>
          <w:tcPr>
            <w:tcW w:w="6086" w:type="dxa"/>
            <w:vAlign w:val="center"/>
          </w:tcPr>
          <w:p>
            <w:pPr>
              <w:snapToGrid w:val="0"/>
              <w:jc w:val="left"/>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共保人3：中国人寿财产保险股份有限公司长春中心支公司</w:t>
            </w:r>
          </w:p>
        </w:tc>
        <w:tc>
          <w:tcPr>
            <w:tcW w:w="963" w:type="dxa"/>
            <w:vAlign w:val="center"/>
          </w:tcPr>
          <w:p>
            <w:pPr>
              <w:snapToGrid w:val="0"/>
              <w:jc w:val="center"/>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10%</w:t>
            </w:r>
          </w:p>
        </w:tc>
        <w:tc>
          <w:tcPr>
            <w:tcW w:w="1473" w:type="dxa"/>
          </w:tcPr>
          <w:p>
            <w:pPr>
              <w:widowControl/>
              <w:jc w:val="center"/>
              <w:rPr>
                <w:rFonts w:hint="default" w:ascii="方正仿宋_GBK" w:hAnsi="方正仿宋_GBK" w:eastAsia="方正仿宋_GBK" w:cs="方正仿宋_GBK"/>
                <w:bCs/>
                <w:sz w:val="24"/>
                <w:szCs w:val="24"/>
              </w:rPr>
            </w:pPr>
            <w:r>
              <w:rPr>
                <w:rFonts w:hint="default" w:ascii="方正仿宋_GBK" w:hAnsi="方正仿宋_GBK" w:eastAsia="方正仿宋_GBK" w:cs="方正仿宋_GBK"/>
                <w:bCs/>
                <w:sz w:val="24"/>
                <w:szCs w:val="24"/>
                <w:lang w:eastAsia="zh-Hans"/>
              </w:rPr>
              <w:t>${four}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0" w:hRule="atLeast"/>
          <w:jc w:val="center"/>
        </w:trPr>
        <w:tc>
          <w:tcPr>
            <w:tcW w:w="6086" w:type="dxa"/>
            <w:vAlign w:val="center"/>
          </w:tcPr>
          <w:p>
            <w:pPr>
              <w:snapToGrid w:val="0"/>
              <w:jc w:val="left"/>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共保人4：中国太平洋财产保险股份有限公司山西分公司</w:t>
            </w:r>
          </w:p>
        </w:tc>
        <w:tc>
          <w:tcPr>
            <w:tcW w:w="963" w:type="dxa"/>
            <w:vAlign w:val="center"/>
          </w:tcPr>
          <w:p>
            <w:pPr>
              <w:snapToGrid w:val="0"/>
              <w:jc w:val="center"/>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10%</w:t>
            </w:r>
          </w:p>
        </w:tc>
        <w:tc>
          <w:tcPr>
            <w:tcW w:w="1473" w:type="dxa"/>
          </w:tcPr>
          <w:p>
            <w:pPr>
              <w:widowControl/>
              <w:jc w:val="center"/>
              <w:rPr>
                <w:rFonts w:hint="default" w:ascii="方正仿宋_GBK" w:hAnsi="方正仿宋_GBK" w:eastAsia="方正仿宋_GBK" w:cs="方正仿宋_GBK"/>
                <w:bCs/>
                <w:sz w:val="24"/>
                <w:szCs w:val="24"/>
              </w:rPr>
            </w:pPr>
            <w:r>
              <w:rPr>
                <w:rFonts w:hint="default" w:ascii="方正仿宋_GBK" w:hAnsi="方正仿宋_GBK" w:eastAsia="方正仿宋_GBK" w:cs="方正仿宋_GBK"/>
                <w:bCs/>
                <w:sz w:val="24"/>
                <w:szCs w:val="24"/>
                <w:lang w:eastAsia="zh-Hans"/>
              </w:rPr>
              <w:t>${five}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0" w:hRule="atLeast"/>
          <w:jc w:val="center"/>
        </w:trPr>
        <w:tc>
          <w:tcPr>
            <w:tcW w:w="6086" w:type="dxa"/>
            <w:vAlign w:val="center"/>
          </w:tcPr>
          <w:p>
            <w:pPr>
              <w:snapToGrid w:val="0"/>
              <w:jc w:val="center"/>
              <w:rPr>
                <w:rFonts w:hint="default" w:ascii="方正仿宋_GBK" w:hAnsi="方正仿宋_GBK" w:eastAsia="方正仿宋_GBK" w:cs="方正仿宋_GBK"/>
                <w:b/>
                <w:bCs/>
                <w:sz w:val="24"/>
                <w:szCs w:val="24"/>
              </w:rPr>
            </w:pPr>
            <w:r>
              <w:rPr>
                <w:rFonts w:ascii="方正仿宋_GBK" w:hAnsi="方正仿宋_GBK" w:eastAsia="方正仿宋_GBK" w:cs="方正仿宋_GBK"/>
                <w:b/>
                <w:bCs/>
                <w:sz w:val="24"/>
                <w:szCs w:val="24"/>
              </w:rPr>
              <w:t>合 计</w:t>
            </w:r>
          </w:p>
        </w:tc>
        <w:tc>
          <w:tcPr>
            <w:tcW w:w="963" w:type="dxa"/>
            <w:vAlign w:val="center"/>
          </w:tcPr>
          <w:p>
            <w:pPr>
              <w:snapToGrid w:val="0"/>
              <w:jc w:val="center"/>
              <w:rPr>
                <w:rFonts w:hint="default" w:ascii="方正仿宋_GBK" w:hAnsi="方正仿宋_GBK" w:eastAsia="方正仿宋_GBK" w:cs="方正仿宋_GBK"/>
                <w:b/>
                <w:bCs/>
                <w:sz w:val="24"/>
                <w:szCs w:val="24"/>
              </w:rPr>
            </w:pPr>
            <w:r>
              <w:rPr>
                <w:rFonts w:ascii="方正仿宋_GBK" w:hAnsi="方正仿宋_GBK" w:eastAsia="方正仿宋_GBK" w:cs="方正仿宋_GBK"/>
                <w:b/>
                <w:bCs/>
                <w:sz w:val="24"/>
                <w:szCs w:val="24"/>
              </w:rPr>
              <w:t>100%</w:t>
            </w:r>
          </w:p>
        </w:tc>
        <w:tc>
          <w:tcPr>
            <w:tcW w:w="1473" w:type="dxa"/>
            <w:vAlign w:val="center"/>
          </w:tcPr>
          <w:p>
            <w:pPr>
              <w:snapToGrid w:val="0"/>
              <w:jc w:val="center"/>
              <w:rPr>
                <w:rFonts w:hint="default" w:ascii="方正仿宋_GBK" w:hAnsi="方正仿宋_GBK" w:eastAsia="方正仿宋_GBK" w:cs="方正仿宋_GBK"/>
                <w:b/>
                <w:bCs/>
                <w:sz w:val="24"/>
                <w:szCs w:val="24"/>
              </w:rPr>
            </w:pPr>
            <w:r>
              <w:rPr>
                <w:rFonts w:hint="default" w:ascii="方正仿宋_GBK" w:hAnsi="方正仿宋_GBK" w:eastAsia="方正仿宋_GBK" w:cs="方正仿宋_GBK"/>
                <w:b/>
                <w:bCs/>
                <w:sz w:val="24"/>
                <w:szCs w:val="24"/>
              </w:rPr>
              <w:t>6509.03</w:t>
            </w:r>
          </w:p>
        </w:tc>
      </w:tr>
    </w:tbl>
    <w:p>
      <w:pPr>
        <w:spacing w:line="360" w:lineRule="auto"/>
        <w:ind w:firstLine="482" w:firstLineChars="200"/>
        <w:outlineLvl w:val="0"/>
        <w:rPr>
          <w:rFonts w:hint="default" w:ascii="方正仿宋_GBK" w:hAnsi="方正仿宋_GBK" w:eastAsia="方正仿宋_GBK" w:cs="方正仿宋_GBK"/>
          <w:sz w:val="24"/>
          <w:szCs w:val="24"/>
        </w:rPr>
      </w:pPr>
      <w:bookmarkStart w:id="2" w:name="分割3"/>
      <w:bookmarkEnd w:id="2"/>
      <w:r>
        <w:rPr>
          <w:rFonts w:ascii="方正仿宋_GBK" w:hAnsi="方正仿宋_GBK" w:eastAsia="方正仿宋_GBK" w:cs="方正仿宋_GBK"/>
          <w:b/>
          <w:sz w:val="24"/>
          <w:szCs w:val="24"/>
        </w:rPr>
        <w:t>九、付费方式：</w:t>
      </w:r>
    </w:p>
    <w:p>
      <w:pPr>
        <w:snapToGrid w:val="0"/>
        <w:spacing w:line="360" w:lineRule="auto"/>
        <w:ind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被保险人自收到保险公司出具的保单和发票15日内支付保险费的50%。出单后120日内，且被保险人收到保险公司出具的保单和发票15日内，支付剩余50%的保险费，保费支付至保险经纪公司保费代收账户。</w:t>
      </w:r>
    </w:p>
    <w:p>
      <w:pPr>
        <w:adjustRightInd w:val="0"/>
        <w:snapToGrid w:val="0"/>
        <w:spacing w:line="360" w:lineRule="auto"/>
        <w:ind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保单期限不足120天或总保险费不足50万元的，被保险人自收到保险公司出具的保单和发票15日内一次性交付至保险经纪公司保费代收账户。</w:t>
      </w:r>
    </w:p>
    <w:p>
      <w:pPr>
        <w:pStyle w:val="13"/>
        <w:adjustRightInd w:val="0"/>
        <w:snapToGrid w:val="0"/>
        <w:spacing w:line="360" w:lineRule="auto"/>
        <w:ind w:firstLine="480"/>
        <w:rPr>
          <w:rFonts w:hint="default" w:ascii="方正仿宋_GBK" w:hAnsi="方正仿宋_GBK" w:eastAsia="方正仿宋_GBK" w:cs="方正仿宋_GBK"/>
          <w:b/>
          <w:bCs/>
          <w:sz w:val="24"/>
          <w:szCs w:val="24"/>
        </w:rPr>
      </w:pPr>
      <w:r>
        <w:rPr>
          <w:rFonts w:ascii="方正仿宋_GBK" w:hAnsi="方正仿宋_GBK" w:eastAsia="方正仿宋_GBK" w:cs="方正仿宋_GBK"/>
          <w:b/>
          <w:bCs/>
          <w:sz w:val="24"/>
          <w:szCs w:val="24"/>
        </w:rPr>
        <w:t>保险经纪公司暂收保费账户如下:</w:t>
      </w:r>
    </w:p>
    <w:p>
      <w:pPr>
        <w:pStyle w:val="13"/>
        <w:adjustRightInd w:val="0"/>
        <w:snapToGrid w:val="0"/>
        <w:spacing w:line="360" w:lineRule="auto"/>
        <w:ind w:firstLine="48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开户银行:国家电投集团财务有限公司</w:t>
      </w:r>
    </w:p>
    <w:p>
      <w:pPr>
        <w:pStyle w:val="13"/>
        <w:adjustRightInd w:val="0"/>
        <w:snapToGrid w:val="0"/>
        <w:spacing w:line="360" w:lineRule="auto"/>
        <w:ind w:firstLine="48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开户名称:国家电投集团保险经纪有限公司</w:t>
      </w:r>
    </w:p>
    <w:p>
      <w:pPr>
        <w:pStyle w:val="13"/>
        <w:adjustRightInd w:val="0"/>
        <w:snapToGrid w:val="0"/>
        <w:spacing w:line="360" w:lineRule="auto"/>
        <w:ind w:firstLine="48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银行账号：01-200103-222517-0048-01</w:t>
      </w:r>
    </w:p>
    <w:p>
      <w:pPr>
        <w:pStyle w:val="13"/>
        <w:adjustRightInd w:val="0"/>
        <w:snapToGrid w:val="0"/>
        <w:spacing w:line="360" w:lineRule="auto"/>
        <w:ind w:firstLine="48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或：</w:t>
      </w:r>
    </w:p>
    <w:p>
      <w:pPr>
        <w:pStyle w:val="13"/>
        <w:adjustRightInd w:val="0"/>
        <w:snapToGrid w:val="0"/>
        <w:spacing w:line="360" w:lineRule="auto"/>
        <w:ind w:firstLine="48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开户银行:建行北京宣武支行</w:t>
      </w:r>
    </w:p>
    <w:p>
      <w:pPr>
        <w:pStyle w:val="13"/>
        <w:adjustRightInd w:val="0"/>
        <w:snapToGrid w:val="0"/>
        <w:spacing w:line="360" w:lineRule="auto"/>
        <w:ind w:firstLine="48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开户名称:国家电投集团保险经纪有限公司</w:t>
      </w:r>
    </w:p>
    <w:p>
      <w:pPr>
        <w:pStyle w:val="13"/>
        <w:adjustRightInd w:val="0"/>
        <w:snapToGrid w:val="0"/>
        <w:spacing w:line="360" w:lineRule="auto"/>
        <w:ind w:firstLine="48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银行账号：11001019500053015342</w:t>
      </w:r>
    </w:p>
    <w:p>
      <w:pPr>
        <w:adjustRightInd w:val="0"/>
        <w:snapToGrid w:val="0"/>
        <w:spacing w:line="360" w:lineRule="auto"/>
        <w:ind w:firstLine="482" w:firstLineChars="200"/>
        <w:outlineLvl w:val="0"/>
        <w:rPr>
          <w:rFonts w:hint="default" w:ascii="方正仿宋_GBK" w:hAnsi="方正仿宋_GBK" w:eastAsia="方正仿宋_GBK" w:cs="方正仿宋_GBK"/>
          <w:sz w:val="24"/>
          <w:szCs w:val="24"/>
        </w:rPr>
      </w:pPr>
      <w:bookmarkStart w:id="3" w:name="分割4"/>
      <w:bookmarkEnd w:id="3"/>
      <w:r>
        <w:rPr>
          <w:rFonts w:ascii="方正仿宋_GBK" w:hAnsi="方正仿宋_GBK" w:eastAsia="方正仿宋_GBK" w:cs="方正仿宋_GBK"/>
          <w:b/>
          <w:sz w:val="24"/>
          <w:szCs w:val="24"/>
        </w:rPr>
        <w:t>十、保险经纪人：</w:t>
      </w:r>
      <w:r>
        <w:rPr>
          <w:rFonts w:ascii="方正仿宋_GBK" w:hAnsi="方正仿宋_GBK" w:eastAsia="方正仿宋_GBK" w:cs="方正仿宋_GBK"/>
          <w:sz w:val="24"/>
          <w:szCs w:val="24"/>
        </w:rPr>
        <w:t>国家电投集团保险经纪有限公司</w:t>
      </w:r>
    </w:p>
    <w:p>
      <w:pPr>
        <w:snapToGrid w:val="0"/>
        <w:spacing w:line="360" w:lineRule="auto"/>
        <w:ind w:firstLine="482" w:firstLineChars="200"/>
        <w:outlineLvl w:val="0"/>
        <w:rPr>
          <w:rFonts w:hint="default" w:ascii="方正仿宋_GBK" w:hAnsi="方正仿宋_GBK" w:eastAsia="方正仿宋_GBK" w:cs="方正仿宋_GBK"/>
          <w:sz w:val="24"/>
          <w:szCs w:val="24"/>
        </w:rPr>
      </w:pPr>
      <w:bookmarkStart w:id="4" w:name="分割5"/>
      <w:bookmarkEnd w:id="4"/>
      <w:r>
        <w:rPr>
          <w:rFonts w:ascii="方正仿宋_GBK" w:hAnsi="方正仿宋_GBK" w:eastAsia="方正仿宋_GBK" w:cs="方正仿宋_GBK"/>
          <w:b/>
          <w:sz w:val="24"/>
          <w:szCs w:val="24"/>
        </w:rPr>
        <w:t>十二、特别约定：</w:t>
      </w:r>
    </w:p>
    <w:p>
      <w:pPr>
        <w:adjustRightInd w:val="0"/>
        <w:snapToGrid w:val="0"/>
        <w:spacing w:line="360" w:lineRule="auto"/>
        <w:ind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1.被保险人具有保险利益的堤堰、水闸、铁路、道路、涵洞、桥梁、码头等特约可保财产，保险人视同为可保财产，予以承保。</w:t>
      </w:r>
    </w:p>
    <w:p>
      <w:pPr>
        <w:adjustRightInd w:val="0"/>
        <w:snapToGrid w:val="0"/>
        <w:spacing w:line="360" w:lineRule="auto"/>
        <w:ind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2.因自然灾害或意外事故导致的公共供电、供水、供气等公共能源中断引起的停电、停水、停气造成的损失，保险人负责赔偿。</w:t>
      </w:r>
    </w:p>
    <w:p>
      <w:pPr>
        <w:adjustRightInd w:val="0"/>
        <w:snapToGrid w:val="0"/>
        <w:spacing w:line="360" w:lineRule="auto"/>
        <w:ind w:firstLine="480" w:firstLineChars="200"/>
        <w:rPr>
          <w:rFonts w:hint="default" w:ascii="方正仿宋_GBK" w:hAnsi="方正仿宋_GBK" w:eastAsia="方正仿宋_GBK" w:cs="方正仿宋_GBK"/>
          <w:sz w:val="24"/>
          <w:szCs w:val="24"/>
          <w:highlight w:val="yellow"/>
        </w:rPr>
      </w:pPr>
      <w:r>
        <w:rPr>
          <w:rFonts w:ascii="方正仿宋_GBK" w:hAnsi="方正仿宋_GBK" w:eastAsia="方正仿宋_GBK" w:cs="方正仿宋_GBK"/>
          <w:sz w:val="24"/>
          <w:szCs w:val="24"/>
        </w:rPr>
        <w:t>3.扩展承保建构筑物因设计错误、原材料缺陷或工艺不善造成保险标的本身的损失。</w:t>
      </w:r>
    </w:p>
    <w:p>
      <w:pPr>
        <w:adjustRightInd w:val="0"/>
        <w:snapToGrid w:val="0"/>
        <w:spacing w:line="360" w:lineRule="auto"/>
        <w:ind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4.对于未竣工决算的未完工部分按工程概算为基础估价投保；已建成尚未竣工决算的资产，投保资产以工程概算为基础估价投保，视同足额投保。竣工决算完成前，承保公司在赔付时有权利要求被保险人提供工程概算，但不能以未提供资产明细为由影响赔付。如保险期限内竣工决算完成，则双方应按决算金额调整保险金额。</w:t>
      </w:r>
    </w:p>
    <w:p>
      <w:pPr>
        <w:adjustRightInd w:val="0"/>
        <w:snapToGrid w:val="0"/>
        <w:spacing w:line="360" w:lineRule="auto"/>
        <w:ind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5.保险人同意新疆地区的降雨量连续24小时大于或等于10mm的，视为暴雨标准。</w:t>
      </w:r>
    </w:p>
    <w:p>
      <w:pPr>
        <w:adjustRightInd w:val="0"/>
        <w:snapToGrid w:val="0"/>
        <w:spacing w:line="360" w:lineRule="auto"/>
        <w:ind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6.在理赔过程中涉及安监、消防及气象证明被保险人确实无法提供，如其他材料可以证实事故原因和损失的情况下，保险人不得仅以缺少单据或单据不合格为由拒绝或拖延承担其在本保险合同项下应承担的赔偿责任。</w:t>
      </w:r>
    </w:p>
    <w:p>
      <w:pPr>
        <w:adjustRightInd w:val="0"/>
        <w:snapToGrid w:val="0"/>
        <w:spacing w:line="360" w:lineRule="auto"/>
        <w:ind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7.将扩展条款第27条“盗窃、抢劫扩展条款”项下的除外责任第三条修改为“无合格的防盗措施、无专人看管或无详细记录情况下发生的损失。”</w:t>
      </w:r>
    </w:p>
    <w:p>
      <w:pPr>
        <w:adjustRightInd w:val="0"/>
        <w:snapToGrid w:val="0"/>
        <w:spacing w:line="360" w:lineRule="auto"/>
        <w:ind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8.为减少保险索赔时对定损金额的分歧，保险公司应协同公估公司积极参与受损标的的修复过程（各项采购、修复合同的招评审及谈判等），如保险公司未参与受损标的的修复过程（各项采购、修复合同的招评审及谈判等），应对已确认的修复、采购费用（即使高于投保的采购或建安成本）无异议。</w:t>
      </w:r>
    </w:p>
    <w:p>
      <w:pPr>
        <w:adjustRightInd w:val="0"/>
        <w:snapToGrid w:val="0"/>
        <w:spacing w:line="360" w:lineRule="auto"/>
        <w:ind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9.本保险合同扩展承保本保险合同载明的保险财产因水暖管突然破裂、失灵造成该财产的水损（或水污损失）。</w:t>
      </w:r>
    </w:p>
    <w:p>
      <w:pPr>
        <w:adjustRightInd w:val="0"/>
        <w:snapToGrid w:val="0"/>
        <w:spacing w:line="360" w:lineRule="auto"/>
        <w:ind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10.有关残值的确定应由保险双方共同协商确定，如果被保险人不接受保险人有关残值的确定，则应被保险人的要求，保险人应接受被保险人有关残值的委付。</w:t>
      </w:r>
    </w:p>
    <w:p>
      <w:pPr>
        <w:adjustRightInd w:val="0"/>
        <w:snapToGrid w:val="0"/>
        <w:spacing w:line="360" w:lineRule="auto"/>
        <w:ind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11.保险人已知保险标的风险情况，并予以报价承保，不得以保险标的存在缺陷或未按保险人的要求进行整改而拒赔。</w:t>
      </w:r>
    </w:p>
    <w:p>
      <w:pPr>
        <w:adjustRightInd w:val="0"/>
        <w:snapToGrid w:val="0"/>
        <w:spacing w:line="360" w:lineRule="auto"/>
        <w:ind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12.经双方同意，对于符合国家消防、卫生、安全生产及环保标准的包括但不限于干煤棚等，未完全封闭的建构筑物及设施，不适用保单条款释义中"简易建筑"的定义。</w:t>
      </w:r>
    </w:p>
    <w:p>
      <w:pPr>
        <w:adjustRightInd w:val="0"/>
        <w:snapToGrid w:val="0"/>
        <w:spacing w:line="360" w:lineRule="auto"/>
        <w:ind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13.当发生本保单责任范围内的损失时，如被保险人报损金额超过人民币50万元（以被保险人提供的报损清单或出险通知书为准），由保险经纪公司在公估公司库中指定公估公司进行理算，公估费用由保险人承担。</w:t>
      </w:r>
    </w:p>
    <w:p>
      <w:pPr>
        <w:adjustRightInd w:val="0"/>
        <w:snapToGrid w:val="0"/>
        <w:spacing w:line="360" w:lineRule="auto"/>
        <w:ind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14.承保人同意由于被保险关联方（屋顶企业等）自然灾害、火灾和意外事故等原因造成的本保单项下的责任损失，向被保险人赔偿后放弃向上述关联方代为求偿的权利，本条特约仅适用于屋顶光伏企业。</w:t>
      </w:r>
    </w:p>
    <w:p>
      <w:pPr>
        <w:adjustRightInd w:val="0"/>
        <w:snapToGrid w:val="0"/>
        <w:spacing w:line="360" w:lineRule="auto"/>
        <w:ind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15.承保人同意如被保险人在投保道路资产时，增加了挡土墙等预修复费用，则在理赔时按照增加预修复费用清单中的损失承保人需进行赔付。</w:t>
      </w:r>
    </w:p>
    <w:p>
      <w:pPr>
        <w:snapToGrid w:val="0"/>
        <w:spacing w:line="360" w:lineRule="auto"/>
        <w:ind w:firstLine="482" w:firstLineChars="200"/>
        <w:outlineLvl w:val="0"/>
        <w:rPr>
          <w:rFonts w:hint="default" w:ascii="方正仿宋_GBK" w:hAnsi="方正仿宋_GBK" w:eastAsia="方正仿宋_GBK" w:cs="方正仿宋_GBK"/>
          <w:b/>
          <w:sz w:val="24"/>
          <w:szCs w:val="24"/>
        </w:rPr>
      </w:pPr>
      <w:bookmarkStart w:id="5" w:name="分割6"/>
      <w:bookmarkEnd w:id="5"/>
      <w:r>
        <w:rPr>
          <w:rFonts w:ascii="方正仿宋_GBK" w:hAnsi="方正仿宋_GBK" w:eastAsia="方正仿宋_GBK" w:cs="方正仿宋_GBK"/>
          <w:b/>
          <w:sz w:val="24"/>
          <w:szCs w:val="24"/>
        </w:rPr>
        <w:t>十三、</w:t>
      </w:r>
      <w:r>
        <w:fldChar w:fldCharType="begin"/>
      </w:r>
      <w:r>
        <w:instrText xml:space="preserve"> HYPERLINK \l "_1、自动恢复保险金额条款" </w:instrText>
      </w:r>
      <w:r>
        <w:fldChar w:fldCharType="separate"/>
      </w:r>
      <w:r>
        <w:rPr>
          <w:rFonts w:ascii="方正仿宋_GBK" w:hAnsi="方正仿宋_GBK" w:eastAsia="方正仿宋_GBK" w:cs="方正仿宋_GBK"/>
          <w:b/>
          <w:sz w:val="24"/>
          <w:szCs w:val="24"/>
        </w:rPr>
        <w:t>附加险条款</w:t>
      </w:r>
      <w:r>
        <w:rPr>
          <w:rFonts w:ascii="方正仿宋_GBK" w:hAnsi="方正仿宋_GBK" w:eastAsia="方正仿宋_GBK" w:cs="方正仿宋_GBK"/>
          <w:b/>
          <w:sz w:val="24"/>
          <w:szCs w:val="24"/>
        </w:rPr>
        <w:fldChar w:fldCharType="end"/>
      </w:r>
      <w:r>
        <w:rPr>
          <w:rFonts w:ascii="方正仿宋_GBK" w:hAnsi="方正仿宋_GBK" w:eastAsia="方正仿宋_GBK" w:cs="方正仿宋_GBK"/>
          <w:b/>
          <w:sz w:val="24"/>
          <w:szCs w:val="24"/>
        </w:rPr>
        <w:t xml:space="preserve">： </w:t>
      </w:r>
    </w:p>
    <w:p>
      <w:pPr>
        <w:adjustRightInd w:val="0"/>
        <w:snapToGrid w:val="0"/>
        <w:spacing w:line="360" w:lineRule="auto"/>
        <w:ind w:firstLine="480" w:firstLineChars="200"/>
        <w:rPr>
          <w:rFonts w:hint="default"/>
        </w:rPr>
      </w:pPr>
      <w:r>
        <w:rPr>
          <w:rFonts w:ascii="方正仿宋_GBK" w:hAnsi="方正仿宋_GBK" w:eastAsia="方正仿宋_GBK" w:cs="方正仿宋_GBK"/>
          <w:sz w:val="24"/>
          <w:szCs w:val="24"/>
        </w:rPr>
        <w:t>以下附加条款除特别注明外，适用本保险单和各个部分，若其与本保险单的其他规定相冲突，则以下列附加条款为准。</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重置价值条款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清理费用扩展条款（限额：总保额的10%）</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专业费用扩展条款（限额：总保额的10%）</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特别费用扩展条款（限额：每次事故损失金额的25%）</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空运费扩展条款（限额：每次事故损失金额的25%）</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灭火费用扩展条款B（限额：每次事故RMB100万）</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自动恢复保险金额条款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增加资产扩展条款B（总保险金额的10%）</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临时移动扩展条款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公共当局扩展条款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罢工、暴动及民众骚乱扩展条款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锅炉、压力容器扩展条款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时间调整特别条款（72小时）</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错误和遗漏条款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违反条件条款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不使失效条款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不受控制条款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临时保护措施扩展条款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场所外财产条款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自燃等扩展条款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露天存放及简易建筑内财产扩展条款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污闪、雾闪损失条款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建筑物变动条款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地震扩展条款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恶意破坏扩展条款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烟损条款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盗窃、抢劫扩展条款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承保全部盗窃条款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自动喷淋水损条款（累计赔偿限额为人民币500万元，每次事故赔偿限额为人民币200万元）</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玻璃破碎扩展条款（累计赔偿限额为人民币400万元，每次事故赔偿限额为人民币100万元）</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铁路机车车辆扩展条款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建筑物未受损部分额外费用扩展条款（限额：每次事故损失金额的10％）</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厂区间临时移动扩展条款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成对或成套设备条款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索赔单据条款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索赔费用条款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紧急抢险条款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50/50条款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放弃代为追偿权利条款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放弃比例分摊条款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重大过失条款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小型建筑安装工程项目条款（工程合同价格限额：RMB2,000万元）</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预付赔款条款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指定公估人条款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弃权与禁止反言条款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sz w:val="24"/>
          <w:szCs w:val="24"/>
        </w:rPr>
      </w:pPr>
      <w:r>
        <w:rPr>
          <w:rFonts w:ascii="方正仿宋_GBK" w:hAnsi="方正仿宋_GBK" w:eastAsia="方正仿宋_GBK" w:cs="方正仿宋_GBK"/>
          <w:sz w:val="24"/>
          <w:szCs w:val="24"/>
        </w:rPr>
        <w:t>检修扩展条款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color w:val="000000"/>
          <w:sz w:val="24"/>
          <w:szCs w:val="24"/>
        </w:rPr>
      </w:pPr>
      <w:r>
        <w:rPr>
          <w:rFonts w:ascii="方正仿宋_GBK" w:hAnsi="方正仿宋_GBK" w:eastAsia="方正仿宋_GBK" w:cs="方正仿宋_GBK"/>
          <w:color w:val="000000"/>
          <w:sz w:val="24"/>
          <w:szCs w:val="24"/>
        </w:rPr>
        <w:t>液体泄漏条款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color w:val="000000"/>
          <w:sz w:val="24"/>
          <w:szCs w:val="24"/>
        </w:rPr>
      </w:pPr>
      <w:r>
        <w:rPr>
          <w:rFonts w:ascii="方正仿宋_GBK" w:hAnsi="方正仿宋_GBK" w:eastAsia="方正仿宋_GBK" w:cs="方正仿宋_GBK"/>
          <w:color w:val="000000"/>
          <w:sz w:val="24"/>
          <w:szCs w:val="24"/>
        </w:rPr>
        <w:t>建筑物外部附属设施扩展条款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color w:val="000000"/>
          <w:sz w:val="24"/>
          <w:szCs w:val="24"/>
        </w:rPr>
      </w:pPr>
      <w:r>
        <w:rPr>
          <w:rFonts w:ascii="方正仿宋_GBK" w:hAnsi="方正仿宋_GBK" w:eastAsia="方正仿宋_GBK" w:cs="方正仿宋_GBK"/>
          <w:color w:val="000000"/>
          <w:sz w:val="24"/>
          <w:szCs w:val="24"/>
        </w:rPr>
        <w:t>仓储财产申报条款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color w:val="000000"/>
          <w:sz w:val="24"/>
          <w:szCs w:val="24"/>
        </w:rPr>
      </w:pPr>
      <w:r>
        <w:rPr>
          <w:rFonts w:ascii="方正仿宋_GBK" w:hAnsi="方正仿宋_GBK" w:eastAsia="方正仿宋_GBK" w:cs="方正仿宋_GBK"/>
          <w:color w:val="000000"/>
          <w:sz w:val="24"/>
          <w:szCs w:val="24"/>
        </w:rPr>
        <w:t>供水供气管道破裂条款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b/>
          <w:sz w:val="24"/>
          <w:szCs w:val="24"/>
        </w:rPr>
      </w:pPr>
      <w:r>
        <w:rPr>
          <w:rFonts w:ascii="方正仿宋_GBK" w:hAnsi="方正仿宋_GBK" w:eastAsia="方正仿宋_GBK" w:cs="方正仿宋_GBK"/>
          <w:color w:val="000000"/>
          <w:sz w:val="24"/>
          <w:szCs w:val="24"/>
        </w:rPr>
        <w:t>优先使用原供应商条款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color w:val="000000"/>
          <w:sz w:val="24"/>
          <w:szCs w:val="24"/>
        </w:rPr>
      </w:pPr>
      <w:r>
        <w:rPr>
          <w:rFonts w:ascii="方正仿宋_GBK" w:hAnsi="方正仿宋_GBK" w:eastAsia="方正仿宋_GBK" w:cs="方正仿宋_GBK"/>
          <w:color w:val="000000"/>
          <w:sz w:val="24"/>
          <w:szCs w:val="24"/>
        </w:rPr>
        <w:t>草木条款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color w:val="000000"/>
          <w:sz w:val="24"/>
          <w:szCs w:val="24"/>
        </w:rPr>
      </w:pPr>
      <w:r>
        <w:rPr>
          <w:rFonts w:ascii="方正仿宋_GBK" w:hAnsi="方正仿宋_GBK" w:eastAsia="方正仿宋_GBK" w:cs="方正仿宋_GBK"/>
          <w:color w:val="000000"/>
          <w:sz w:val="24"/>
          <w:szCs w:val="24"/>
        </w:rPr>
        <w:t>提升及改善条款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color w:val="000000"/>
          <w:sz w:val="24"/>
          <w:szCs w:val="24"/>
        </w:rPr>
      </w:pPr>
      <w:r>
        <w:rPr>
          <w:rFonts w:ascii="方正仿宋_GBK" w:hAnsi="方正仿宋_GBK" w:eastAsia="方正仿宋_GBK" w:cs="方正仿宋_GBK"/>
          <w:color w:val="000000"/>
          <w:sz w:val="24"/>
          <w:szCs w:val="24"/>
        </w:rPr>
        <w:t>疏散费用条款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color w:val="000000"/>
          <w:sz w:val="24"/>
          <w:szCs w:val="24"/>
        </w:rPr>
      </w:pPr>
      <w:r>
        <w:rPr>
          <w:rFonts w:ascii="方正仿宋_GBK" w:hAnsi="方正仿宋_GBK" w:eastAsia="方正仿宋_GBK" w:cs="方正仿宋_GBK"/>
          <w:color w:val="000000"/>
          <w:sz w:val="24"/>
          <w:szCs w:val="24"/>
        </w:rPr>
        <w:t>消防队灭火费用扩展条款</w:t>
      </w:r>
    </w:p>
    <w:p>
      <w:pPr>
        <w:numPr>
          <w:ilvl w:val="0"/>
          <w:numId w:val="1"/>
        </w:numPr>
        <w:tabs>
          <w:tab w:val="left" w:pos="0"/>
          <w:tab w:val="left" w:pos="567"/>
        </w:tabs>
        <w:adjustRightInd w:val="0"/>
        <w:snapToGrid w:val="0"/>
        <w:spacing w:line="360" w:lineRule="auto"/>
        <w:ind w:left="0" w:firstLine="480" w:firstLineChars="200"/>
        <w:rPr>
          <w:rFonts w:hint="default" w:ascii="方正仿宋_GBK" w:hAnsi="方正仿宋_GBK" w:eastAsia="方正仿宋_GBK" w:cs="方正仿宋_GBK"/>
          <w:color w:val="000000"/>
          <w:sz w:val="24"/>
          <w:szCs w:val="24"/>
        </w:rPr>
      </w:pPr>
      <w:r>
        <w:rPr>
          <w:rFonts w:ascii="方正仿宋_GBK" w:hAnsi="方正仿宋_GBK" w:eastAsia="方正仿宋_GBK" w:cs="方正仿宋_GBK"/>
          <w:color w:val="000000"/>
          <w:sz w:val="24"/>
          <w:szCs w:val="24"/>
        </w:rPr>
        <w:t>车辆装载物扩展条款</w:t>
      </w:r>
      <w:bookmarkStart w:id="6" w:name="分割7"/>
      <w:bookmarkEnd w:id="6"/>
    </w:p>
    <w:p>
      <w:pPr>
        <w:rPr>
          <w:rFonts w:hint="default" w:ascii="方正仿宋_GBK" w:hAnsi="方正仿宋_GBK" w:eastAsia="方正仿宋_GBK" w:cs="方正仿宋_GBK"/>
          <w:b/>
          <w:sz w:val="24"/>
          <w:szCs w:val="24"/>
        </w:rPr>
      </w:pPr>
      <w:r>
        <w:rPr>
          <w:rFonts w:ascii="方正仿宋_GBK" w:hAnsi="方正仿宋_GBK" w:eastAsia="方正仿宋_GBK" w:cs="方正仿宋_GBK"/>
          <w:b/>
          <w:sz w:val="24"/>
          <w:szCs w:val="24"/>
        </w:rPr>
        <w:br w:type="page"/>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方正仿宋_GBK">
    <w:panose1 w:val="02000000000000000000"/>
    <w:charset w:val="86"/>
    <w:family w:val="auto"/>
    <w:pitch w:val="default"/>
    <w:sig w:usb0="A00002BF" w:usb1="38CF7CFA" w:usb2="00082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AB2326"/>
    <w:multiLevelType w:val="multilevel"/>
    <w:tmpl w:val="70AB2326"/>
    <w:lvl w:ilvl="0" w:tentative="0">
      <w:start w:val="1"/>
      <w:numFmt w:val="decimal"/>
      <w:lvlText w:val="(%1)"/>
      <w:lvlJc w:val="left"/>
      <w:pPr>
        <w:tabs>
          <w:tab w:val="left" w:pos="1134"/>
        </w:tabs>
        <w:ind w:left="1134" w:hanging="454"/>
      </w:pPr>
      <w:rPr>
        <w:rFonts w:hint="eastAsia"/>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903"/>
    <w:rsid w:val="005C0F83"/>
    <w:rsid w:val="00B515F3"/>
    <w:rsid w:val="00B565D4"/>
    <w:rsid w:val="00C024E2"/>
    <w:rsid w:val="00D02903"/>
    <w:rsid w:val="00E147A8"/>
    <w:rsid w:val="00FE3FC3"/>
    <w:rsid w:val="1DBD93D3"/>
    <w:rsid w:val="2CEF034E"/>
    <w:rsid w:val="4F752027"/>
    <w:rsid w:val="54FF37DC"/>
    <w:rsid w:val="63F47E75"/>
    <w:rsid w:val="7BB5F8DC"/>
    <w:rsid w:val="A5F74172"/>
    <w:rsid w:val="AB9F0941"/>
    <w:rsid w:val="FDFF1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hint="eastAsia" w:ascii="Times New Roman" w:hAnsi="Times New Roman" w:eastAsia="宋体" w:cs="Times New Roman"/>
      <w:kern w:val="2"/>
      <w:sz w:val="21"/>
      <w:szCs w:val="20"/>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annotation text"/>
    <w:basedOn w:val="1"/>
    <w:link w:val="11"/>
    <w:qFormat/>
    <w:uiPriority w:val="0"/>
    <w:pPr>
      <w:jc w:val="left"/>
    </w:pPr>
  </w:style>
  <w:style w:type="paragraph" w:styleId="3">
    <w:name w:val="Balloon Text"/>
    <w:basedOn w:val="1"/>
    <w:link w:val="12"/>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annotation reference"/>
    <w:basedOn w:val="6"/>
    <w:qFormat/>
    <w:uiPriority w:val="0"/>
    <w:rPr>
      <w:sz w:val="21"/>
      <w:szCs w:val="21"/>
    </w:rPr>
  </w:style>
  <w:style w:type="character" w:customStyle="1" w:styleId="9">
    <w:name w:val="页眉 字符"/>
    <w:basedOn w:val="6"/>
    <w:link w:val="5"/>
    <w:qFormat/>
    <w:uiPriority w:val="99"/>
    <w:rPr>
      <w:sz w:val="18"/>
      <w:szCs w:val="18"/>
    </w:rPr>
  </w:style>
  <w:style w:type="character" w:customStyle="1" w:styleId="10">
    <w:name w:val="页脚 字符"/>
    <w:basedOn w:val="6"/>
    <w:link w:val="4"/>
    <w:qFormat/>
    <w:uiPriority w:val="99"/>
    <w:rPr>
      <w:sz w:val="18"/>
      <w:szCs w:val="18"/>
    </w:rPr>
  </w:style>
  <w:style w:type="character" w:customStyle="1" w:styleId="11">
    <w:name w:val="批注文字 字符"/>
    <w:basedOn w:val="6"/>
    <w:link w:val="2"/>
    <w:qFormat/>
    <w:uiPriority w:val="0"/>
    <w:rPr>
      <w:rFonts w:ascii="Times New Roman" w:hAnsi="Times New Roman" w:eastAsia="宋体" w:cs="Times New Roman"/>
      <w:szCs w:val="20"/>
    </w:rPr>
  </w:style>
  <w:style w:type="character" w:customStyle="1" w:styleId="12">
    <w:name w:val="批注框文本 字符"/>
    <w:basedOn w:val="6"/>
    <w:link w:val="3"/>
    <w:semiHidden/>
    <w:qFormat/>
    <w:uiPriority w:val="99"/>
    <w:rPr>
      <w:rFonts w:ascii="Times New Roman" w:hAnsi="Times New Roman" w:eastAsia="宋体" w:cs="Times New Roman"/>
      <w:sz w:val="18"/>
      <w:szCs w:val="18"/>
    </w:rPr>
  </w:style>
  <w:style w:type="paragraph" w:customStyle="1" w:styleId="13">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416</Words>
  <Characters>2373</Characters>
  <Lines>19</Lines>
  <Paragraphs>5</Paragraphs>
  <ScaleCrop>false</ScaleCrop>
  <LinksUpToDate>false</LinksUpToDate>
  <CharactersWithSpaces>2784</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2022-08-11T19:57:00Z</dcterms:created>
  <dc:creator>zzy</dc:creator>
  <cp:lastModifiedBy>chenlianghong</cp:lastModifiedBy>
  <dcterms:modified xsi:type="dcterms:W3CDTF">2022-08-13T13:02:24Z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